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B8" w:rsidRDefault="001C59D8" w:rsidP="001C59D8">
      <w:pPr>
        <w:jc w:val="center"/>
        <w:rPr>
          <w:rFonts w:asciiTheme="majorEastAsia" w:eastAsiaTheme="majorEastAsia" w:hAnsiTheme="majorEastAsia"/>
          <w:sz w:val="44"/>
          <w:szCs w:val="44"/>
        </w:rPr>
      </w:pPr>
      <w:r w:rsidRPr="001C59D8">
        <w:rPr>
          <w:rFonts w:asciiTheme="majorEastAsia" w:eastAsiaTheme="majorEastAsia" w:hAnsiTheme="majorEastAsia" w:hint="eastAsia"/>
          <w:sz w:val="44"/>
          <w:szCs w:val="44"/>
        </w:rPr>
        <w:t>西城公安分局</w:t>
      </w:r>
      <w:r w:rsidR="00D36A02">
        <w:rPr>
          <w:rFonts w:asciiTheme="majorEastAsia" w:eastAsiaTheme="majorEastAsia" w:hAnsiTheme="majorEastAsia" w:hint="eastAsia"/>
          <w:sz w:val="44"/>
          <w:szCs w:val="44"/>
        </w:rPr>
        <w:t>202</w:t>
      </w:r>
      <w:r w:rsidR="000334FA">
        <w:rPr>
          <w:rFonts w:asciiTheme="majorEastAsia" w:eastAsiaTheme="majorEastAsia" w:hAnsiTheme="majorEastAsia" w:hint="eastAsia"/>
          <w:sz w:val="44"/>
          <w:szCs w:val="44"/>
        </w:rPr>
        <w:t>2</w:t>
      </w:r>
      <w:r w:rsidRPr="001C59D8">
        <w:rPr>
          <w:rFonts w:asciiTheme="majorEastAsia" w:eastAsiaTheme="majorEastAsia" w:hAnsiTheme="majorEastAsia" w:hint="eastAsia"/>
          <w:sz w:val="44"/>
          <w:szCs w:val="44"/>
        </w:rPr>
        <w:t>年决算公开报告</w:t>
      </w:r>
    </w:p>
    <w:p w:rsidR="001C59D8" w:rsidRDefault="001C59D8" w:rsidP="001C59D8">
      <w:pPr>
        <w:pStyle w:val="1"/>
        <w:ind w:left="640" w:firstLineChars="0" w:firstLine="0"/>
        <w:rPr>
          <w:rFonts w:ascii="仿宋_GB2312" w:eastAsia="仿宋_GB2312" w:hAnsi="仿宋"/>
          <w:sz w:val="32"/>
          <w:szCs w:val="32"/>
        </w:rPr>
      </w:pP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部门（单位）情况</w:t>
      </w:r>
    </w:p>
    <w:p w:rsidR="001C59D8" w:rsidRDefault="001C59D8" w:rsidP="001C59D8">
      <w:pPr>
        <w:pStyle w:val="1"/>
        <w:numPr>
          <w:ilvl w:val="0"/>
          <w:numId w:val="2"/>
        </w:numPr>
        <w:spacing w:line="600" w:lineRule="exact"/>
        <w:ind w:firstLineChars="0"/>
        <w:rPr>
          <w:rFonts w:ascii="仿宋_GB2312" w:eastAsia="仿宋_GB2312" w:hAnsi="仿宋"/>
          <w:sz w:val="32"/>
          <w:szCs w:val="32"/>
        </w:rPr>
      </w:pPr>
      <w:r>
        <w:rPr>
          <w:rFonts w:ascii="仿宋_GB2312" w:eastAsia="仿宋_GB2312" w:hAnsi="仿宋" w:hint="eastAsia"/>
          <w:sz w:val="32"/>
          <w:szCs w:val="32"/>
        </w:rPr>
        <w:t>主要职能</w:t>
      </w:r>
    </w:p>
    <w:p w:rsidR="001C59D8" w:rsidRDefault="001C59D8" w:rsidP="001C59D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北京市公安局西城分局担负西城地区的维护社会面稳定、治安防范、打击破案等工作。</w:t>
      </w:r>
    </w:p>
    <w:p w:rsidR="001C59D8" w:rsidRDefault="001C59D8" w:rsidP="001C59D8">
      <w:pPr>
        <w:pStyle w:val="1"/>
        <w:numPr>
          <w:ilvl w:val="0"/>
          <w:numId w:val="2"/>
        </w:numPr>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机构情况</w:t>
      </w:r>
    </w:p>
    <w:p w:rsidR="001C59D8" w:rsidRDefault="006A3EFD" w:rsidP="001C59D8">
      <w:pPr>
        <w:pStyle w:val="1"/>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西城公安分局为1个独立核算机构。</w:t>
      </w: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收入支出预算执行情况分析</w:t>
      </w:r>
    </w:p>
    <w:p w:rsidR="001C59D8" w:rsidRDefault="001C59D8" w:rsidP="001C59D8">
      <w:pPr>
        <w:spacing w:line="600" w:lineRule="exact"/>
        <w:rPr>
          <w:rFonts w:ascii="仿宋_GB2312" w:eastAsia="仿宋_GB2312" w:hAnsi="仿宋" w:cs="Times New Roman"/>
          <w:sz w:val="32"/>
          <w:szCs w:val="32"/>
        </w:rPr>
      </w:pPr>
      <w:r>
        <w:rPr>
          <w:rFonts w:ascii="仿宋_GB2312" w:eastAsia="仿宋_GB2312" w:hAnsi="仿宋" w:cs="Times New Roman" w:hint="eastAsia"/>
          <w:sz w:val="32"/>
          <w:szCs w:val="32"/>
        </w:rPr>
        <w:t xml:space="preserve">    （一）收入支出预算安排情况</w:t>
      </w:r>
    </w:p>
    <w:p w:rsidR="00CE16F8" w:rsidRPr="008D0B02" w:rsidRDefault="00CE16F8" w:rsidP="008D0B02">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w:t>
      </w:r>
      <w:r w:rsidR="007B1D90">
        <w:rPr>
          <w:rFonts w:ascii="仿宋_GB2312" w:eastAsia="仿宋_GB2312" w:hAnsi="仿宋" w:cs="Times New Roman" w:hint="eastAsia"/>
          <w:sz w:val="32"/>
          <w:szCs w:val="32"/>
        </w:rPr>
        <w:t>2</w:t>
      </w:r>
      <w:r w:rsidR="000334FA">
        <w:rPr>
          <w:rFonts w:ascii="仿宋_GB2312" w:eastAsia="仿宋_GB2312" w:hAnsi="仿宋" w:cs="Times New Roman" w:hint="eastAsia"/>
          <w:sz w:val="32"/>
          <w:szCs w:val="32"/>
        </w:rPr>
        <w:t>2</w:t>
      </w:r>
      <w:r w:rsidRPr="0073022C">
        <w:rPr>
          <w:rFonts w:ascii="仿宋_GB2312" w:eastAsia="仿宋_GB2312" w:hAnsi="仿宋" w:cs="Times New Roman" w:hint="eastAsia"/>
          <w:sz w:val="32"/>
          <w:szCs w:val="32"/>
        </w:rPr>
        <w:t>年收入</w:t>
      </w:r>
      <w:r>
        <w:rPr>
          <w:rFonts w:ascii="仿宋_GB2312" w:eastAsia="仿宋_GB2312" w:hAnsi="仿宋" w:cs="Times New Roman" w:hint="eastAsia"/>
          <w:sz w:val="32"/>
          <w:szCs w:val="32"/>
        </w:rPr>
        <w:t>、支出年初预算安排</w:t>
      </w:r>
      <w:r w:rsidR="000334FA" w:rsidRPr="000334FA">
        <w:rPr>
          <w:rFonts w:ascii="仿宋_GB2312" w:eastAsia="仿宋_GB2312" w:hAnsi="仿宋" w:cs="Times New Roman"/>
          <w:sz w:val="32"/>
          <w:szCs w:val="32"/>
        </w:rPr>
        <w:t>2,411,439,583.50</w:t>
      </w:r>
      <w:r w:rsidRPr="008D0B02">
        <w:rPr>
          <w:rFonts w:ascii="仿宋_GB2312" w:eastAsia="仿宋_GB2312" w:hAnsi="仿宋" w:cs="Times New Roman" w:hint="eastAsia"/>
          <w:sz w:val="32"/>
          <w:szCs w:val="32"/>
        </w:rPr>
        <w:t>元。20</w:t>
      </w:r>
      <w:r w:rsidR="007B1D90">
        <w:rPr>
          <w:rFonts w:ascii="仿宋_GB2312" w:eastAsia="仿宋_GB2312" w:hAnsi="仿宋" w:cs="Times New Roman" w:hint="eastAsia"/>
          <w:sz w:val="32"/>
          <w:szCs w:val="32"/>
        </w:rPr>
        <w:t>2</w:t>
      </w:r>
      <w:r w:rsidR="00057570">
        <w:rPr>
          <w:rFonts w:ascii="仿宋_GB2312" w:eastAsia="仿宋_GB2312" w:hAnsi="仿宋" w:cs="Times New Roman" w:hint="eastAsia"/>
          <w:sz w:val="32"/>
          <w:szCs w:val="32"/>
        </w:rPr>
        <w:t>1</w:t>
      </w:r>
      <w:r w:rsidRPr="008D0B02">
        <w:rPr>
          <w:rFonts w:ascii="仿宋_GB2312" w:eastAsia="仿宋_GB2312" w:hAnsi="仿宋" w:cs="Times New Roman" w:hint="eastAsia"/>
          <w:sz w:val="32"/>
          <w:szCs w:val="32"/>
        </w:rPr>
        <w:t>年度收入总计</w:t>
      </w:r>
      <w:r w:rsidR="000334FA" w:rsidRPr="000334FA">
        <w:rPr>
          <w:rFonts w:ascii="仿宋_GB2312" w:eastAsia="仿宋_GB2312" w:hAnsi="仿宋" w:cs="Times New Roman"/>
          <w:sz w:val="32"/>
          <w:szCs w:val="32"/>
        </w:rPr>
        <w:t>2,570,785,537.35</w:t>
      </w:r>
      <w:r w:rsidRPr="008D0B02">
        <w:rPr>
          <w:rFonts w:ascii="仿宋_GB2312" w:eastAsia="仿宋_GB2312" w:hAnsi="仿宋" w:cs="Times New Roman" w:hint="eastAsia"/>
          <w:sz w:val="32"/>
          <w:szCs w:val="32"/>
        </w:rPr>
        <w:t>元，年初结余和结转</w:t>
      </w:r>
      <w:r w:rsidR="000334FA" w:rsidRPr="000334FA">
        <w:rPr>
          <w:rFonts w:ascii="仿宋_GB2312" w:eastAsia="仿宋_GB2312" w:hAnsi="仿宋" w:cs="Times New Roman"/>
          <w:sz w:val="32"/>
          <w:szCs w:val="32"/>
        </w:rPr>
        <w:t>81,024,826.15</w:t>
      </w:r>
      <w:r w:rsidRPr="008D0B02">
        <w:rPr>
          <w:rFonts w:ascii="仿宋_GB2312" w:eastAsia="仿宋_GB2312" w:hAnsi="仿宋" w:cs="Times New Roman" w:hint="eastAsia"/>
          <w:sz w:val="32"/>
          <w:szCs w:val="32"/>
        </w:rPr>
        <w:t>元。</w:t>
      </w:r>
    </w:p>
    <w:p w:rsidR="00CE16F8" w:rsidRPr="00057570" w:rsidRDefault="00CE16F8" w:rsidP="000334FA">
      <w:pPr>
        <w:ind w:firstLineChars="200" w:firstLine="640"/>
        <w:rPr>
          <w:rFonts w:ascii="仿宋_GB2312" w:eastAsia="仿宋_GB2312" w:hAnsi="宋体" w:cs="宋体"/>
          <w:color w:val="000000"/>
          <w:kern w:val="0"/>
          <w:sz w:val="32"/>
          <w:szCs w:val="32"/>
        </w:rPr>
      </w:pPr>
      <w:r w:rsidRPr="007B1D90">
        <w:rPr>
          <w:rFonts w:ascii="仿宋_GB2312" w:eastAsia="仿宋_GB2312" w:hAnsi="仿宋" w:cs="Times New Roman" w:hint="eastAsia"/>
          <w:sz w:val="32"/>
          <w:szCs w:val="32"/>
        </w:rPr>
        <w:t>20</w:t>
      </w:r>
      <w:r w:rsidR="007B1D90">
        <w:rPr>
          <w:rFonts w:ascii="仿宋_GB2312" w:eastAsia="仿宋_GB2312" w:hAnsi="仿宋" w:cs="Times New Roman" w:hint="eastAsia"/>
          <w:sz w:val="32"/>
          <w:szCs w:val="32"/>
        </w:rPr>
        <w:t>2</w:t>
      </w:r>
      <w:r w:rsidR="00521A53">
        <w:rPr>
          <w:rFonts w:ascii="仿宋_GB2312" w:eastAsia="仿宋_GB2312" w:hAnsi="仿宋" w:cs="Times New Roman" w:hint="eastAsia"/>
          <w:sz w:val="32"/>
          <w:szCs w:val="32"/>
        </w:rPr>
        <w:t>2</w:t>
      </w:r>
      <w:r w:rsidRPr="007B1D90">
        <w:rPr>
          <w:rFonts w:ascii="仿宋_GB2312" w:eastAsia="仿宋_GB2312" w:hAnsi="仿宋" w:cs="Times New Roman" w:hint="eastAsia"/>
          <w:sz w:val="32"/>
          <w:szCs w:val="32"/>
        </w:rPr>
        <w:t>年度本年支出合计</w:t>
      </w:r>
      <w:r w:rsidR="000334FA" w:rsidRPr="000334FA">
        <w:rPr>
          <w:rFonts w:ascii="仿宋_GB2312" w:eastAsia="仿宋_GB2312" w:hAnsi="仿宋" w:cs="Times New Roman"/>
          <w:sz w:val="32"/>
          <w:szCs w:val="32"/>
        </w:rPr>
        <w:t>2,647,215,358.63</w:t>
      </w:r>
      <w:r w:rsidRPr="007B1D90">
        <w:rPr>
          <w:rFonts w:ascii="仿宋_GB2312" w:eastAsia="仿宋_GB2312" w:hAnsi="仿宋" w:cs="Times New Roman" w:hint="eastAsia"/>
          <w:sz w:val="32"/>
          <w:szCs w:val="32"/>
        </w:rPr>
        <w:t>元，比预算增加</w:t>
      </w:r>
      <w:r w:rsidR="000334FA" w:rsidRPr="000334FA">
        <w:rPr>
          <w:rFonts w:ascii="仿宋_GB2312" w:eastAsia="仿宋_GB2312" w:hAnsi="宋体" w:cs="宋体" w:hint="eastAsia"/>
          <w:color w:val="000000"/>
          <w:kern w:val="0"/>
          <w:sz w:val="32"/>
          <w:szCs w:val="32"/>
        </w:rPr>
        <w:t>235,775,775.13</w:t>
      </w:r>
      <w:r w:rsidRPr="007B1D90">
        <w:rPr>
          <w:rFonts w:ascii="仿宋_GB2312" w:eastAsia="仿宋_GB2312" w:hAnsi="仿宋" w:cs="Times New Roman" w:hint="eastAsia"/>
          <w:sz w:val="32"/>
          <w:szCs w:val="32"/>
        </w:rPr>
        <w:t>元。</w:t>
      </w:r>
    </w:p>
    <w:p w:rsidR="001C59D8" w:rsidRPr="00D71230" w:rsidRDefault="00CE16F8" w:rsidP="00D71230">
      <w:pPr>
        <w:spacing w:line="600" w:lineRule="exact"/>
        <w:ind w:firstLineChars="200" w:firstLine="640"/>
        <w:rPr>
          <w:rFonts w:ascii="仿宋_GB2312" w:eastAsia="仿宋_GB2312" w:hAnsi="仿宋" w:cs="Times New Roman"/>
          <w:sz w:val="32"/>
          <w:szCs w:val="32"/>
        </w:rPr>
      </w:pPr>
      <w:r>
        <w:rPr>
          <w:rFonts w:ascii="仿宋_GB2312" w:eastAsia="仿宋_GB2312" w:hint="eastAsia"/>
          <w:sz w:val="32"/>
          <w:szCs w:val="32"/>
        </w:rPr>
        <w:t xml:space="preserve"> </w:t>
      </w:r>
      <w:r w:rsidR="001C59D8">
        <w:rPr>
          <w:rFonts w:ascii="仿宋_GB2312" w:eastAsia="仿宋_GB2312" w:hint="eastAsia"/>
          <w:sz w:val="32"/>
          <w:szCs w:val="32"/>
        </w:rPr>
        <w:t>(二)</w:t>
      </w:r>
      <w:r w:rsidR="001C59D8" w:rsidRPr="00801E64">
        <w:rPr>
          <w:rFonts w:ascii="仿宋_GB2312" w:eastAsia="仿宋_GB2312" w:hint="eastAsia"/>
          <w:sz w:val="32"/>
          <w:szCs w:val="32"/>
        </w:rPr>
        <w:t>机关运行经费支出情况</w:t>
      </w:r>
    </w:p>
    <w:p w:rsidR="001C59D8" w:rsidRPr="007B1D90" w:rsidRDefault="001C59D8" w:rsidP="000334FA">
      <w:pPr>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20</w:t>
      </w:r>
      <w:r w:rsidR="007B1D90">
        <w:rPr>
          <w:rFonts w:ascii="仿宋_GB2312" w:eastAsia="仿宋_GB2312" w:hint="eastAsia"/>
          <w:sz w:val="32"/>
          <w:szCs w:val="32"/>
        </w:rPr>
        <w:t>2</w:t>
      </w:r>
      <w:r w:rsidR="00521A53">
        <w:rPr>
          <w:rFonts w:ascii="仿宋_GB2312" w:eastAsia="仿宋_GB2312" w:hint="eastAsia"/>
          <w:sz w:val="32"/>
          <w:szCs w:val="32"/>
        </w:rPr>
        <w:t>2</w:t>
      </w:r>
      <w:r w:rsidRPr="00801E64">
        <w:rPr>
          <w:rFonts w:ascii="仿宋_GB2312" w:eastAsia="仿宋_GB2312" w:hint="eastAsia"/>
          <w:sz w:val="32"/>
          <w:szCs w:val="32"/>
        </w:rPr>
        <w:t>年本部门行政单位（含参照公务员法管理的事业单位）使用一般公共预算财政拨款安排的基本支出中的日常公用经费支出合计</w:t>
      </w:r>
      <w:r w:rsidR="000334FA" w:rsidRPr="000334FA">
        <w:rPr>
          <w:rFonts w:ascii="仿宋_GB2312" w:eastAsia="仿宋_GB2312"/>
          <w:sz w:val="32"/>
          <w:szCs w:val="32"/>
        </w:rPr>
        <w:t>149,282,074.83</w:t>
      </w:r>
      <w:r w:rsidR="00CE16F8">
        <w:rPr>
          <w:rFonts w:ascii="仿宋_GB2312" w:eastAsia="仿宋_GB2312" w:hint="eastAsia"/>
          <w:sz w:val="32"/>
          <w:szCs w:val="32"/>
        </w:rPr>
        <w:t>元</w:t>
      </w:r>
      <w:r w:rsidRPr="00801E64">
        <w:rPr>
          <w:rFonts w:ascii="仿宋_GB2312" w:eastAsia="仿宋_GB2312" w:hint="eastAsia"/>
          <w:sz w:val="32"/>
          <w:szCs w:val="32"/>
        </w:rPr>
        <w:t>，比</w:t>
      </w:r>
      <w:r w:rsidR="006E06B4">
        <w:rPr>
          <w:rFonts w:ascii="仿宋_GB2312" w:eastAsia="仿宋_GB2312" w:hint="eastAsia"/>
          <w:sz w:val="32"/>
          <w:szCs w:val="32"/>
        </w:rPr>
        <w:t>年初预算数</w:t>
      </w:r>
      <w:r w:rsidR="000334FA" w:rsidRPr="000334FA">
        <w:rPr>
          <w:rFonts w:ascii="仿宋_GB2312" w:eastAsia="仿宋_GB2312"/>
          <w:sz w:val="32"/>
          <w:szCs w:val="32"/>
        </w:rPr>
        <w:t>169,404,667.00</w:t>
      </w:r>
      <w:r w:rsidRPr="00801E64">
        <w:rPr>
          <w:rFonts w:ascii="仿宋_GB2312" w:eastAsia="仿宋_GB2312" w:hint="eastAsia"/>
          <w:sz w:val="32"/>
          <w:szCs w:val="32"/>
        </w:rPr>
        <w:t>元</w:t>
      </w:r>
      <w:r w:rsidR="000334FA">
        <w:rPr>
          <w:rFonts w:ascii="仿宋_GB2312" w:eastAsia="仿宋_GB2312" w:hint="eastAsia"/>
          <w:sz w:val="32"/>
          <w:szCs w:val="32"/>
        </w:rPr>
        <w:t>减少</w:t>
      </w:r>
      <w:r w:rsidR="000334FA" w:rsidRPr="000334FA">
        <w:rPr>
          <w:rFonts w:ascii="仿宋_GB2312" w:eastAsia="仿宋_GB2312" w:hAnsi="宋体" w:cs="宋体" w:hint="eastAsia"/>
          <w:color w:val="000000"/>
          <w:kern w:val="0"/>
          <w:sz w:val="32"/>
          <w:szCs w:val="32"/>
        </w:rPr>
        <w:t>20,122,592.17</w:t>
      </w:r>
      <w:r w:rsidRPr="00801E64">
        <w:rPr>
          <w:rFonts w:ascii="仿宋_GB2312" w:eastAsia="仿宋_GB2312" w:hint="eastAsia"/>
          <w:sz w:val="32"/>
          <w:szCs w:val="32"/>
        </w:rPr>
        <w:t>元。</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801E64">
        <w:rPr>
          <w:rFonts w:ascii="仿宋_GB2312" w:eastAsia="仿宋_GB2312" w:hint="eastAsia"/>
          <w:sz w:val="32"/>
          <w:szCs w:val="32"/>
        </w:rPr>
        <w:t>政府采购支出情况</w:t>
      </w:r>
    </w:p>
    <w:p w:rsidR="001C59D8" w:rsidRDefault="001C59D8" w:rsidP="00F80200">
      <w:pPr>
        <w:ind w:firstLineChars="200" w:firstLine="640"/>
        <w:rPr>
          <w:rFonts w:ascii="仿宋_GB2312" w:eastAsia="仿宋_GB2312"/>
          <w:sz w:val="32"/>
          <w:szCs w:val="32"/>
        </w:rPr>
      </w:pPr>
      <w:r>
        <w:rPr>
          <w:rFonts w:ascii="仿宋_GB2312" w:eastAsia="仿宋_GB2312" w:hint="eastAsia"/>
          <w:sz w:val="32"/>
          <w:szCs w:val="32"/>
        </w:rPr>
        <w:t>20</w:t>
      </w:r>
      <w:r w:rsidR="007B1D90">
        <w:rPr>
          <w:rFonts w:ascii="仿宋_GB2312" w:eastAsia="仿宋_GB2312" w:hint="eastAsia"/>
          <w:sz w:val="32"/>
          <w:szCs w:val="32"/>
        </w:rPr>
        <w:t>2</w:t>
      </w:r>
      <w:r w:rsidR="00521A53">
        <w:rPr>
          <w:rFonts w:ascii="仿宋_GB2312" w:eastAsia="仿宋_GB2312" w:hint="eastAsia"/>
          <w:sz w:val="32"/>
          <w:szCs w:val="32"/>
        </w:rPr>
        <w:t>2</w:t>
      </w:r>
      <w:r w:rsidRPr="00801E64">
        <w:rPr>
          <w:rFonts w:ascii="仿宋_GB2312" w:eastAsia="仿宋_GB2312" w:hint="eastAsia"/>
          <w:sz w:val="32"/>
          <w:szCs w:val="32"/>
        </w:rPr>
        <w:t>年政府采购支出</w:t>
      </w:r>
      <w:r w:rsidR="00521A53" w:rsidRPr="00521A53">
        <w:rPr>
          <w:rFonts w:ascii="仿宋_GB2312" w:eastAsia="仿宋_GB2312"/>
          <w:sz w:val="32"/>
          <w:szCs w:val="32"/>
        </w:rPr>
        <w:t>156,992,141.78</w:t>
      </w:r>
      <w:r>
        <w:rPr>
          <w:rFonts w:ascii="仿宋_GB2312" w:eastAsia="仿宋_GB2312" w:hint="eastAsia"/>
          <w:sz w:val="32"/>
          <w:szCs w:val="32"/>
        </w:rPr>
        <w:t>元。</w:t>
      </w:r>
    </w:p>
    <w:p w:rsidR="001C59D8" w:rsidRPr="00E121C9" w:rsidRDefault="001C59D8" w:rsidP="001C59D8">
      <w:pPr>
        <w:spacing w:line="600" w:lineRule="exact"/>
        <w:ind w:firstLine="570"/>
        <w:rPr>
          <w:rFonts w:ascii="仿宋_GB2312" w:eastAsia="仿宋_GB2312"/>
          <w:sz w:val="32"/>
          <w:szCs w:val="32"/>
        </w:rPr>
      </w:pPr>
      <w:r w:rsidRPr="00E121C9">
        <w:rPr>
          <w:rFonts w:ascii="仿宋_GB2312" w:eastAsia="仿宋_GB2312" w:hint="eastAsia"/>
          <w:sz w:val="32"/>
          <w:szCs w:val="32"/>
        </w:rPr>
        <w:lastRenderedPageBreak/>
        <w:t>（四）“三公”经费财政拨款决算情况说明</w:t>
      </w:r>
    </w:p>
    <w:p w:rsidR="001C59D8" w:rsidRPr="007B1D90" w:rsidRDefault="001C59D8" w:rsidP="008D7762">
      <w:pPr>
        <w:rPr>
          <w:rFonts w:ascii="仿宋_GB2312" w:eastAsia="仿宋_GB2312" w:hAnsi="宋体" w:cs="宋体"/>
          <w:color w:val="000000"/>
          <w:kern w:val="0"/>
          <w:sz w:val="32"/>
          <w:szCs w:val="32"/>
        </w:rPr>
      </w:pPr>
      <w:r>
        <w:rPr>
          <w:rFonts w:ascii="仿宋_GB2312" w:eastAsia="仿宋_GB2312" w:hAnsi="仿宋" w:hint="eastAsia"/>
          <w:sz w:val="32"/>
          <w:szCs w:val="32"/>
        </w:rPr>
        <w:t>“三公”经费支出情况：</w:t>
      </w:r>
      <w:r w:rsidR="00DA0FA3">
        <w:rPr>
          <w:rFonts w:ascii="仿宋_GB2312" w:eastAsia="仿宋_GB2312" w:hint="eastAsia"/>
          <w:sz w:val="32"/>
          <w:szCs w:val="32"/>
        </w:rPr>
        <w:t>20</w:t>
      </w:r>
      <w:r w:rsidR="007B1D90">
        <w:rPr>
          <w:rFonts w:ascii="仿宋_GB2312" w:eastAsia="仿宋_GB2312" w:hint="eastAsia"/>
          <w:sz w:val="32"/>
          <w:szCs w:val="32"/>
        </w:rPr>
        <w:t>2</w:t>
      </w:r>
      <w:r w:rsidR="008D7762">
        <w:rPr>
          <w:rFonts w:ascii="仿宋_GB2312" w:eastAsia="仿宋_GB2312" w:hint="eastAsia"/>
          <w:sz w:val="32"/>
          <w:szCs w:val="32"/>
        </w:rPr>
        <w:t>2</w:t>
      </w:r>
      <w:r w:rsidR="00DA0FA3">
        <w:rPr>
          <w:rFonts w:ascii="仿宋_GB2312" w:eastAsia="仿宋_GB2312" w:hint="eastAsia"/>
          <w:sz w:val="32"/>
          <w:szCs w:val="32"/>
        </w:rPr>
        <w:t>年本部门“三公经费”财政拨款决算数</w:t>
      </w:r>
      <w:r w:rsidR="008D7762" w:rsidRPr="008D7762">
        <w:rPr>
          <w:rFonts w:ascii="仿宋_GB2312" w:eastAsia="仿宋_GB2312"/>
          <w:sz w:val="32"/>
          <w:szCs w:val="32"/>
        </w:rPr>
        <w:t>28,430,955.48</w:t>
      </w:r>
      <w:r w:rsidR="00DA0FA3">
        <w:rPr>
          <w:rFonts w:ascii="仿宋_GB2312" w:eastAsia="仿宋_GB2312" w:hint="eastAsia"/>
          <w:sz w:val="32"/>
          <w:szCs w:val="32"/>
        </w:rPr>
        <w:t>元，比20</w:t>
      </w:r>
      <w:r w:rsidR="00057570">
        <w:rPr>
          <w:rFonts w:ascii="仿宋_GB2312" w:eastAsia="仿宋_GB2312" w:hint="eastAsia"/>
          <w:sz w:val="32"/>
          <w:szCs w:val="32"/>
        </w:rPr>
        <w:t>2</w:t>
      </w:r>
      <w:r w:rsidR="008D7762">
        <w:rPr>
          <w:rFonts w:ascii="仿宋_GB2312" w:eastAsia="仿宋_GB2312" w:hint="eastAsia"/>
          <w:sz w:val="32"/>
          <w:szCs w:val="32"/>
        </w:rPr>
        <w:t>1</w:t>
      </w:r>
      <w:r w:rsidR="00DA0FA3">
        <w:rPr>
          <w:rFonts w:ascii="仿宋_GB2312" w:eastAsia="仿宋_GB2312" w:hint="eastAsia"/>
          <w:sz w:val="32"/>
          <w:szCs w:val="32"/>
        </w:rPr>
        <w:t>年“三公经费”决算数</w:t>
      </w:r>
      <w:r w:rsidR="008D7762" w:rsidRPr="00057570">
        <w:rPr>
          <w:rFonts w:ascii="仿宋_GB2312" w:eastAsia="仿宋_GB2312"/>
          <w:sz w:val="32"/>
          <w:szCs w:val="32"/>
        </w:rPr>
        <w:t>16,366,356.12</w:t>
      </w:r>
      <w:r w:rsidR="00DA0FA3">
        <w:rPr>
          <w:rFonts w:ascii="仿宋_GB2312" w:eastAsia="仿宋_GB2312" w:hint="eastAsia"/>
          <w:sz w:val="32"/>
          <w:szCs w:val="32"/>
        </w:rPr>
        <w:t>元，</w:t>
      </w:r>
      <w:r w:rsidR="008D7762">
        <w:rPr>
          <w:rFonts w:ascii="仿宋_GB2312" w:eastAsia="仿宋_GB2312" w:hint="eastAsia"/>
          <w:sz w:val="32"/>
          <w:szCs w:val="32"/>
        </w:rPr>
        <w:t>增加</w:t>
      </w:r>
      <w:r w:rsidR="008D7762" w:rsidRPr="008D7762">
        <w:rPr>
          <w:rFonts w:ascii="仿宋_GB2312" w:eastAsia="仿宋_GB2312" w:hAnsi="宋体" w:cs="宋体" w:hint="eastAsia"/>
          <w:color w:val="000000"/>
          <w:kern w:val="0"/>
          <w:sz w:val="32"/>
          <w:szCs w:val="32"/>
        </w:rPr>
        <w:t>12,064,599.36</w:t>
      </w:r>
      <w:r w:rsidR="00DA0FA3">
        <w:rPr>
          <w:rFonts w:ascii="仿宋_GB2312" w:eastAsia="仿宋_GB2312" w:hint="eastAsia"/>
          <w:sz w:val="32"/>
          <w:szCs w:val="32"/>
        </w:rPr>
        <w:t>元。主要是由于公务用车购置费</w:t>
      </w:r>
      <w:r w:rsidR="008D7762">
        <w:rPr>
          <w:rFonts w:ascii="仿宋_GB2312" w:eastAsia="仿宋_GB2312" w:hint="eastAsia"/>
          <w:sz w:val="32"/>
          <w:szCs w:val="32"/>
        </w:rPr>
        <w:t>和运行费增加</w:t>
      </w:r>
      <w:r w:rsidR="00DA0FA3">
        <w:rPr>
          <w:rFonts w:ascii="仿宋_GB2312" w:eastAsia="仿宋_GB2312" w:hint="eastAsia"/>
          <w:sz w:val="32"/>
          <w:szCs w:val="32"/>
        </w:rPr>
        <w:t>。</w:t>
      </w:r>
    </w:p>
    <w:p w:rsidR="001C59D8" w:rsidRPr="001C59D8" w:rsidRDefault="006E06B4"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（五）政府购买服务情况</w:t>
      </w:r>
    </w:p>
    <w:p w:rsidR="001C59D8" w:rsidRPr="00F80200" w:rsidRDefault="004C0F7C" w:rsidP="00F80200">
      <w:pPr>
        <w:ind w:firstLineChars="200" w:firstLine="640"/>
        <w:rPr>
          <w:rFonts w:ascii="仿宋_GB2312" w:eastAsia="仿宋_GB2312"/>
          <w:sz w:val="32"/>
          <w:szCs w:val="32"/>
        </w:rPr>
      </w:pPr>
      <w:r>
        <w:rPr>
          <w:rFonts w:ascii="仿宋_GB2312" w:eastAsia="仿宋_GB2312" w:hint="eastAsia"/>
          <w:sz w:val="32"/>
          <w:szCs w:val="32"/>
        </w:rPr>
        <w:t>无。</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（六）</w:t>
      </w:r>
      <w:r w:rsidRPr="00117533">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w:t>
      </w:r>
      <w:r w:rsidR="008D7762">
        <w:rPr>
          <w:rFonts w:ascii="仿宋_GB2312" w:eastAsia="仿宋_GB2312" w:hAnsi="Times New Roman" w:cs="Times New Roman" w:hint="eastAsia"/>
          <w:sz w:val="32"/>
          <w:szCs w:val="32"/>
        </w:rPr>
        <w:t>2</w:t>
      </w:r>
      <w:r w:rsidRPr="00117533">
        <w:rPr>
          <w:rFonts w:ascii="仿宋_GB2312" w:eastAsia="仿宋_GB2312" w:hAnsi="Times New Roman" w:cs="Times New Roman" w:hint="eastAsia"/>
          <w:sz w:val="32"/>
          <w:szCs w:val="32"/>
        </w:rPr>
        <w:t>年度绩效评价情况说明</w:t>
      </w:r>
    </w:p>
    <w:p w:rsidR="00871A19" w:rsidRPr="00F80200" w:rsidRDefault="008D7762" w:rsidP="00117533">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涉密项目不予公开。</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（七）</w:t>
      </w:r>
      <w:r w:rsidRPr="00117533">
        <w:rPr>
          <w:rFonts w:ascii="仿宋_GB2312" w:eastAsia="仿宋_GB2312" w:hAnsi="Times New Roman" w:cs="Times New Roman" w:hint="eastAsia"/>
          <w:sz w:val="32"/>
          <w:szCs w:val="32"/>
        </w:rPr>
        <w:t>国有资产占用情况说明</w:t>
      </w:r>
    </w:p>
    <w:p w:rsidR="0003467A" w:rsidRPr="00DD2664" w:rsidRDefault="0003467A" w:rsidP="00DD2664">
      <w:pPr>
        <w:ind w:firstLineChars="200" w:firstLine="640"/>
        <w:rPr>
          <w:rFonts w:ascii="仿宋_GB2312" w:eastAsia="仿宋_GB2312" w:hAnsi="宋体" w:cs="宋体"/>
          <w:color w:val="000000"/>
          <w:kern w:val="0"/>
          <w:sz w:val="32"/>
          <w:szCs w:val="32"/>
        </w:rPr>
      </w:pPr>
      <w:r w:rsidRPr="006F2D4D">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w:t>
      </w:r>
      <w:r w:rsidR="008D7762">
        <w:rPr>
          <w:rFonts w:ascii="仿宋_GB2312" w:eastAsia="仿宋_GB2312" w:hAnsi="Times New Roman" w:cs="Times New Roman" w:hint="eastAsia"/>
          <w:sz w:val="32"/>
          <w:szCs w:val="32"/>
        </w:rPr>
        <w:t>2</w:t>
      </w:r>
      <w:r w:rsidRPr="006F2D4D">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年</w:t>
      </w:r>
      <w:r w:rsidRPr="006F2D4D">
        <w:rPr>
          <w:rFonts w:ascii="仿宋_GB2312" w:eastAsia="仿宋_GB2312" w:hAnsi="Times New Roman" w:cs="Times New Roman" w:hint="eastAsia"/>
          <w:sz w:val="32"/>
          <w:szCs w:val="32"/>
        </w:rPr>
        <w:t>末</w:t>
      </w:r>
      <w:r>
        <w:rPr>
          <w:rFonts w:ascii="仿宋_GB2312" w:eastAsia="仿宋_GB2312" w:hAnsi="Times New Roman" w:cs="Times New Roman" w:hint="eastAsia"/>
          <w:sz w:val="32"/>
          <w:szCs w:val="32"/>
        </w:rPr>
        <w:t>，资产总额</w:t>
      </w:r>
      <w:r w:rsidR="00D82233" w:rsidRPr="00D82233">
        <w:rPr>
          <w:rFonts w:ascii="仿宋_GB2312" w:eastAsia="仿宋_GB2312" w:hAnsi="宋体" w:cs="宋体" w:hint="eastAsia"/>
          <w:color w:val="000000"/>
          <w:kern w:val="0"/>
          <w:sz w:val="32"/>
          <w:szCs w:val="32"/>
        </w:rPr>
        <w:t>6</w:t>
      </w:r>
      <w:r w:rsidR="009622BA">
        <w:rPr>
          <w:rFonts w:ascii="仿宋_GB2312" w:eastAsia="仿宋_GB2312" w:hAnsi="宋体" w:cs="宋体" w:hint="eastAsia"/>
          <w:color w:val="000000"/>
          <w:kern w:val="0"/>
          <w:sz w:val="32"/>
          <w:szCs w:val="32"/>
        </w:rPr>
        <w:t>55</w:t>
      </w:r>
      <w:r w:rsidR="00D82233" w:rsidRPr="00D82233">
        <w:rPr>
          <w:rFonts w:ascii="仿宋_GB2312" w:eastAsia="仿宋_GB2312" w:hAnsi="宋体" w:cs="宋体" w:hint="eastAsia"/>
          <w:color w:val="000000"/>
          <w:kern w:val="0"/>
          <w:sz w:val="32"/>
          <w:szCs w:val="32"/>
        </w:rPr>
        <w:t>,3</w:t>
      </w:r>
      <w:r w:rsidR="009622BA">
        <w:rPr>
          <w:rFonts w:ascii="仿宋_GB2312" w:eastAsia="仿宋_GB2312" w:hAnsi="宋体" w:cs="宋体" w:hint="eastAsia"/>
          <w:color w:val="000000"/>
          <w:kern w:val="0"/>
          <w:sz w:val="32"/>
          <w:szCs w:val="32"/>
        </w:rPr>
        <w:t>99</w:t>
      </w:r>
      <w:r w:rsidR="00D82233" w:rsidRPr="00D82233">
        <w:rPr>
          <w:rFonts w:ascii="仿宋_GB2312" w:eastAsia="仿宋_GB2312" w:hAnsi="宋体" w:cs="宋体" w:hint="eastAsia"/>
          <w:color w:val="000000"/>
          <w:kern w:val="0"/>
          <w:sz w:val="32"/>
          <w:szCs w:val="32"/>
        </w:rPr>
        <w:t>,5</w:t>
      </w:r>
      <w:r w:rsidR="009622BA">
        <w:rPr>
          <w:rFonts w:ascii="仿宋_GB2312" w:eastAsia="仿宋_GB2312" w:hAnsi="宋体" w:cs="宋体" w:hint="eastAsia"/>
          <w:color w:val="000000"/>
          <w:kern w:val="0"/>
          <w:sz w:val="32"/>
          <w:szCs w:val="32"/>
        </w:rPr>
        <w:t>49</w:t>
      </w:r>
      <w:r w:rsidR="00D82233" w:rsidRPr="00D82233">
        <w:rPr>
          <w:rFonts w:ascii="仿宋_GB2312" w:eastAsia="仿宋_GB2312" w:hAnsi="宋体" w:cs="宋体" w:hint="eastAsia"/>
          <w:color w:val="000000"/>
          <w:kern w:val="0"/>
          <w:sz w:val="32"/>
          <w:szCs w:val="32"/>
        </w:rPr>
        <w:t>.</w:t>
      </w:r>
      <w:r w:rsidR="009622BA">
        <w:rPr>
          <w:rFonts w:ascii="仿宋_GB2312" w:eastAsia="仿宋_GB2312" w:hAnsi="宋体" w:cs="宋体" w:hint="eastAsia"/>
          <w:color w:val="000000"/>
          <w:kern w:val="0"/>
          <w:sz w:val="32"/>
          <w:szCs w:val="32"/>
        </w:rPr>
        <w:t>38</w:t>
      </w:r>
      <w:r>
        <w:rPr>
          <w:rFonts w:ascii="仿宋_GB2312" w:eastAsia="仿宋_GB2312" w:hAnsi="Times New Roman" w:cs="Times New Roman" w:hint="eastAsia"/>
          <w:sz w:val="32"/>
          <w:szCs w:val="32"/>
        </w:rPr>
        <w:t>元。其中：流动资产</w:t>
      </w:r>
      <w:r w:rsidR="009622BA">
        <w:rPr>
          <w:rFonts w:ascii="仿宋_GB2312" w:eastAsia="仿宋_GB2312" w:hAnsi="Times New Roman" w:cs="Times New Roman" w:hint="eastAsia"/>
          <w:sz w:val="32"/>
          <w:szCs w:val="32"/>
        </w:rPr>
        <w:t>237</w:t>
      </w:r>
      <w:r w:rsidR="00D82233" w:rsidRPr="00D82233">
        <w:rPr>
          <w:rFonts w:ascii="仿宋_GB2312" w:eastAsia="仿宋_GB2312" w:hAnsi="Times New Roman" w:cs="Times New Roman"/>
          <w:sz w:val="32"/>
          <w:szCs w:val="32"/>
        </w:rPr>
        <w:t>,</w:t>
      </w:r>
      <w:r w:rsidR="009622BA">
        <w:rPr>
          <w:rFonts w:ascii="仿宋_GB2312" w:eastAsia="仿宋_GB2312" w:hAnsi="Times New Roman" w:cs="Times New Roman" w:hint="eastAsia"/>
          <w:sz w:val="32"/>
          <w:szCs w:val="32"/>
        </w:rPr>
        <w:t>146</w:t>
      </w:r>
      <w:r w:rsidR="00D82233" w:rsidRPr="00D82233">
        <w:rPr>
          <w:rFonts w:ascii="仿宋_GB2312" w:eastAsia="仿宋_GB2312" w:hAnsi="Times New Roman" w:cs="Times New Roman"/>
          <w:sz w:val="32"/>
          <w:szCs w:val="32"/>
        </w:rPr>
        <w:t>,</w:t>
      </w:r>
      <w:r w:rsidR="009622BA">
        <w:rPr>
          <w:rFonts w:ascii="仿宋_GB2312" w:eastAsia="仿宋_GB2312" w:hAnsi="Times New Roman" w:cs="Times New Roman" w:hint="eastAsia"/>
          <w:sz w:val="32"/>
          <w:szCs w:val="32"/>
        </w:rPr>
        <w:t>510</w:t>
      </w:r>
      <w:r w:rsidR="00D82233" w:rsidRPr="00D82233">
        <w:rPr>
          <w:rFonts w:ascii="仿宋_GB2312" w:eastAsia="仿宋_GB2312" w:hAnsi="Times New Roman" w:cs="Times New Roman"/>
          <w:sz w:val="32"/>
          <w:szCs w:val="32"/>
        </w:rPr>
        <w:t>.</w:t>
      </w:r>
      <w:r w:rsidR="009622BA">
        <w:rPr>
          <w:rFonts w:ascii="仿宋_GB2312" w:eastAsia="仿宋_GB2312" w:hAnsi="Times New Roman" w:cs="Times New Roman" w:hint="eastAsia"/>
          <w:sz w:val="32"/>
          <w:szCs w:val="32"/>
        </w:rPr>
        <w:t>89</w:t>
      </w:r>
      <w:r>
        <w:rPr>
          <w:rFonts w:ascii="仿宋_GB2312" w:eastAsia="仿宋_GB2312" w:hAnsi="Times New Roman" w:cs="Times New Roman" w:hint="eastAsia"/>
          <w:sz w:val="32"/>
          <w:szCs w:val="32"/>
        </w:rPr>
        <w:t>元；固定资产</w:t>
      </w:r>
      <w:r w:rsidR="005930B7">
        <w:rPr>
          <w:rFonts w:ascii="仿宋_GB2312" w:eastAsia="仿宋_GB2312" w:hAnsi="Times New Roman" w:cs="Times New Roman" w:hint="eastAsia"/>
          <w:sz w:val="32"/>
          <w:szCs w:val="32"/>
        </w:rPr>
        <w:t>净值</w:t>
      </w:r>
      <w:r w:rsidR="009622BA">
        <w:rPr>
          <w:rFonts w:ascii="仿宋_GB2312" w:eastAsia="仿宋_GB2312" w:hAnsi="Times New Roman" w:cs="Times New Roman" w:hint="eastAsia"/>
          <w:sz w:val="32"/>
          <w:szCs w:val="32"/>
        </w:rPr>
        <w:t>369</w:t>
      </w:r>
      <w:r w:rsidR="00D82233" w:rsidRPr="00D82233">
        <w:rPr>
          <w:rFonts w:ascii="仿宋_GB2312" w:eastAsia="仿宋_GB2312" w:hAnsi="Times New Roman" w:cs="Times New Roman"/>
          <w:sz w:val="32"/>
          <w:szCs w:val="32"/>
        </w:rPr>
        <w:t>,</w:t>
      </w:r>
      <w:r w:rsidR="009622BA">
        <w:rPr>
          <w:rFonts w:ascii="仿宋_GB2312" w:eastAsia="仿宋_GB2312" w:hAnsi="Times New Roman" w:cs="Times New Roman" w:hint="eastAsia"/>
          <w:sz w:val="32"/>
          <w:szCs w:val="32"/>
        </w:rPr>
        <w:t>497</w:t>
      </w:r>
      <w:r w:rsidR="00D82233" w:rsidRPr="00D82233">
        <w:rPr>
          <w:rFonts w:ascii="仿宋_GB2312" w:eastAsia="仿宋_GB2312" w:hAnsi="Times New Roman" w:cs="Times New Roman"/>
          <w:sz w:val="32"/>
          <w:szCs w:val="32"/>
        </w:rPr>
        <w:t>,</w:t>
      </w:r>
      <w:r w:rsidR="009622BA">
        <w:rPr>
          <w:rFonts w:ascii="仿宋_GB2312" w:eastAsia="仿宋_GB2312" w:hAnsi="Times New Roman" w:cs="Times New Roman" w:hint="eastAsia"/>
          <w:sz w:val="32"/>
          <w:szCs w:val="32"/>
        </w:rPr>
        <w:t>811</w:t>
      </w:r>
      <w:r w:rsidR="00D82233" w:rsidRPr="00D82233">
        <w:rPr>
          <w:rFonts w:ascii="仿宋_GB2312" w:eastAsia="仿宋_GB2312" w:hAnsi="Times New Roman" w:cs="Times New Roman"/>
          <w:sz w:val="32"/>
          <w:szCs w:val="32"/>
        </w:rPr>
        <w:t>.</w:t>
      </w:r>
      <w:r w:rsidR="009622BA">
        <w:rPr>
          <w:rFonts w:ascii="仿宋_GB2312" w:eastAsia="仿宋_GB2312" w:hAnsi="Times New Roman" w:cs="Times New Roman" w:hint="eastAsia"/>
          <w:sz w:val="32"/>
          <w:szCs w:val="32"/>
        </w:rPr>
        <w:t>58</w:t>
      </w:r>
      <w:r w:rsidR="00D82233">
        <w:rPr>
          <w:rFonts w:ascii="仿宋_GB2312" w:eastAsia="仿宋_GB2312" w:hAnsi="Times New Roman" w:cs="Times New Roman" w:hint="eastAsia"/>
          <w:sz w:val="32"/>
          <w:szCs w:val="32"/>
        </w:rPr>
        <w:t>元，</w:t>
      </w:r>
      <w:r w:rsidR="00117533" w:rsidRPr="005930B7">
        <w:rPr>
          <w:rFonts w:ascii="仿宋_GB2312" w:eastAsia="仿宋_GB2312" w:hAnsi="Times New Roman" w:cs="Times New Roman" w:hint="eastAsia"/>
          <w:sz w:val="32"/>
          <w:szCs w:val="32"/>
        </w:rPr>
        <w:t>无形资产</w:t>
      </w:r>
      <w:r w:rsidR="005930B7">
        <w:rPr>
          <w:rFonts w:ascii="仿宋_GB2312" w:eastAsia="仿宋_GB2312" w:hAnsi="Times New Roman" w:cs="Times New Roman" w:hint="eastAsia"/>
          <w:sz w:val="32"/>
          <w:szCs w:val="32"/>
        </w:rPr>
        <w:t>净值</w:t>
      </w:r>
      <w:r w:rsidR="009622BA">
        <w:rPr>
          <w:rFonts w:ascii="仿宋_GB2312" w:eastAsia="仿宋_GB2312" w:hAnsi="Times New Roman" w:cs="Times New Roman" w:hint="eastAsia"/>
          <w:sz w:val="32"/>
          <w:szCs w:val="32"/>
        </w:rPr>
        <w:t>48</w:t>
      </w:r>
      <w:r w:rsidR="00D82233">
        <w:rPr>
          <w:rFonts w:ascii="仿宋_GB2312" w:eastAsia="仿宋_GB2312" w:hAnsi="Times New Roman" w:cs="Times New Roman" w:hint="eastAsia"/>
          <w:sz w:val="32"/>
          <w:szCs w:val="32"/>
        </w:rPr>
        <w:t>,</w:t>
      </w:r>
      <w:r w:rsidR="009622BA">
        <w:rPr>
          <w:rFonts w:ascii="仿宋_GB2312" w:eastAsia="仿宋_GB2312" w:hAnsi="Times New Roman" w:cs="Times New Roman" w:hint="eastAsia"/>
          <w:sz w:val="32"/>
          <w:szCs w:val="32"/>
        </w:rPr>
        <w:t>755</w:t>
      </w:r>
      <w:r w:rsidR="00D82233">
        <w:rPr>
          <w:rFonts w:ascii="仿宋_GB2312" w:eastAsia="仿宋_GB2312" w:hAnsi="Times New Roman" w:cs="Times New Roman" w:hint="eastAsia"/>
          <w:sz w:val="32"/>
          <w:szCs w:val="32"/>
        </w:rPr>
        <w:t>,</w:t>
      </w:r>
      <w:r w:rsidR="009622BA">
        <w:rPr>
          <w:rFonts w:ascii="仿宋_GB2312" w:eastAsia="仿宋_GB2312" w:hAnsi="Times New Roman" w:cs="Times New Roman" w:hint="eastAsia"/>
          <w:sz w:val="32"/>
          <w:szCs w:val="32"/>
        </w:rPr>
        <w:t>226</w:t>
      </w:r>
      <w:r w:rsidR="00D82233">
        <w:rPr>
          <w:rFonts w:ascii="仿宋_GB2312" w:eastAsia="仿宋_GB2312" w:hAnsi="Times New Roman" w:cs="Times New Roman" w:hint="eastAsia"/>
          <w:sz w:val="32"/>
          <w:szCs w:val="32"/>
        </w:rPr>
        <w:t>.</w:t>
      </w:r>
      <w:r w:rsidR="009622BA">
        <w:rPr>
          <w:rFonts w:ascii="仿宋_GB2312" w:eastAsia="仿宋_GB2312" w:hAnsi="Times New Roman" w:cs="Times New Roman" w:hint="eastAsia"/>
          <w:sz w:val="32"/>
          <w:szCs w:val="32"/>
        </w:rPr>
        <w:t>91</w:t>
      </w:r>
      <w:r w:rsidR="00D82233">
        <w:rPr>
          <w:rFonts w:ascii="仿宋_GB2312" w:eastAsia="仿宋_GB2312" w:hAnsi="Times New Roman" w:cs="Times New Roman" w:hint="eastAsia"/>
          <w:sz w:val="32"/>
          <w:szCs w:val="32"/>
        </w:rPr>
        <w:t>元</w:t>
      </w:r>
      <w:r w:rsidR="009622BA">
        <w:rPr>
          <w:rFonts w:ascii="仿宋_GB2312" w:eastAsia="仿宋_GB2312" w:hAnsi="Times New Roman" w:cs="Times New Roman" w:hint="eastAsia"/>
          <w:sz w:val="32"/>
          <w:szCs w:val="32"/>
        </w:rPr>
        <w:t>。</w:t>
      </w:r>
      <w:r w:rsidR="009622BA" w:rsidRPr="00DD2664">
        <w:rPr>
          <w:rFonts w:ascii="仿宋_GB2312" w:eastAsia="仿宋_GB2312" w:hAnsi="宋体" w:cs="宋体"/>
          <w:color w:val="000000"/>
          <w:kern w:val="0"/>
          <w:sz w:val="32"/>
          <w:szCs w:val="32"/>
        </w:rPr>
        <w:t xml:space="preserve"> </w:t>
      </w:r>
    </w:p>
    <w:p w:rsidR="00D71230" w:rsidRDefault="00D71230" w:rsidP="00D71230">
      <w:pPr>
        <w:ind w:firstLineChars="200" w:firstLine="640"/>
        <w:rPr>
          <w:rFonts w:ascii="仿宋" w:eastAsia="仿宋" w:hAnsi="仿宋"/>
          <w:sz w:val="32"/>
          <w:szCs w:val="32"/>
        </w:rPr>
      </w:pPr>
      <w:r>
        <w:rPr>
          <w:rFonts w:ascii="仿宋" w:eastAsia="仿宋" w:hAnsi="仿宋" w:hint="eastAsia"/>
          <w:sz w:val="32"/>
          <w:szCs w:val="32"/>
        </w:rPr>
        <w:t>（八）</w:t>
      </w:r>
      <w:r w:rsidR="00FB1319">
        <w:rPr>
          <w:rFonts w:ascii="仿宋" w:eastAsia="仿宋" w:hAnsi="仿宋" w:hint="eastAsia"/>
          <w:sz w:val="32"/>
          <w:szCs w:val="32"/>
        </w:rPr>
        <w:t>名词解释</w:t>
      </w:r>
    </w:p>
    <w:p w:rsidR="00895B87" w:rsidRPr="00D71230" w:rsidRDefault="00760D28" w:rsidP="00FB1319">
      <w:pPr>
        <w:ind w:firstLineChars="200" w:firstLine="640"/>
        <w:rPr>
          <w:rFonts w:ascii="仿宋_GB2312" w:eastAsia="仿宋_GB2312" w:hAnsiTheme="majorEastAsia"/>
          <w:sz w:val="32"/>
          <w:szCs w:val="32"/>
        </w:rPr>
      </w:pPr>
      <w:r>
        <w:rPr>
          <w:rFonts w:ascii="仿宋" w:eastAsia="仿宋" w:hAnsi="仿宋" w:hint="eastAsia"/>
          <w:sz w:val="32"/>
          <w:szCs w:val="32"/>
        </w:rPr>
        <w:t>机关</w:t>
      </w:r>
      <w:r w:rsidR="00D71230" w:rsidRPr="00554E2A">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公务用车运行维护以及其他费用。</w:t>
      </w:r>
    </w:p>
    <w:sectPr w:rsidR="00895B87" w:rsidRPr="00D71230" w:rsidSect="00383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A92" w:rsidRDefault="007A6A92" w:rsidP="006A3EFD">
      <w:r>
        <w:separator/>
      </w:r>
    </w:p>
  </w:endnote>
  <w:endnote w:type="continuationSeparator" w:id="1">
    <w:p w:rsidR="007A6A92" w:rsidRDefault="007A6A92" w:rsidP="006A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A92" w:rsidRDefault="007A6A92" w:rsidP="006A3EFD">
      <w:r>
        <w:separator/>
      </w:r>
    </w:p>
  </w:footnote>
  <w:footnote w:type="continuationSeparator" w:id="1">
    <w:p w:rsidR="007A6A92" w:rsidRDefault="007A6A92" w:rsidP="006A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231"/>
    <w:multiLevelType w:val="multilevel"/>
    <w:tmpl w:val="05082231"/>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
    <w:nsid w:val="54C54401"/>
    <w:multiLevelType w:val="multilevel"/>
    <w:tmpl w:val="54C5440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6D813538"/>
    <w:multiLevelType w:val="hybridMultilevel"/>
    <w:tmpl w:val="EEC80274"/>
    <w:lvl w:ilvl="0" w:tplc="A9A25E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9D8"/>
    <w:rsid w:val="000334FA"/>
    <w:rsid w:val="0003467A"/>
    <w:rsid w:val="00057570"/>
    <w:rsid w:val="00101B29"/>
    <w:rsid w:val="00117533"/>
    <w:rsid w:val="0018593D"/>
    <w:rsid w:val="001909F2"/>
    <w:rsid w:val="001C59D8"/>
    <w:rsid w:val="001E5FEE"/>
    <w:rsid w:val="002231B7"/>
    <w:rsid w:val="00262831"/>
    <w:rsid w:val="00274F2E"/>
    <w:rsid w:val="002D7C76"/>
    <w:rsid w:val="0035268E"/>
    <w:rsid w:val="003837B8"/>
    <w:rsid w:val="004263E9"/>
    <w:rsid w:val="004C0F7C"/>
    <w:rsid w:val="00520270"/>
    <w:rsid w:val="00521A53"/>
    <w:rsid w:val="00536387"/>
    <w:rsid w:val="005521E2"/>
    <w:rsid w:val="005930B7"/>
    <w:rsid w:val="005A07EA"/>
    <w:rsid w:val="005B6A91"/>
    <w:rsid w:val="00607EEF"/>
    <w:rsid w:val="0062002B"/>
    <w:rsid w:val="00636138"/>
    <w:rsid w:val="00643549"/>
    <w:rsid w:val="006A3EFD"/>
    <w:rsid w:val="006E06B4"/>
    <w:rsid w:val="00723B3F"/>
    <w:rsid w:val="00760D28"/>
    <w:rsid w:val="007A6A92"/>
    <w:rsid w:val="007B1D90"/>
    <w:rsid w:val="0085382E"/>
    <w:rsid w:val="00871A19"/>
    <w:rsid w:val="00895B87"/>
    <w:rsid w:val="008C3167"/>
    <w:rsid w:val="008D0B02"/>
    <w:rsid w:val="008D7762"/>
    <w:rsid w:val="00952186"/>
    <w:rsid w:val="009622BA"/>
    <w:rsid w:val="00A2381E"/>
    <w:rsid w:val="00AE22E5"/>
    <w:rsid w:val="00B35F55"/>
    <w:rsid w:val="00BB7CC4"/>
    <w:rsid w:val="00BD4285"/>
    <w:rsid w:val="00C332A6"/>
    <w:rsid w:val="00C5595C"/>
    <w:rsid w:val="00CB147E"/>
    <w:rsid w:val="00CE16F8"/>
    <w:rsid w:val="00CE2E52"/>
    <w:rsid w:val="00D36A02"/>
    <w:rsid w:val="00D54EA4"/>
    <w:rsid w:val="00D71230"/>
    <w:rsid w:val="00D82233"/>
    <w:rsid w:val="00DA0FA3"/>
    <w:rsid w:val="00DB42A4"/>
    <w:rsid w:val="00DD2664"/>
    <w:rsid w:val="00DF60C4"/>
    <w:rsid w:val="00E0067C"/>
    <w:rsid w:val="00E126BE"/>
    <w:rsid w:val="00E20262"/>
    <w:rsid w:val="00E8703C"/>
    <w:rsid w:val="00EA779F"/>
    <w:rsid w:val="00F80200"/>
    <w:rsid w:val="00FB1319"/>
    <w:rsid w:val="00FF01C2"/>
    <w:rsid w:val="00FF0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C59D8"/>
    <w:pPr>
      <w:ind w:firstLineChars="200" w:firstLine="420"/>
    </w:pPr>
    <w:rPr>
      <w:rFonts w:ascii="Calibri" w:eastAsia="宋体" w:hAnsi="Calibri" w:cs="Times New Roman"/>
    </w:rPr>
  </w:style>
  <w:style w:type="paragraph" w:styleId="a3">
    <w:name w:val="header"/>
    <w:basedOn w:val="a"/>
    <w:link w:val="Char"/>
    <w:uiPriority w:val="99"/>
    <w:semiHidden/>
    <w:unhideWhenUsed/>
    <w:rsid w:val="006A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EFD"/>
    <w:rPr>
      <w:sz w:val="18"/>
      <w:szCs w:val="18"/>
    </w:rPr>
  </w:style>
  <w:style w:type="paragraph" w:styleId="a4">
    <w:name w:val="footer"/>
    <w:basedOn w:val="a"/>
    <w:link w:val="Char0"/>
    <w:uiPriority w:val="99"/>
    <w:semiHidden/>
    <w:unhideWhenUsed/>
    <w:rsid w:val="006A3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EFD"/>
    <w:rPr>
      <w:sz w:val="18"/>
      <w:szCs w:val="18"/>
    </w:rPr>
  </w:style>
</w:styles>
</file>

<file path=word/webSettings.xml><?xml version="1.0" encoding="utf-8"?>
<w:webSettings xmlns:r="http://schemas.openxmlformats.org/officeDocument/2006/relationships" xmlns:w="http://schemas.openxmlformats.org/wordprocessingml/2006/main">
  <w:divs>
    <w:div w:id="1514168">
      <w:bodyDiv w:val="1"/>
      <w:marLeft w:val="0"/>
      <w:marRight w:val="0"/>
      <w:marTop w:val="0"/>
      <w:marBottom w:val="0"/>
      <w:divBdr>
        <w:top w:val="none" w:sz="0" w:space="0" w:color="auto"/>
        <w:left w:val="none" w:sz="0" w:space="0" w:color="auto"/>
        <w:bottom w:val="none" w:sz="0" w:space="0" w:color="auto"/>
        <w:right w:val="none" w:sz="0" w:space="0" w:color="auto"/>
      </w:divBdr>
    </w:div>
    <w:div w:id="42365879">
      <w:bodyDiv w:val="1"/>
      <w:marLeft w:val="0"/>
      <w:marRight w:val="0"/>
      <w:marTop w:val="0"/>
      <w:marBottom w:val="0"/>
      <w:divBdr>
        <w:top w:val="none" w:sz="0" w:space="0" w:color="auto"/>
        <w:left w:val="none" w:sz="0" w:space="0" w:color="auto"/>
        <w:bottom w:val="none" w:sz="0" w:space="0" w:color="auto"/>
        <w:right w:val="none" w:sz="0" w:space="0" w:color="auto"/>
      </w:divBdr>
    </w:div>
    <w:div w:id="157311481">
      <w:bodyDiv w:val="1"/>
      <w:marLeft w:val="0"/>
      <w:marRight w:val="0"/>
      <w:marTop w:val="0"/>
      <w:marBottom w:val="0"/>
      <w:divBdr>
        <w:top w:val="none" w:sz="0" w:space="0" w:color="auto"/>
        <w:left w:val="none" w:sz="0" w:space="0" w:color="auto"/>
        <w:bottom w:val="none" w:sz="0" w:space="0" w:color="auto"/>
        <w:right w:val="none" w:sz="0" w:space="0" w:color="auto"/>
      </w:divBdr>
    </w:div>
    <w:div w:id="213008382">
      <w:bodyDiv w:val="1"/>
      <w:marLeft w:val="0"/>
      <w:marRight w:val="0"/>
      <w:marTop w:val="0"/>
      <w:marBottom w:val="0"/>
      <w:divBdr>
        <w:top w:val="none" w:sz="0" w:space="0" w:color="auto"/>
        <w:left w:val="none" w:sz="0" w:space="0" w:color="auto"/>
        <w:bottom w:val="none" w:sz="0" w:space="0" w:color="auto"/>
        <w:right w:val="none" w:sz="0" w:space="0" w:color="auto"/>
      </w:divBdr>
    </w:div>
    <w:div w:id="216624522">
      <w:bodyDiv w:val="1"/>
      <w:marLeft w:val="0"/>
      <w:marRight w:val="0"/>
      <w:marTop w:val="0"/>
      <w:marBottom w:val="0"/>
      <w:divBdr>
        <w:top w:val="none" w:sz="0" w:space="0" w:color="auto"/>
        <w:left w:val="none" w:sz="0" w:space="0" w:color="auto"/>
        <w:bottom w:val="none" w:sz="0" w:space="0" w:color="auto"/>
        <w:right w:val="none" w:sz="0" w:space="0" w:color="auto"/>
      </w:divBdr>
    </w:div>
    <w:div w:id="233509039">
      <w:bodyDiv w:val="1"/>
      <w:marLeft w:val="0"/>
      <w:marRight w:val="0"/>
      <w:marTop w:val="0"/>
      <w:marBottom w:val="0"/>
      <w:divBdr>
        <w:top w:val="none" w:sz="0" w:space="0" w:color="auto"/>
        <w:left w:val="none" w:sz="0" w:space="0" w:color="auto"/>
        <w:bottom w:val="none" w:sz="0" w:space="0" w:color="auto"/>
        <w:right w:val="none" w:sz="0" w:space="0" w:color="auto"/>
      </w:divBdr>
    </w:div>
    <w:div w:id="479031625">
      <w:bodyDiv w:val="1"/>
      <w:marLeft w:val="0"/>
      <w:marRight w:val="0"/>
      <w:marTop w:val="0"/>
      <w:marBottom w:val="0"/>
      <w:divBdr>
        <w:top w:val="none" w:sz="0" w:space="0" w:color="auto"/>
        <w:left w:val="none" w:sz="0" w:space="0" w:color="auto"/>
        <w:bottom w:val="none" w:sz="0" w:space="0" w:color="auto"/>
        <w:right w:val="none" w:sz="0" w:space="0" w:color="auto"/>
      </w:divBdr>
    </w:div>
    <w:div w:id="595788330">
      <w:bodyDiv w:val="1"/>
      <w:marLeft w:val="0"/>
      <w:marRight w:val="0"/>
      <w:marTop w:val="0"/>
      <w:marBottom w:val="0"/>
      <w:divBdr>
        <w:top w:val="none" w:sz="0" w:space="0" w:color="auto"/>
        <w:left w:val="none" w:sz="0" w:space="0" w:color="auto"/>
        <w:bottom w:val="none" w:sz="0" w:space="0" w:color="auto"/>
        <w:right w:val="none" w:sz="0" w:space="0" w:color="auto"/>
      </w:divBdr>
    </w:div>
    <w:div w:id="640233886">
      <w:bodyDiv w:val="1"/>
      <w:marLeft w:val="0"/>
      <w:marRight w:val="0"/>
      <w:marTop w:val="0"/>
      <w:marBottom w:val="0"/>
      <w:divBdr>
        <w:top w:val="none" w:sz="0" w:space="0" w:color="auto"/>
        <w:left w:val="none" w:sz="0" w:space="0" w:color="auto"/>
        <w:bottom w:val="none" w:sz="0" w:space="0" w:color="auto"/>
        <w:right w:val="none" w:sz="0" w:space="0" w:color="auto"/>
      </w:divBdr>
    </w:div>
    <w:div w:id="894389237">
      <w:bodyDiv w:val="1"/>
      <w:marLeft w:val="0"/>
      <w:marRight w:val="0"/>
      <w:marTop w:val="0"/>
      <w:marBottom w:val="0"/>
      <w:divBdr>
        <w:top w:val="none" w:sz="0" w:space="0" w:color="auto"/>
        <w:left w:val="none" w:sz="0" w:space="0" w:color="auto"/>
        <w:bottom w:val="none" w:sz="0" w:space="0" w:color="auto"/>
        <w:right w:val="none" w:sz="0" w:space="0" w:color="auto"/>
      </w:divBdr>
    </w:div>
    <w:div w:id="1226065121">
      <w:bodyDiv w:val="1"/>
      <w:marLeft w:val="0"/>
      <w:marRight w:val="0"/>
      <w:marTop w:val="0"/>
      <w:marBottom w:val="0"/>
      <w:divBdr>
        <w:top w:val="none" w:sz="0" w:space="0" w:color="auto"/>
        <w:left w:val="none" w:sz="0" w:space="0" w:color="auto"/>
        <w:bottom w:val="none" w:sz="0" w:space="0" w:color="auto"/>
        <w:right w:val="none" w:sz="0" w:space="0" w:color="auto"/>
      </w:divBdr>
    </w:div>
    <w:div w:id="1226263624">
      <w:bodyDiv w:val="1"/>
      <w:marLeft w:val="0"/>
      <w:marRight w:val="0"/>
      <w:marTop w:val="0"/>
      <w:marBottom w:val="0"/>
      <w:divBdr>
        <w:top w:val="none" w:sz="0" w:space="0" w:color="auto"/>
        <w:left w:val="none" w:sz="0" w:space="0" w:color="auto"/>
        <w:bottom w:val="none" w:sz="0" w:space="0" w:color="auto"/>
        <w:right w:val="none" w:sz="0" w:space="0" w:color="auto"/>
      </w:divBdr>
    </w:div>
    <w:div w:id="1239248095">
      <w:bodyDiv w:val="1"/>
      <w:marLeft w:val="0"/>
      <w:marRight w:val="0"/>
      <w:marTop w:val="0"/>
      <w:marBottom w:val="0"/>
      <w:divBdr>
        <w:top w:val="none" w:sz="0" w:space="0" w:color="auto"/>
        <w:left w:val="none" w:sz="0" w:space="0" w:color="auto"/>
        <w:bottom w:val="none" w:sz="0" w:space="0" w:color="auto"/>
        <w:right w:val="none" w:sz="0" w:space="0" w:color="auto"/>
      </w:divBdr>
    </w:div>
    <w:div w:id="1401294005">
      <w:bodyDiv w:val="1"/>
      <w:marLeft w:val="0"/>
      <w:marRight w:val="0"/>
      <w:marTop w:val="0"/>
      <w:marBottom w:val="0"/>
      <w:divBdr>
        <w:top w:val="none" w:sz="0" w:space="0" w:color="auto"/>
        <w:left w:val="none" w:sz="0" w:space="0" w:color="auto"/>
        <w:bottom w:val="none" w:sz="0" w:space="0" w:color="auto"/>
        <w:right w:val="none" w:sz="0" w:space="0" w:color="auto"/>
      </w:divBdr>
    </w:div>
    <w:div w:id="1473860973">
      <w:bodyDiv w:val="1"/>
      <w:marLeft w:val="0"/>
      <w:marRight w:val="0"/>
      <w:marTop w:val="0"/>
      <w:marBottom w:val="0"/>
      <w:divBdr>
        <w:top w:val="none" w:sz="0" w:space="0" w:color="auto"/>
        <w:left w:val="none" w:sz="0" w:space="0" w:color="auto"/>
        <w:bottom w:val="none" w:sz="0" w:space="0" w:color="auto"/>
        <w:right w:val="none" w:sz="0" w:space="0" w:color="auto"/>
      </w:divBdr>
    </w:div>
    <w:div w:id="1621692053">
      <w:bodyDiv w:val="1"/>
      <w:marLeft w:val="0"/>
      <w:marRight w:val="0"/>
      <w:marTop w:val="0"/>
      <w:marBottom w:val="0"/>
      <w:divBdr>
        <w:top w:val="none" w:sz="0" w:space="0" w:color="auto"/>
        <w:left w:val="none" w:sz="0" w:space="0" w:color="auto"/>
        <w:bottom w:val="none" w:sz="0" w:space="0" w:color="auto"/>
        <w:right w:val="none" w:sz="0" w:space="0" w:color="auto"/>
      </w:divBdr>
    </w:div>
    <w:div w:id="1716999068">
      <w:bodyDiv w:val="1"/>
      <w:marLeft w:val="0"/>
      <w:marRight w:val="0"/>
      <w:marTop w:val="0"/>
      <w:marBottom w:val="0"/>
      <w:divBdr>
        <w:top w:val="none" w:sz="0" w:space="0" w:color="auto"/>
        <w:left w:val="none" w:sz="0" w:space="0" w:color="auto"/>
        <w:bottom w:val="none" w:sz="0" w:space="0" w:color="auto"/>
        <w:right w:val="none" w:sz="0" w:space="0" w:color="auto"/>
      </w:divBdr>
    </w:div>
    <w:div w:id="1731998396">
      <w:bodyDiv w:val="1"/>
      <w:marLeft w:val="0"/>
      <w:marRight w:val="0"/>
      <w:marTop w:val="0"/>
      <w:marBottom w:val="0"/>
      <w:divBdr>
        <w:top w:val="none" w:sz="0" w:space="0" w:color="auto"/>
        <w:left w:val="none" w:sz="0" w:space="0" w:color="auto"/>
        <w:bottom w:val="none" w:sz="0" w:space="0" w:color="auto"/>
        <w:right w:val="none" w:sz="0" w:space="0" w:color="auto"/>
      </w:divBdr>
    </w:div>
    <w:div w:id="1769888615">
      <w:bodyDiv w:val="1"/>
      <w:marLeft w:val="0"/>
      <w:marRight w:val="0"/>
      <w:marTop w:val="0"/>
      <w:marBottom w:val="0"/>
      <w:divBdr>
        <w:top w:val="none" w:sz="0" w:space="0" w:color="auto"/>
        <w:left w:val="none" w:sz="0" w:space="0" w:color="auto"/>
        <w:bottom w:val="none" w:sz="0" w:space="0" w:color="auto"/>
        <w:right w:val="none" w:sz="0" w:space="0" w:color="auto"/>
      </w:divBdr>
    </w:div>
    <w:div w:id="1788312541">
      <w:bodyDiv w:val="1"/>
      <w:marLeft w:val="0"/>
      <w:marRight w:val="0"/>
      <w:marTop w:val="0"/>
      <w:marBottom w:val="0"/>
      <w:divBdr>
        <w:top w:val="none" w:sz="0" w:space="0" w:color="auto"/>
        <w:left w:val="none" w:sz="0" w:space="0" w:color="auto"/>
        <w:bottom w:val="none" w:sz="0" w:space="0" w:color="auto"/>
        <w:right w:val="none" w:sz="0" w:space="0" w:color="auto"/>
      </w:divBdr>
    </w:div>
    <w:div w:id="1824929983">
      <w:bodyDiv w:val="1"/>
      <w:marLeft w:val="0"/>
      <w:marRight w:val="0"/>
      <w:marTop w:val="0"/>
      <w:marBottom w:val="0"/>
      <w:divBdr>
        <w:top w:val="none" w:sz="0" w:space="0" w:color="auto"/>
        <w:left w:val="none" w:sz="0" w:space="0" w:color="auto"/>
        <w:bottom w:val="none" w:sz="0" w:space="0" w:color="auto"/>
        <w:right w:val="none" w:sz="0" w:space="0" w:color="auto"/>
      </w:divBdr>
    </w:div>
    <w:div w:id="1954630281">
      <w:bodyDiv w:val="1"/>
      <w:marLeft w:val="0"/>
      <w:marRight w:val="0"/>
      <w:marTop w:val="0"/>
      <w:marBottom w:val="0"/>
      <w:divBdr>
        <w:top w:val="none" w:sz="0" w:space="0" w:color="auto"/>
        <w:left w:val="none" w:sz="0" w:space="0" w:color="auto"/>
        <w:bottom w:val="none" w:sz="0" w:space="0" w:color="auto"/>
        <w:right w:val="none" w:sz="0" w:space="0" w:color="auto"/>
      </w:divBdr>
    </w:div>
    <w:div w:id="2118258576">
      <w:bodyDiv w:val="1"/>
      <w:marLeft w:val="0"/>
      <w:marRight w:val="0"/>
      <w:marTop w:val="0"/>
      <w:marBottom w:val="0"/>
      <w:divBdr>
        <w:top w:val="none" w:sz="0" w:space="0" w:color="auto"/>
        <w:left w:val="none" w:sz="0" w:space="0" w:color="auto"/>
        <w:bottom w:val="none" w:sz="0" w:space="0" w:color="auto"/>
        <w:right w:val="none" w:sz="0" w:space="0" w:color="auto"/>
      </w:divBdr>
    </w:div>
    <w:div w:id="21258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127</Words>
  <Characters>724</Characters>
  <Application>Microsoft Office Word</Application>
  <DocSecurity>0</DocSecurity>
  <Lines>6</Lines>
  <Paragraphs>1</Paragraphs>
  <ScaleCrop>false</ScaleCrop>
  <Company>微软中国</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3</cp:revision>
  <dcterms:created xsi:type="dcterms:W3CDTF">2023-08-22T03:39:00Z</dcterms:created>
  <dcterms:modified xsi:type="dcterms:W3CDTF">2023-08-22T09:02:00Z</dcterms:modified>
</cp:coreProperties>
</file>