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10602250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_Toc15194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22</w:t>
          </w:r>
          <w:r>
            <w:rPr>
              <w:rFonts w:hint="eastAsia" w:ascii="楷体" w:hAnsi="楷体" w:eastAsia="楷体" w:cs="楷体"/>
              <w:highlight w:val="none"/>
            </w:rPr>
            <w:t>年部门决算编制说明</w:t>
          </w:r>
          <w:r>
            <w:tab/>
          </w:r>
          <w:r>
            <w:fldChar w:fldCharType="begin"/>
          </w:r>
          <w:r>
            <w:instrText xml:space="preserve"> PAGEREF _Toc15194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_Toc30502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第一部分、20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22</w:t>
          </w:r>
          <w:r>
            <w:rPr>
              <w:rFonts w:hint="eastAsia" w:ascii="楷体" w:hAnsi="楷体" w:eastAsia="楷体" w:cs="楷体"/>
              <w:highlight w:val="none"/>
            </w:rPr>
            <w:t>年部门决算说明</w:t>
          </w:r>
          <w:r>
            <w:tab/>
          </w:r>
          <w:r>
            <w:fldChar w:fldCharType="begin"/>
          </w:r>
          <w:r>
            <w:instrText xml:space="preserve"> PAGEREF _Toc30502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_Toc21543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一、部门主要职责及机构设置情况</w:t>
          </w:r>
          <w:r>
            <w:tab/>
          </w:r>
          <w:r>
            <w:fldChar w:fldCharType="begin"/>
          </w:r>
          <w:r>
            <w:instrText xml:space="preserve"> PAGEREF _Toc21543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_Toc23908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（一）主要职责</w:t>
          </w:r>
          <w:r>
            <w:tab/>
          </w:r>
          <w:r>
            <w:fldChar w:fldCharType="begin"/>
          </w:r>
          <w:r>
            <w:instrText xml:space="preserve"> PAGEREF _Toc23908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_Toc11424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（二）人员构成情况</w:t>
          </w:r>
          <w:r>
            <w:tab/>
          </w:r>
          <w:r>
            <w:fldChar w:fldCharType="begin"/>
          </w:r>
          <w:r>
            <w:instrText xml:space="preserve"> PAGEREF _Toc11424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_Toc23300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（三）部门决算单位构成</w:t>
          </w:r>
          <w:r>
            <w:tab/>
          </w:r>
          <w:r>
            <w:fldChar w:fldCharType="begin"/>
          </w:r>
          <w:r>
            <w:instrText xml:space="preserve"> PAGEREF _Toc23300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_Toc9407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二、20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22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年部门收入支出决算总体情况说明</w:t>
          </w:r>
          <w:r>
            <w:tab/>
          </w:r>
          <w:r>
            <w:fldChar w:fldCharType="begin"/>
          </w:r>
          <w:r>
            <w:instrText xml:space="preserve"> PAGEREF _Toc9407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_Toc3404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（一）收入总体情况</w:t>
          </w:r>
          <w:r>
            <w:tab/>
          </w:r>
          <w:r>
            <w:fldChar w:fldCharType="begin"/>
          </w:r>
          <w:r>
            <w:instrText xml:space="preserve"> PAGEREF _Toc3404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_Toc29981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（二）支出总体情况</w:t>
          </w:r>
          <w:r>
            <w:tab/>
          </w:r>
          <w:r>
            <w:fldChar w:fldCharType="begin"/>
          </w:r>
          <w:r>
            <w:instrText xml:space="preserve"> PAGEREF _Toc29981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_Toc16685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三、20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22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年一般公共预算财政拨款支出决算情况说明</w:t>
          </w:r>
          <w:r>
            <w:tab/>
          </w:r>
          <w:r>
            <w:fldChar w:fldCharType="begin"/>
          </w:r>
          <w:r>
            <w:instrText xml:space="preserve"> PAGEREF _Toc16685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_Toc23202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（一）一般公共预算财政拨款支出决算总体情况</w:t>
          </w:r>
          <w:r>
            <w:tab/>
          </w:r>
          <w:r>
            <w:fldChar w:fldCharType="begin"/>
          </w:r>
          <w:r>
            <w:instrText xml:space="preserve"> PAGEREF _Toc23202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_Toc15562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（二）一般公共预算财政拨款支出决算具体情况</w:t>
          </w:r>
          <w:r>
            <w:tab/>
          </w:r>
          <w:r>
            <w:fldChar w:fldCharType="begin"/>
          </w:r>
          <w:r>
            <w:instrText xml:space="preserve"> PAGEREF _Toc15562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_Toc21613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四、20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22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年一般公共预算财政拨款基本支出决算情况说明</w:t>
          </w:r>
          <w:r>
            <w:tab/>
          </w:r>
          <w:r>
            <w:fldChar w:fldCharType="begin"/>
          </w:r>
          <w:r>
            <w:instrText xml:space="preserve"> PAGEREF _Toc21613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_Toc13857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五、20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22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年一般公共预算财政拨款“三公”经费支出决算情况说明</w:t>
          </w:r>
          <w:r>
            <w:tab/>
          </w:r>
          <w:r>
            <w:fldChar w:fldCharType="begin"/>
          </w:r>
          <w:r>
            <w:instrText xml:space="preserve"> PAGEREF _Toc13857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_Toc11871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（一）“三公”经费财政拨款决算的单位范围</w:t>
          </w:r>
          <w:r>
            <w:tab/>
          </w:r>
          <w:r>
            <w:fldChar w:fldCharType="begin"/>
          </w:r>
          <w:r>
            <w:instrText xml:space="preserve"> PAGEREF _Toc11871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_Toc26625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（二）“三公”经费财政拨款决算情况说明</w:t>
          </w:r>
          <w:r>
            <w:tab/>
          </w:r>
          <w:r>
            <w:fldChar w:fldCharType="begin"/>
          </w:r>
          <w:r>
            <w:instrText xml:space="preserve"> PAGEREF _Toc26625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_Toc9398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六、20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22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年政府性基金预算财政拨款收入支出决算情况说明</w:t>
          </w:r>
          <w:r>
            <w:tab/>
          </w:r>
          <w:r>
            <w:fldChar w:fldCharType="begin"/>
          </w:r>
          <w:r>
            <w:instrText xml:space="preserve"> PAGEREF _Toc9398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_Toc32694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七、国有资本经营预算拨款收入支出决算情况说明</w:t>
          </w:r>
          <w:r>
            <w:tab/>
          </w:r>
          <w:r>
            <w:fldChar w:fldCharType="begin"/>
          </w:r>
          <w:r>
            <w:instrText xml:space="preserve"> PAGEREF _Toc32694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_Toc4487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八、20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22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年其他重要事项的情况说明</w:t>
          </w:r>
          <w:r>
            <w:tab/>
          </w:r>
          <w:r>
            <w:fldChar w:fldCharType="begin"/>
          </w:r>
          <w:r>
            <w:instrText xml:space="preserve"> PAGEREF _Toc4487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_Toc12563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（一）机关运行经费支出情况</w:t>
          </w:r>
          <w:r>
            <w:tab/>
          </w:r>
          <w:r>
            <w:fldChar w:fldCharType="begin"/>
          </w:r>
          <w:r>
            <w:instrText xml:space="preserve"> PAGEREF _Toc12563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_Toc23334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（二）政府采购支出情况</w:t>
          </w:r>
          <w:r>
            <w:tab/>
          </w:r>
          <w:r>
            <w:fldChar w:fldCharType="begin"/>
          </w:r>
          <w:r>
            <w:instrText xml:space="preserve"> PAGEREF _Toc23334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_Toc27579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（三）政府购买服务支出情况</w:t>
          </w:r>
          <w:r>
            <w:tab/>
          </w:r>
          <w:r>
            <w:fldChar w:fldCharType="begin"/>
          </w:r>
          <w:r>
            <w:instrText xml:space="preserve"> PAGEREF _Toc27579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_Toc21181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（四）国有资产占用情况</w:t>
          </w:r>
          <w:r>
            <w:tab/>
          </w:r>
          <w:r>
            <w:fldChar w:fldCharType="begin"/>
          </w:r>
          <w:r>
            <w:instrText xml:space="preserve"> PAGEREF _Toc21181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_Toc17379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（五）绩效目标开展情况</w:t>
          </w:r>
          <w:r>
            <w:tab/>
          </w:r>
          <w:r>
            <w:fldChar w:fldCharType="begin"/>
          </w:r>
          <w:r>
            <w:instrText xml:space="preserve"> PAGEREF _Toc17379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_Toc27805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九、各类民生支出情况</w:t>
          </w:r>
          <w:r>
            <w:tab/>
          </w:r>
          <w:r>
            <w:fldChar w:fldCharType="begin"/>
          </w:r>
          <w:r>
            <w:instrText xml:space="preserve"> PAGEREF _Toc27805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_Toc29148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十、专用名词解释</w:t>
          </w:r>
          <w:r>
            <w:tab/>
          </w:r>
          <w:r>
            <w:fldChar w:fldCharType="begin"/>
          </w:r>
          <w:r>
            <w:instrText xml:space="preserve"> PAGEREF _Toc29148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_Toc18445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第二部分、20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22</w:t>
          </w:r>
          <w:r>
            <w:rPr>
              <w:rFonts w:hint="eastAsia" w:ascii="楷体" w:hAnsi="楷体" w:eastAsia="楷体" w:cs="楷体"/>
              <w:highlight w:val="none"/>
            </w:rPr>
            <w:t>年部门决算表</w:t>
          </w:r>
          <w:r>
            <w:tab/>
          </w:r>
          <w:r>
            <w:fldChar w:fldCharType="begin"/>
          </w:r>
          <w:r>
            <w:instrText xml:space="preserve"> PAGEREF _Toc18445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_Toc10016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表一、收入支出决算总表</w:t>
          </w:r>
          <w:r>
            <w:tab/>
          </w:r>
          <w:r>
            <w:fldChar w:fldCharType="begin"/>
          </w:r>
          <w:r>
            <w:instrText xml:space="preserve"> PAGEREF _Toc10016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_Toc27302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表二、收入决算表</w:t>
          </w:r>
          <w:r>
            <w:tab/>
          </w:r>
          <w:r>
            <w:fldChar w:fldCharType="begin"/>
          </w:r>
          <w:r>
            <w:instrText xml:space="preserve"> PAGEREF _Toc27302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_Toc11461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表三、支出决算表</w:t>
          </w:r>
          <w:r>
            <w:tab/>
          </w:r>
          <w:r>
            <w:fldChar w:fldCharType="begin"/>
          </w:r>
          <w:r>
            <w:instrText xml:space="preserve"> PAGEREF _Toc11461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_Toc29567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表四、财政拨款收入支出决算总表</w:t>
          </w:r>
          <w:r>
            <w:tab/>
          </w:r>
          <w:r>
            <w:fldChar w:fldCharType="begin"/>
          </w:r>
          <w:r>
            <w:instrText xml:space="preserve"> PAGEREF _Toc29567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_Toc7807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表五、一般公共预算财政拨款支出决算表</w:t>
          </w:r>
          <w:r>
            <w:tab/>
          </w:r>
          <w:r>
            <w:fldChar w:fldCharType="begin"/>
          </w:r>
          <w:r>
            <w:instrText xml:space="preserve"> PAGEREF _Toc7807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_Toc27820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表六、一般公共预算财政拨款基本支出决算表</w:t>
          </w:r>
          <w:r>
            <w:tab/>
          </w:r>
          <w:r>
            <w:fldChar w:fldCharType="begin"/>
          </w:r>
          <w:r>
            <w:instrText xml:space="preserve"> PAGEREF _Toc27820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_Toc28299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表七、一般公共预算财政拨款“三公”经费支出决算表</w:t>
          </w:r>
          <w:r>
            <w:tab/>
          </w:r>
          <w:r>
            <w:fldChar w:fldCharType="begin"/>
          </w:r>
          <w:r>
            <w:instrText xml:space="preserve"> PAGEREF _Toc28299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_Toc21995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表八、政府性基金预算财政拨款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收入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支出决算表</w:t>
          </w:r>
          <w:r>
            <w:tab/>
          </w:r>
          <w:r>
            <w:fldChar w:fldCharType="begin"/>
          </w:r>
          <w:r>
            <w:instrText xml:space="preserve"> PAGEREF _Toc21995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_Toc583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表九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政府性基金预算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财政拨款基本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支出决算表</w:t>
          </w:r>
          <w:r>
            <w:tab/>
          </w:r>
          <w:r>
            <w:fldChar w:fldCharType="begin"/>
          </w:r>
          <w:r>
            <w:instrText xml:space="preserve"> PAGEREF _Toc583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_Toc6507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、国有资本经营预算拨款支出决算表</w:t>
          </w:r>
          <w:r>
            <w:tab/>
          </w:r>
          <w:r>
            <w:fldChar w:fldCharType="begin"/>
          </w:r>
          <w:r>
            <w:instrText xml:space="preserve"> PAGEREF _Toc6507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_Toc29767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一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、政府采购情况表</w:t>
          </w:r>
          <w:r>
            <w:tab/>
          </w:r>
          <w:r>
            <w:fldChar w:fldCharType="begin"/>
          </w:r>
          <w:r>
            <w:instrText xml:space="preserve"> PAGEREF _Toc29767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_Toc25614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二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、政府购买服务情况表</w:t>
          </w:r>
          <w:r>
            <w:tab/>
          </w:r>
          <w:r>
            <w:fldChar w:fldCharType="begin"/>
          </w:r>
          <w:r>
            <w:instrText xml:space="preserve"> PAGEREF _Toc25614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_Toc12307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三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、民生预算明细表</w:t>
          </w:r>
          <w:r>
            <w:tab/>
          </w:r>
          <w:r>
            <w:fldChar w:fldCharType="begin"/>
          </w:r>
          <w:r>
            <w:instrText xml:space="preserve"> PAGEREF _Toc12307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jc w:val="center"/>
        <w:rPr>
          <w:rFonts w:hint="eastAsia" w:ascii="楷体" w:hAnsi="楷体" w:eastAsia="楷体" w:cs="楷体"/>
          <w:highlight w:val="none"/>
        </w:rPr>
      </w:pPr>
      <w:bookmarkStart w:id="0" w:name="_Toc15194"/>
      <w:r>
        <w:rPr>
          <w:rFonts w:hint="eastAsia" w:ascii="楷体" w:hAnsi="楷体" w:eastAsia="楷体" w:cs="楷体"/>
          <w:highlight w:val="none"/>
        </w:rPr>
        <w:t>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22</w:t>
      </w:r>
      <w:r>
        <w:rPr>
          <w:rFonts w:hint="eastAsia" w:ascii="楷体" w:hAnsi="楷体" w:eastAsia="楷体" w:cs="楷体"/>
          <w:highlight w:val="none"/>
        </w:rPr>
        <w:t>年部门决算编制说明</w:t>
      </w:r>
      <w:bookmarkEnd w:id="0"/>
    </w:p>
    <w:p>
      <w:pPr>
        <w:pStyle w:val="2"/>
        <w:rPr>
          <w:rFonts w:hint="eastAsia" w:ascii="楷体" w:hAnsi="楷体" w:eastAsia="楷体" w:cs="楷体"/>
          <w:highlight w:val="none"/>
        </w:rPr>
      </w:pPr>
      <w:bookmarkStart w:id="1" w:name="_Toc30502"/>
      <w:r>
        <w:rPr>
          <w:rFonts w:hint="eastAsia" w:ascii="楷体" w:hAnsi="楷体" w:eastAsia="楷体" w:cs="楷体"/>
          <w:highlight w:val="none"/>
        </w:rPr>
        <w:t>第一部分、20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22</w:t>
      </w:r>
      <w:r>
        <w:rPr>
          <w:rFonts w:hint="eastAsia" w:ascii="楷体" w:hAnsi="楷体" w:eastAsia="楷体" w:cs="楷体"/>
          <w:highlight w:val="none"/>
        </w:rPr>
        <w:t>年部门决算说明</w:t>
      </w:r>
      <w:bookmarkEnd w:id="1"/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" w:name="_Toc21543"/>
      <w:r>
        <w:rPr>
          <w:rFonts w:hint="eastAsia" w:ascii="黑体" w:hAnsi="黑体" w:eastAsia="黑体" w:cs="黑体"/>
          <w:sz w:val="30"/>
          <w:szCs w:val="30"/>
          <w:highlight w:val="none"/>
        </w:rPr>
        <w:t>一、部门主要职责及机构设置情况</w:t>
      </w:r>
      <w:bookmarkEnd w:id="2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" w:name="_Toc23908"/>
      <w:r>
        <w:rPr>
          <w:rFonts w:hint="eastAsia" w:ascii="黑体" w:hAnsi="黑体" w:eastAsia="黑体" w:cs="黑体"/>
          <w:sz w:val="30"/>
          <w:szCs w:val="30"/>
          <w:highlight w:val="none"/>
        </w:rPr>
        <w:t>（一）主要职责</w:t>
      </w:r>
      <w:bookmarkEnd w:id="3"/>
    </w:p>
    <w:p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广内街道工委是区委的派出机关，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根据区委的授权，全面负责辖区党的建设，领导辖区的工作和基层社会治理；广内街道办事处是区政府的派出机关，依据法律法规的规定，在区政府和街道工委的领导下，履行相应职能。广内街道工委与广内街道办事处合署办公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街道工委主要职责：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宣传和执行党的路线、方针、政策，宣传和执行党中央、市委、区委的决议，及时向区委报告辖区有关情况、反映问题、提出意见建议。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讨论并决定辖区重大问题，统筹推进平安建设、城市管理、社区建设、民生保障等工作， 统筹、协调辖区单位和组织，团结、组织党内外干部和群众， 抓好决策部署的组织实施和督促落实。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履行全面从严治党主体责任，全面推进辖区党的政治建设、 思想建设、组织建设、作风建设、纪律建设，把制度建设贯穿其中，组织协调反腐败工作。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组织维护辖区安全稳定，协调推动社会治安综合治理，承担民兵预备役、征兵、民防工作。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承办区委交办的其他事项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街道办事处主要职责：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贯彻执行法律、法规、规章和市、区政府的决策部署，依法管理基层公共事务。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参与制定并组织实施社区建设规划和公共服务设施规划，组织辖区单位、居民和志愿者队伍为社区发展服务。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负责社区居民委员会建设，指导社区居民委员会工作，培育、发展社区社会组织，指导、监督社区业主委员会。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推进居民自治，动员社会力量参与社区治理，推动形成社区共治合力。向上级政府反映社情民意。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组织开展群众性文化、体育、科普活动，开展法治宣和社会公德教育，推动社区公益事业发展。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负责联系、服务辖区单位，营造良好的营商环境。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承办区政府交办的其他事项</w:t>
      </w:r>
    </w:p>
    <w:p>
      <w:pPr>
        <w:pStyle w:val="28"/>
        <w:spacing w:line="600" w:lineRule="exact"/>
        <w:ind w:firstLine="640"/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纪律检查工作委员会（监察组）职责: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根据上述职责， 广内街道工委、办事处设置以下 7 个内设机构。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（一）综合办公室、（二）党群工作办公室（ 人大代表工作委员会、总工会、团工委、妇联）、（三）平安建设办公室（政法工作办公室、 人民武装部、司法所）、（四）城市管理办公室（区城管执法监察局广内执法队）、（五）社区建设办公室、（六）民生保障办公室（残联）、（七）地区协调服务办公室（ 统计所）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本单位下辖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个事业单位，分别是广内街道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党群服务中心、广内街道市民服务中心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及广内街道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全响应街区治理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中心。</w:t>
      </w:r>
    </w:p>
    <w:p>
      <w:pPr>
        <w:pStyle w:val="4"/>
        <w:rPr>
          <w:sz w:val="30"/>
          <w:szCs w:val="30"/>
          <w:highlight w:val="none"/>
        </w:rPr>
      </w:pPr>
      <w:bookmarkStart w:id="4" w:name="_Toc11424"/>
      <w:r>
        <w:rPr>
          <w:rFonts w:hint="eastAsia" w:ascii="黑体" w:hAnsi="黑体" w:eastAsia="黑体" w:cs="黑体"/>
          <w:sz w:val="30"/>
          <w:szCs w:val="30"/>
          <w:highlight w:val="none"/>
        </w:rPr>
        <w:t>（二）人员构成情况</w:t>
      </w:r>
      <w:bookmarkEnd w:id="4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广内街道工委、办事处行政编制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11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名（其中工勤编制6名）；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 xml:space="preserve">政法专项编制 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 xml:space="preserve"> 名；行政执法专项编制 28名，共计1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名，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实有人数142人；长期聘用临时工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人。事业编制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其中事业工勤编制2人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，实际人数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人。实际长期聘用临时工0人。离退休人员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人，其中：离休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人，机关退休131人，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事业单位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退休20人。我街道共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个社区，20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年12月底实有社区工作者2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我街道财政负担的托幼退养人员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人，托幼退休人员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人，民政地退人员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pStyle w:val="4"/>
        <w:rPr>
          <w:highlight w:val="none"/>
        </w:rPr>
      </w:pPr>
      <w:bookmarkStart w:id="5" w:name="_Toc23300"/>
      <w:r>
        <w:rPr>
          <w:rFonts w:hint="eastAsia" w:ascii="黑体" w:hAnsi="黑体" w:eastAsia="黑体" w:cs="黑体"/>
          <w:sz w:val="30"/>
          <w:szCs w:val="30"/>
          <w:highlight w:val="none"/>
        </w:rPr>
        <w:t>（三）部门决算单位构成</w:t>
      </w:r>
      <w:bookmarkEnd w:id="5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决算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范围包含了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1个单位即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广安门内街道办事处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，没有纳入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2022年决算范围的二级决算单位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6" w:name="_Toc9407"/>
      <w:r>
        <w:rPr>
          <w:rFonts w:hint="eastAsia" w:ascii="黑体" w:hAnsi="黑体" w:eastAsia="黑体" w:cs="黑体"/>
          <w:sz w:val="30"/>
          <w:szCs w:val="30"/>
          <w:highlight w:val="none"/>
        </w:rPr>
        <w:t>二、20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年部门收入支出决算总体情况说明</w:t>
      </w:r>
      <w:bookmarkEnd w:id="6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7" w:name="_Toc3404"/>
      <w:r>
        <w:rPr>
          <w:rFonts w:hint="eastAsia" w:ascii="黑体" w:hAnsi="黑体" w:eastAsia="黑体" w:cs="黑体"/>
          <w:sz w:val="30"/>
          <w:szCs w:val="30"/>
          <w:highlight w:val="none"/>
        </w:rPr>
        <w:t>（一）收入总体情况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年收入决算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293,887,117.98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元。其中：财政拨款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293,887,117.98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273,354,692.66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元相比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20,532,425.32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7.51%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原因主要是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疫情防控支出增加，市拨垃圾分类专项经费，市拨大气污染防治经费。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本单位年初结转结余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713,898.00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4"/>
        <w:ind w:firstLine="301" w:firstLineChars="100"/>
        <w:rPr>
          <w:highlight w:val="none"/>
        </w:rPr>
      </w:pPr>
      <w:bookmarkStart w:id="8" w:name="_Toc29981"/>
      <w:r>
        <w:rPr>
          <w:rFonts w:hint="eastAsia" w:ascii="黑体" w:hAnsi="黑体" w:eastAsia="黑体" w:cs="黑体"/>
          <w:sz w:val="30"/>
          <w:szCs w:val="30"/>
          <w:highlight w:val="none"/>
        </w:rPr>
        <w:t>（二）支出总体情况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年支出决算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294,601,015.98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273,793,120.51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元相比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总支出增加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20,807,895.47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7.60%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原因有：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购买防疫物资需求增加，市拨专项经费用于垃圾分类、大气污染防治。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其中，公共预算财政拨款支出决算数294,223,735.98元，较2021年决算数273,091,206.07增加21,132,529.91元，增幅7.74%；国有资本经营预算财政拨款支出决算数377,280.00元。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从支出构成角度看，2022年基本支出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81,384,361.70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元，占总支出27.63%（2021年占比25.37%），较上年增加2.26%。项目支出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213,216,654.28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元，占总支出72.37%（2021年占比74.89%），较2021年下降2.52%，主要原因是部分居民活动受疫情影响无法开展，相对比例下降。</w:t>
      </w:r>
    </w:p>
    <w:p>
      <w:pPr>
        <w:ind w:firstLine="640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2022年度末我街道无结转结余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9" w:name="_Toc16685"/>
      <w:r>
        <w:rPr>
          <w:rFonts w:hint="eastAsia" w:ascii="黑体" w:hAnsi="黑体" w:eastAsia="黑体" w:cs="黑体"/>
          <w:highlight w:val="none"/>
        </w:rPr>
        <w:t>三、20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22</w:t>
      </w:r>
      <w:r>
        <w:rPr>
          <w:rFonts w:hint="eastAsia" w:ascii="黑体" w:hAnsi="黑体" w:eastAsia="黑体" w:cs="黑体"/>
          <w:highlight w:val="none"/>
        </w:rPr>
        <w:t>年一般公共预算财政拨款支出决算情况说明</w:t>
      </w:r>
      <w:bookmarkEnd w:id="9"/>
    </w:p>
    <w:p>
      <w:pPr>
        <w:pStyle w:val="4"/>
        <w:rPr>
          <w:rFonts w:hint="eastAsia" w:ascii="黑体" w:hAnsi="黑体" w:eastAsia="黑体" w:cs="黑体"/>
          <w:highlight w:val="none"/>
        </w:rPr>
      </w:pPr>
      <w:bookmarkStart w:id="10" w:name="_Toc23202"/>
      <w:r>
        <w:rPr>
          <w:rFonts w:hint="eastAsia" w:ascii="黑体" w:hAnsi="黑体" w:eastAsia="黑体" w:cs="黑体"/>
          <w:highlight w:val="none"/>
        </w:rPr>
        <w:t>（一）一般公共预算财政拨款支出决算总体情况</w:t>
      </w:r>
      <w:bookmarkEnd w:id="10"/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年财政拨款支出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294,601,015.98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元，主要用于以下方面(按大类)：一般公共服务支出（类）80,506,389.17元，占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27.33%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国防支出（类）38,136.00元，占0.01%；公共安全支出（类）1,108,799.83元，占0.38%；教育支出（类）441,271.00元，占0.15%；文化旅游体育与传媒支出（类）5,913,504.49元，占2.01%；社会保障和就业支出（类）115,788,136.23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39.30%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；卫生健康支出（类）13,260,146.97元，占4.50%；节能环保支出（类）1,222,937.76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元，占0.42%；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城乡社区支出（类）66,915,910.53元，占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22.71%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；住房保障支出（类）9,028,504.00元，占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3.06%;国有资本经营预算支出（类）377,280.00元，占0.13%。</w:t>
      </w:r>
    </w:p>
    <w:p>
      <w:pPr>
        <w:pStyle w:val="4"/>
        <w:rPr>
          <w:highlight w:val="none"/>
        </w:rPr>
      </w:pPr>
      <w:bookmarkStart w:id="11" w:name="_Toc15562"/>
      <w:r>
        <w:rPr>
          <w:rFonts w:hint="eastAsia" w:ascii="黑体" w:hAnsi="黑体" w:eastAsia="黑体" w:cs="黑体"/>
          <w:sz w:val="30"/>
          <w:szCs w:val="30"/>
          <w:highlight w:val="none"/>
        </w:rPr>
        <w:t>（二）一般公共预算财政拨款支出决算具体情况</w:t>
      </w:r>
      <w:bookmarkEnd w:id="11"/>
    </w:p>
    <w:p>
      <w:pPr>
        <w:numPr>
          <w:ilvl w:val="0"/>
          <w:numId w:val="1"/>
        </w:numPr>
        <w:tabs>
          <w:tab w:val="left" w:pos="0"/>
          <w:tab w:val="clear" w:pos="720"/>
        </w:tabs>
        <w:ind w:left="0" w:firstLine="720" w:firstLineChars="22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年支出决算按用途划分：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公共预算财政拨款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293,887,117.98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30,312,761.70元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11.50%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基本支出决算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81,384,361.70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14,727,070.78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（2）项目支出决算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213,216,654.28元。比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16,299,588.92元，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8.28%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购买防疫物资需求增加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28"/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支出的主要项目是①社区工作者经费②街巷准物业服务③最低生活保障金④环卫保洁工作经费⑤流管员人员经费⑥机关房屋租赁费⑦社区居委会房租租赁经费⑧2022年社区党组织服务群众经费⑨西便门东里社区服务及活动中心项目⑩困难残疾人生活补贴和重度残疾人护理补贴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12" w:name="_Toc21613"/>
      <w:r>
        <w:rPr>
          <w:rFonts w:hint="eastAsia" w:ascii="黑体" w:hAnsi="黑体" w:eastAsia="黑体" w:cs="黑体"/>
          <w:highlight w:val="none"/>
        </w:rPr>
        <w:t>四、20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22</w:t>
      </w:r>
      <w:r>
        <w:rPr>
          <w:rFonts w:hint="eastAsia" w:ascii="黑体" w:hAnsi="黑体" w:eastAsia="黑体" w:cs="黑体"/>
          <w:highlight w:val="none"/>
        </w:rPr>
        <w:t>年一般公共预算财政拨款基本支出决算情况说明</w:t>
      </w:r>
      <w:bookmarkEnd w:id="12"/>
    </w:p>
    <w:p>
      <w:pPr>
        <w:ind w:firstLine="739" w:firstLineChars="231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年财政拨款基本支出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81,384,361.70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元，其中：①工资福利支出75,017,399.32元（包括：基本工资、津贴补贴、奖金、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绩效工资、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机关事业单位基本养老保险费、职业年金缴费、职工基本医疗保险缴费、其他社会保障缴费、住房公积金）②商品和服务支出4,805,216.47元（包括：办公费、水费、电费、邮电费、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取暖费、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物业管理费、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工会经费、福利费、公务用车运行维护费、其他商品和服务支出）③对个人和家庭的补助1,505,255.91元（包括离休费、退休费、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奖励金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）④资本性支出56,490.00元（包括：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办公设备购置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3" w:name="_Toc13857"/>
      <w:r>
        <w:rPr>
          <w:rFonts w:hint="eastAsia" w:ascii="黑体" w:hAnsi="黑体" w:eastAsia="黑体" w:cs="黑体"/>
          <w:sz w:val="30"/>
          <w:szCs w:val="30"/>
          <w:highlight w:val="none"/>
        </w:rPr>
        <w:t>五、20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年一般公共预算财政拨款“三公”经费支出决算情况说明</w:t>
      </w:r>
      <w:bookmarkEnd w:id="13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4" w:name="_Toc11871"/>
      <w:r>
        <w:rPr>
          <w:rFonts w:hint="eastAsia" w:ascii="黑体" w:hAnsi="黑体" w:eastAsia="黑体" w:cs="黑体"/>
          <w:sz w:val="30"/>
          <w:szCs w:val="30"/>
          <w:highlight w:val="none"/>
        </w:rPr>
        <w:t>（一）“三公”经费财政拨款决算的单位范围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决算单位范围：北京市西城区财政局部门决算中因公出国（境）费、公务接待费、公务用车购置及运行维护费的支出单位包括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1单位，即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广安门内街道办事处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rPr>
          <w:highlight w:val="none"/>
        </w:rPr>
      </w:pPr>
      <w:bookmarkStart w:id="15" w:name="_Toc26625"/>
      <w:r>
        <w:rPr>
          <w:rFonts w:hint="eastAsia" w:ascii="黑体" w:hAnsi="黑体" w:eastAsia="黑体" w:cs="黑体"/>
          <w:sz w:val="30"/>
          <w:szCs w:val="30"/>
          <w:highlight w:val="none"/>
        </w:rPr>
        <w:t>（二）“三公”经费财政拨款决算情况说明</w:t>
      </w:r>
      <w:bookmarkEnd w:id="15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6,430.25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年“三公”经费财政拨款年初预算54,625.52元，减少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48,195.27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1、因公出国（境）费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年因公出国（境）费支出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本年度本单位使用一般公共预算财政拨款安排的出国（境）团组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个,累计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人次，人均因公出国（境）费用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2、公务接待费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年公务接待费支出0元，比20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年年初预算减少30,125.52元，没有公务接待任务。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本年度本单位使用一般公共预算财政拨款支出的国内公务接待0批次，0次，共0元；外事接待0批次，0人次，0元。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3、公务用车购置及运行维护费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年公务用车购置及运行维护费支出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6,430.25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18,069.75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元。其中:20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年公务用车购置费支出0元，与20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年年初预算一致。20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6,430.25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18,069.75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元，主要原因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根据财政局要求压减一般性支出，严控公车使用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。年末一般公共预算财政拨款开支运行维护费的公务用车保有量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为市残联配置我单位特种车。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6" w:name="_Toc9398"/>
      <w:r>
        <w:rPr>
          <w:rFonts w:hint="eastAsia" w:ascii="黑体" w:hAnsi="黑体" w:eastAsia="黑体" w:cs="黑体"/>
          <w:sz w:val="30"/>
          <w:szCs w:val="30"/>
          <w:highlight w:val="none"/>
        </w:rPr>
        <w:t>六、20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年政府性基金预算财政拨款收入支出决算情况说明</w:t>
      </w:r>
      <w:bookmarkEnd w:id="16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政府性基金预算财政拨款上年结转结余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元，本年收入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元，本年支出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元，年末结转结余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元。其中：基本支出决算0元；项目支出决算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pStyle w:val="3"/>
        <w:rPr>
          <w:highlight w:val="none"/>
        </w:rPr>
      </w:pPr>
      <w:bookmarkStart w:id="17" w:name="_Toc32694"/>
      <w:r>
        <w:rPr>
          <w:rFonts w:hint="eastAsia" w:ascii="黑体" w:hAnsi="黑体" w:eastAsia="黑体" w:cs="黑体"/>
          <w:sz w:val="30"/>
          <w:szCs w:val="30"/>
          <w:highlight w:val="none"/>
        </w:rPr>
        <w:t>七、国有资本经营预算拨款收入支出决算情况说明</w:t>
      </w:r>
      <w:bookmarkEnd w:id="17"/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国有资本经营预算拨款上年结转结余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377,280.00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元，本年收入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元，本年支出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377,280.00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元，年末结转结余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元。其中：基本支出决算0元；项目支出决算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377,280.00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8" w:name="_Toc4487"/>
      <w:r>
        <w:rPr>
          <w:rFonts w:hint="eastAsia" w:ascii="黑体" w:hAnsi="黑体" w:eastAsia="黑体" w:cs="黑体"/>
          <w:sz w:val="30"/>
          <w:szCs w:val="30"/>
          <w:highlight w:val="none"/>
        </w:rPr>
        <w:t>八、20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年其他重要事项的情况说明</w:t>
      </w:r>
      <w:bookmarkEnd w:id="18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9" w:name="_Toc12563"/>
      <w:r>
        <w:rPr>
          <w:rFonts w:hint="eastAsia" w:ascii="黑体" w:hAnsi="黑体" w:eastAsia="黑体" w:cs="黑体"/>
          <w:sz w:val="30"/>
          <w:szCs w:val="30"/>
          <w:highlight w:val="none"/>
        </w:rPr>
        <w:t>（一）机关运行经费支出情况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年本单位履行一般行政事业管理职能、维持机关运行，用于一般公共预算安排的行政运行经费，合计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17,126,563.90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元，比20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16,319,614.66元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806,949.24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上涨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4.94%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。主要原因是20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部分房租合同到期，重新签约后房租上涨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0" w:name="_Toc23334"/>
      <w:r>
        <w:rPr>
          <w:rFonts w:hint="eastAsia" w:ascii="黑体" w:hAnsi="黑体" w:eastAsia="黑体" w:cs="黑体"/>
          <w:sz w:val="30"/>
          <w:szCs w:val="30"/>
          <w:highlight w:val="none"/>
        </w:rPr>
        <w:t>（二）政府采购支出情况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年政府采购支出金额8,261,559.02元，其中：政府采购货物支出1,630,880.50元，政府采购工程支出148,085.12元，政府采购服务支出6,482,593.40元。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1" w:name="_Toc27579"/>
      <w:r>
        <w:rPr>
          <w:rFonts w:hint="eastAsia" w:ascii="黑体" w:hAnsi="黑体" w:eastAsia="黑体" w:cs="黑体"/>
          <w:sz w:val="30"/>
          <w:szCs w:val="30"/>
          <w:highlight w:val="none"/>
        </w:rPr>
        <w:t>（三）政府购买服务支出情况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个，决算金额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27,965,833.66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主要项目是：①街巷准物业服务②垃圾分类工作服务③政务服务中心购买综合窗口服务④街道文体活动中心运营服务⑤城管执法队保安服务⑥物业管理服务。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2" w:name="_Toc21181"/>
      <w:r>
        <w:rPr>
          <w:rFonts w:hint="eastAsia" w:ascii="黑体" w:hAnsi="黑体" w:eastAsia="黑体" w:cs="黑体"/>
          <w:sz w:val="30"/>
          <w:szCs w:val="30"/>
          <w:highlight w:val="none"/>
        </w:rPr>
        <w:t>（四）国有资产占用情况</w:t>
      </w:r>
      <w:bookmarkEnd w:id="22"/>
    </w:p>
    <w:p>
      <w:pPr>
        <w:spacing w:line="360" w:lineRule="auto"/>
        <w:ind w:firstLine="640" w:firstLineChars="200"/>
        <w:rPr>
          <w:rFonts w:ascii="微软雅黑" w:hAnsi="微软雅黑" w:eastAsia="微软雅黑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年底，本部门（含所属事业单位）固定资产总额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28,743,767.77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台，196,410.26元；单位价值50万元以上的通用设备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台(套),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2,265,221.00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元;单位价值100万元以上的专用设备0台(套),0元。</w:t>
      </w:r>
    </w:p>
    <w:p>
      <w:pPr>
        <w:pStyle w:val="4"/>
        <w:rPr>
          <w:highlight w:val="none"/>
        </w:rPr>
      </w:pPr>
      <w:bookmarkStart w:id="23" w:name="_Toc17379"/>
      <w:r>
        <w:rPr>
          <w:rFonts w:hint="eastAsia" w:ascii="黑体" w:hAnsi="黑体" w:eastAsia="黑体" w:cs="黑体"/>
          <w:sz w:val="30"/>
          <w:szCs w:val="30"/>
          <w:highlight w:val="none"/>
        </w:rPr>
        <w:t>（五）绩效目标开展情况</w:t>
      </w:r>
      <w:bookmarkEnd w:id="23"/>
    </w:p>
    <w:p>
      <w:pPr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街道整体支出绩效自评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情况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引导科室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强化支出责任，提高财政资金使用效益，结合区财政局的要求，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我街道开展了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2022年部门整体支出自评工作。自评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范围覆盖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2022年173个预算项目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预算执行金额达21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250.28万元，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我街道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对项目的预算执行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率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、产出指标、效益指标、满意度指标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逐项评价。项目自评结果最低分90.13分，最高分99.49分，平均分96.66分。</w:t>
      </w:r>
    </w:p>
    <w:p>
      <w:pPr>
        <w:numPr>
          <w:ilvl w:val="0"/>
          <w:numId w:val="0"/>
        </w:numP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2、项目成本绩效分析开展情况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按照区财政局要求，我街道选取“政务服务中心购买综合窗口服务”项目开展成本绩效分析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评价工作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。借助专业机构力量，我街道解构了该项目的运营模式，针对该项目的成本指标、质量指标、效益指标、成本核算、定额标准进行分析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分析认为该项目的成本管控的整体措施较为有效，人员成本较为合理。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24" w:name="_Toc27805"/>
      <w:r>
        <w:rPr>
          <w:rFonts w:hint="eastAsia" w:ascii="黑体" w:hAnsi="黑体" w:eastAsia="黑体" w:cs="黑体"/>
          <w:highlight w:val="none"/>
        </w:rPr>
        <w:t>九、各类民生支出情况</w:t>
      </w:r>
      <w:bookmarkEnd w:id="24"/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我部门20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年度社会保障和就业、医疗卫生与计划生育支出等支出中涉及民生资金的共计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60,515,336.05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元，其中包括拥军优属、抚恤、老龄事务、残疾人事业、退役安置、临时救助、其他生活救助、医疗救助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、疫情防控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等。</w:t>
      </w:r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年度我街道分配到人（户）的财政资金主要为最低生活保障金，由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市民服务中心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负责发放。低保金补助对象姓名、地址及金额等详细情况已由18个社区在社区公示栏公示。</w:t>
      </w:r>
    </w:p>
    <w:p>
      <w:pPr>
        <w:pStyle w:val="3"/>
        <w:rPr>
          <w:highlight w:val="none"/>
        </w:rPr>
      </w:pPr>
      <w:bookmarkStart w:id="25" w:name="_Toc29148"/>
      <w:r>
        <w:rPr>
          <w:rFonts w:hint="eastAsia" w:ascii="黑体" w:hAnsi="黑体" w:eastAsia="黑体" w:cs="黑体"/>
          <w:highlight w:val="none"/>
        </w:rPr>
        <w:t>十、专用名词解释</w:t>
      </w:r>
      <w:bookmarkEnd w:id="25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ascii="楷体_GB2312" w:hAnsi="宋体" w:eastAsia="楷体_GB2312"/>
          <w:b/>
          <w:sz w:val="36"/>
          <w:szCs w:val="36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yellow"/>
        </w:rPr>
      </w:pP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  <w:bookmarkStart w:id="26" w:name="_Toc18445"/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第二部分、20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22</w:t>
      </w:r>
      <w:r>
        <w:rPr>
          <w:rFonts w:hint="eastAsia" w:ascii="楷体" w:hAnsi="楷体" w:eastAsia="楷体" w:cs="楷体"/>
          <w:highlight w:val="none"/>
        </w:rPr>
        <w:t>年部门决算表</w:t>
      </w:r>
      <w:bookmarkEnd w:id="26"/>
    </w:p>
    <w:p>
      <w:pPr>
        <w:pStyle w:val="3"/>
        <w:rPr>
          <w:sz w:val="30"/>
          <w:szCs w:val="30"/>
          <w:highlight w:val="none"/>
        </w:rPr>
      </w:pPr>
      <w:bookmarkStart w:id="27" w:name="_Toc10016"/>
      <w:r>
        <w:rPr>
          <w:rFonts w:hint="eastAsia" w:ascii="黑体" w:hAnsi="黑体" w:eastAsia="黑体" w:cs="黑体"/>
          <w:sz w:val="30"/>
          <w:szCs w:val="30"/>
          <w:highlight w:val="none"/>
        </w:rPr>
        <w:t>表一、收入支出决算总表</w:t>
      </w:r>
      <w:bookmarkEnd w:id="27"/>
    </w:p>
    <w:p>
      <w:pPr>
        <w:pStyle w:val="28"/>
        <w:ind w:firstLine="6720" w:firstLineChars="2400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790"/>
        <w:gridCol w:w="2470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收入项目类别</w:t>
            </w:r>
          </w:p>
        </w:tc>
        <w:tc>
          <w:tcPr>
            <w:tcW w:w="179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收入决算金额</w:t>
            </w:r>
          </w:p>
        </w:tc>
        <w:tc>
          <w:tcPr>
            <w:tcW w:w="247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支出项目类别</w:t>
            </w:r>
          </w:p>
        </w:tc>
        <w:tc>
          <w:tcPr>
            <w:tcW w:w="17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支出决算金额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预算内资金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293,887,117.98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80,506,389.17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一般公共预算收入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293,887,117.98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政府性基金预算收入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国有资本经营预算财政拨款收入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5,913,504.49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财政专户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115,788,136.23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行政事业性收费收入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13,260,146.97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其他预算外收入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批准留用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66,915,910.53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9,028,504.00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事业收入（不含事业单位预算外资金）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273,354,692.66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294,601,015.98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结余分配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713,898.00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结转下年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收入总计：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294,601,015.98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支出总计：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294,601,015.98</w:t>
            </w:r>
          </w:p>
        </w:tc>
      </w:tr>
    </w:tbl>
    <w:p>
      <w:pPr>
        <w:rPr>
          <w:highlight w:val="yellow"/>
        </w:rPr>
      </w:pPr>
      <w:r>
        <w:rPr>
          <w:highlight w:val="yellow"/>
        </w:rPr>
        <w:br w:type="page"/>
      </w:r>
    </w:p>
    <w:p>
      <w:pPr>
        <w:pStyle w:val="3"/>
        <w:rPr>
          <w:highlight w:val="none"/>
        </w:rPr>
      </w:pPr>
      <w:bookmarkStart w:id="28" w:name="_Toc27302"/>
      <w:r>
        <w:rPr>
          <w:rFonts w:hint="eastAsia" w:ascii="黑体" w:hAnsi="黑体" w:eastAsia="黑体" w:cs="黑体"/>
          <w:sz w:val="30"/>
          <w:szCs w:val="30"/>
          <w:highlight w:val="none"/>
        </w:rPr>
        <w:t>表二、收入决算表</w:t>
      </w:r>
      <w:bookmarkEnd w:id="28"/>
    </w:p>
    <w:p>
      <w:pPr>
        <w:rPr>
          <w:rFonts w:hint="default" w:ascii="黑体" w:hAnsi="Times New Roman" w:eastAsia="黑体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/>
          <w:szCs w:val="24"/>
          <w:highlight w:val="none"/>
          <w:lang w:val="en-US" w:eastAsia="zh-CN"/>
        </w:rPr>
        <w:t xml:space="preserve">                                                                </w:t>
      </w:r>
      <w:r>
        <w:rPr>
          <w:rFonts w:hint="eastAsia" w:ascii="楷体_GB2312" w:hAnsi="宋体" w:eastAsia="楷体_GB2312" w:cs="Times New Roman"/>
          <w:kern w:val="2"/>
          <w:sz w:val="28"/>
          <w:szCs w:val="28"/>
          <w:highlight w:val="none"/>
          <w:lang w:val="en-US" w:eastAsia="zh-CN" w:bidi="ar-SA"/>
        </w:rPr>
        <w:t xml:space="preserve">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458"/>
        <w:gridCol w:w="459"/>
        <w:gridCol w:w="2088"/>
        <w:gridCol w:w="1388"/>
        <w:gridCol w:w="1388"/>
        <w:gridCol w:w="460"/>
        <w:gridCol w:w="459"/>
        <w:gridCol w:w="460"/>
        <w:gridCol w:w="459"/>
        <w:gridCol w:w="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0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4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293,887,117.98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293,887,117.98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80,506,389.17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80,506,389.17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70,711,016.86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70,711,016.86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52,562,931.82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52,562,931.82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5,239,212.68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5,239,212.68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12,908,872.36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12,908,872.36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6,382,512.07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6,382,512.07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5,806,555.35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5,806,555.35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575,956.72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575,956.72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37,336.00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37,336.00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441,271.00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441,271.00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5,913,504.49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5,913,504.49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其他体育支出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115,584,247.33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115,584,247.33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劳动保障监察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62,498,997.27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62,498,997.27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62,456,005.27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62,456,005.27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42,992.00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42,992.00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12,565,182.15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12,565,182.15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2,173,505.91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2,173,505.91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4,925,871.28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4,925,871.28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2,056,952.72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2,056,952.72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3,408,852.24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3,408,852.24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2,133,220.00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2,133,220.00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1,133,220.00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1,133,220.00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2,408,884.00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2,408,884.00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169,028.00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169,028.00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263,904.00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263,904.00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1,975,952.00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1,975,952.00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4,344,516.85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4,344,516.85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4,344,516.85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4,344,516.85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1,348,666.83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1,348,666.83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1,099,764.03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1,099,764.03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248,902.80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248,902.80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4,013,369.69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4,013,369.69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2081107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2,953,637.12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2,953,637.12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1,059,732.57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1,059,732.57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276,089.34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276,089.34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88,999.00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88,999.00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其他退役军人事务管理支出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187,090.34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187,090.34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1,872,246.10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1,872,246.10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1,872,246.10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1,872,246.10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13,260,146.97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13,260,146.97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6,142,543.29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6,142,543.29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5,749,428.71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5,749,428.71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33,114.58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33,114.58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360,000.00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360,000.00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66,783,181.43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66,783,181.43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3,357,956.45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3,357,956.45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3,000,956.45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3,000,956.45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357,000.00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357,000.00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其他城乡社区公共设施支出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30,789,881.56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30,789,881.56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30,789,881.56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30,789,881.56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5,436,664.00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5,436,664.00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3,591,840.00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3,591,840.00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pStyle w:val="3"/>
        <w:rPr>
          <w:highlight w:val="none"/>
        </w:rPr>
      </w:pPr>
      <w:bookmarkStart w:id="29" w:name="_Toc11461"/>
      <w:r>
        <w:rPr>
          <w:rFonts w:hint="eastAsia" w:ascii="黑体" w:hAnsi="黑体" w:eastAsia="黑体" w:cs="黑体"/>
          <w:sz w:val="30"/>
          <w:szCs w:val="30"/>
          <w:highlight w:val="none"/>
        </w:rPr>
        <w:t>表三、支出决算表</w:t>
      </w:r>
      <w:bookmarkEnd w:id="29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"/>
        <w:gridCol w:w="218"/>
        <w:gridCol w:w="219"/>
        <w:gridCol w:w="2885"/>
        <w:gridCol w:w="1279"/>
        <w:gridCol w:w="1189"/>
        <w:gridCol w:w="1279"/>
        <w:gridCol w:w="419"/>
        <w:gridCol w:w="420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294,601,015.98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81,384,361.70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213,216,654.28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80,506,389.17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57,802,144.50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22,704,244.67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代表工作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70,711,016.86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57,802,144.50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12,908,872.36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52,562,931.82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52,562,931.82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5,239,212.68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5,239,212.68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12,908,872.36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12,908,872.36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6,382,512.07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6,382,512.07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5,806,555.35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5,806,555.35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575,956.72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575,956.72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37,336.00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37,336.00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441,271.00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5,913,504.49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5,913,504.49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其他体育支出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115,788,136.23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8,485,869.91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107,302,266.32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劳动保障监察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62,562,266.17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62,562,266.17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62,519,274.17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62,519,274.17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42,992.00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42,992.00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12,565,182.15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8,485,869.91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4,079,312.24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2,173,505.91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1,503,045.91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670,460.00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4,925,871.28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4,925,871.28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2,056,952.72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2,056,952.72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3,408,852.24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3,408,852.24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2,133,220.00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2,133,220.00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1,133,220.00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1,133,220.00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2,408,884.00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2,408,884.00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169,028.00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169,028.00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263,904.00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263,904.00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1,975,952.00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1,975,952.00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4,368,016.85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4,368,016.85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4,368,016.85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4,368,016.85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1,348,666.83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1,348,666.83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1,099,764.03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1,099,764.03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248,902.80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248,902.80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4,013,369.69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4,013,369.69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2,953,637.12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2,953,637.12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1,059,732.57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1,059,732.57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276,089.34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276,089.34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88,999.00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88,999.00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其他退役军人事务管理支出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187,090.34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187,090.34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1,989,366.10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1,989,366.10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1,989,366.10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1,989,366.10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13,260,146.97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6,052,543.29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7,207,603.68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6,142,543.29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6,052,543.29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5,749,428.71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5,749,428.71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33,114.58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33,114.58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360,000.00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270,000.00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66,915,910.53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66,915,910.53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3,357,956.45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3,357,956.45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3,000,956.45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3,000,956.45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357,000.00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其他城乡社区公共设施支出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30,922,610.66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30,922,610.66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30,922,610.66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30,922,610.66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2129999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5,436,664.00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5,436,664.00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3,591,840.00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3,591,840.00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国有企业退休人员社会化管理补助支出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0" w:name="_Toc29567"/>
      <w:r>
        <w:rPr>
          <w:rFonts w:hint="eastAsia" w:ascii="黑体" w:hAnsi="黑体" w:eastAsia="黑体" w:cs="黑体"/>
          <w:sz w:val="30"/>
          <w:szCs w:val="30"/>
          <w:highlight w:val="none"/>
        </w:rPr>
        <w:t>表四、财政拨款收入支出决算总表</w:t>
      </w:r>
      <w:bookmarkEnd w:id="30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380"/>
        <w:gridCol w:w="1950"/>
        <w:gridCol w:w="1380"/>
        <w:gridCol w:w="928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7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5249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293,887,117.98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80,506,389.17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441,271.00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5,913,504.49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115,788,136.23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13,260,146.97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66,915,910.53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二十三、债务还本支出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293,887,117.98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294,223,735.98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713,898.00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336,618.00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基本支出结转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项目支出结转和结余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294,601,015.98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294,223,735.98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</w:tbl>
    <w:p>
      <w:pPr>
        <w:rPr>
          <w:rFonts w:ascii="黑体" w:hAnsi="Times New Roman" w:eastAsia="黑体"/>
          <w:szCs w:val="24"/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1" w:name="_Toc7807"/>
      <w:r>
        <w:rPr>
          <w:rFonts w:hint="eastAsia" w:ascii="黑体" w:hAnsi="黑体" w:eastAsia="黑体" w:cs="黑体"/>
          <w:sz w:val="30"/>
          <w:szCs w:val="30"/>
          <w:highlight w:val="none"/>
        </w:rPr>
        <w:t>表五、一般公共预算财政拨款支出决算表</w:t>
      </w:r>
      <w:bookmarkEnd w:id="31"/>
    </w:p>
    <w:p>
      <w:pPr>
        <w:wordWrap w:val="0"/>
        <w:ind w:right="420" w:firstLine="560" w:firstLineChars="200"/>
        <w:jc w:val="right"/>
        <w:rPr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 xml:space="preserve">  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470"/>
        <w:gridCol w:w="470"/>
        <w:gridCol w:w="2434"/>
        <w:gridCol w:w="1530"/>
        <w:gridCol w:w="1422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4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294,601,015.98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81,384,361.70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213,216,654.28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80,506,389.17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57,802,144.50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22,704,244.67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24,598.40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70,711,016.86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57,802,144.50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12,908,872.36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52,562,931.82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52,562,931.82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5,239,212.68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5,239,212.68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12,908,872.36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12,908,872.36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156,496.60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153,540.00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95,835.79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493,435.90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6,382,512.07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6,382,512.07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5,806,555.35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5,806,555.35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575,956.72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575,956.72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1,727,022.55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1,727,022.55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1,727,022.55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35,231.00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37,336.00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37,336.00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1,108,799.83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1,108,799.83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441,271.00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425,971.00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5,913,504.49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5,913,504.49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5,336,530.84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5,336,530.84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5,336,530.84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其他体育支出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576,973.65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115,788,136.23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8,485,869.91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107,302,266.32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劳动保障监察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62,562,266.17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62,562,266.17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62,519,274.17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62,519,274.17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42,992.00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42,992.00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12,565,182.15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8,485,869.91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4,079,312.24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2,173,505.91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1,503,045.91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670,460.00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4,925,871.28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4,925,871.28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2,056,952.72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2,056,952.72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3,408,852.24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3,408,852.24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2,133,220.00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2,133,220.00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1,133,220.00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1,133,220.00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2,408,884.00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2,408,884.00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169,028.00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169,028.00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263,904.00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263,904.00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1,975,952.00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1,975,952.00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4,368,016.85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4,368,016.85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4,368,016.85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4,368,016.85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1,348,666.83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1,348,666.83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1,099,764.03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1,099,764.03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248,902.80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248,902.80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4,013,369.69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4,013,369.69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2081107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2,953,637.12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2,953,637.12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1,059,732.57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1,059,732.57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17,820,383.94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17,820,383.94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17,820,383.94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895,283.27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1,982,750.22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1,982,750.22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1,982,750.22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3,036,451.67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3,036,451.67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3,036,451.67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276,089.34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276,089.34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88,999.00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其他退役军人事务管理支出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187,090.34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187,090.34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1,989,366.10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1,989,366.10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1,989,366.10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1,989,366.10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13,260,146.97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6,052,543.29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7,207,603.68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1,066,469.00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1,066,469.00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1,066,469.00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6,142,543.29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6,052,543.29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5,749,428.71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5,749,428.71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33,114.58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33,114.58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360,000.00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270,000.00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4,243,271.47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4,243,271.47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4,243,271.47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1,732,838.97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1,732,838.97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1,732,838.97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1,222,937.76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1,222,937.76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66,915,910.53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66,915,910.53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3,357,956.45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3,357,956.45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3,000,956.45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3,000,956.45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357,000.00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3,571,979.94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3,571,979.94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3,571,979.94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其他城乡社区公共设施支出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142,443.36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30,922,610.66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30,922,610.66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30,922,610.66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30,922,610.66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28,920,920.12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2129999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28,920,920.12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28,920,920.12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9,028,504.00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5,436,664.00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5,436,664.00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3,591,840.00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3,591,840.00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0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国有企业退休人员社会化管理补助支出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2" w:name="_Toc27820"/>
      <w:r>
        <w:rPr>
          <w:rFonts w:hint="eastAsia" w:ascii="黑体" w:hAnsi="黑体" w:eastAsia="黑体" w:cs="黑体"/>
          <w:sz w:val="30"/>
          <w:szCs w:val="30"/>
          <w:highlight w:val="none"/>
        </w:rPr>
        <w:t>表六、一般公共预算财政拨款基本支出决算表</w:t>
      </w:r>
      <w:bookmarkEnd w:id="32"/>
    </w:p>
    <w:p>
      <w:pPr>
        <w:wordWrap w:val="0"/>
        <w:ind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7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620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62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科目名称（款级）</w:t>
            </w:r>
          </w:p>
        </w:tc>
        <w:tc>
          <w:tcPr>
            <w:tcW w:w="25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75,017,399.32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20,369,906.00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29,286,595.00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6,471,025.00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4,925,871.28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2,056,952.72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6,052,543.29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161,342.03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5,436,664.00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4,805,216.47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634,564.14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106,295.50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763,992.95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115,767.86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取暖费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500,038.56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1,501,125.63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618,683.20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538,007.24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6,430.25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1,505,255.91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离休费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515,573.00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987,472.91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56,490.00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56,490.00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3" w:name="_Toc28299"/>
      <w:r>
        <w:rPr>
          <w:rFonts w:hint="eastAsia" w:ascii="黑体" w:hAnsi="黑体" w:eastAsia="黑体" w:cs="黑体"/>
          <w:sz w:val="30"/>
          <w:szCs w:val="30"/>
          <w:highlight w:val="none"/>
        </w:rPr>
        <w:t>表七、一般公共预算财政拨款“三公”经费支出决算表</w:t>
      </w:r>
      <w:bookmarkEnd w:id="33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10"/>
        <w:gridCol w:w="1074"/>
        <w:gridCol w:w="1309"/>
        <w:gridCol w:w="1309"/>
        <w:gridCol w:w="1075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7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559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7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2022年预算数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54,625.52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30,125.52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24,500.00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4"/>
                <w:lang w:val="en-US" w:eastAsia="zh-CN" w:bidi="ar"/>
              </w:rPr>
              <w:t>24,500.00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2022年决算数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6,430.25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6,430.25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6,430.25</w:t>
            </w:r>
          </w:p>
        </w:tc>
      </w:tr>
    </w:tbl>
    <w:p>
      <w:pPr>
        <w:rPr>
          <w:szCs w:val="24"/>
          <w:highlight w:val="yellow"/>
        </w:rPr>
      </w:pPr>
    </w:p>
    <w:p>
      <w:pPr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注：1、因公出国（境）费用含因公赴香港、澳门、台湾地区的费用。</w:t>
      </w:r>
    </w:p>
    <w:p>
      <w:pPr>
        <w:rPr>
          <w:szCs w:val="24"/>
          <w:highlight w:val="yellow"/>
        </w:rPr>
      </w:pPr>
      <w:r>
        <w:rPr>
          <w:rFonts w:hint="eastAsia"/>
          <w:szCs w:val="24"/>
          <w:highlight w:val="none"/>
        </w:rPr>
        <w:t xml:space="preserve">    2、公务用车购置费含更新公务用车费用。</w:t>
      </w: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pStyle w:val="3"/>
        <w:rPr>
          <w:highlight w:val="none"/>
        </w:rPr>
      </w:pPr>
      <w:bookmarkStart w:id="34" w:name="_Toc21995"/>
      <w:r>
        <w:rPr>
          <w:rFonts w:hint="eastAsia" w:ascii="黑体" w:hAnsi="黑体" w:eastAsia="黑体" w:cs="黑体"/>
          <w:sz w:val="30"/>
          <w:szCs w:val="30"/>
          <w:highlight w:val="none"/>
        </w:rPr>
        <w:t>表八、政府性基金预算财政拨款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收入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支出决算表</w:t>
      </w:r>
      <w:bookmarkEnd w:id="34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527"/>
        <w:gridCol w:w="528"/>
        <w:gridCol w:w="2072"/>
        <w:gridCol w:w="890"/>
        <w:gridCol w:w="846"/>
        <w:gridCol w:w="846"/>
        <w:gridCol w:w="528"/>
        <w:gridCol w:w="847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5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221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3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3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3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3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3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Times New Roman" w:hAnsi="Times New Roman"/>
          <w:szCs w:val="24"/>
          <w:highlight w:val="yellow"/>
        </w:rPr>
      </w:pPr>
    </w:p>
    <w:p>
      <w:pPr>
        <w:rPr>
          <w:rFonts w:ascii="Times New Roman" w:hAnsi="Times New Roman"/>
          <w:szCs w:val="24"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5" w:name="_Toc583"/>
      <w:r>
        <w:rPr>
          <w:rFonts w:hint="eastAsia" w:ascii="黑体" w:hAnsi="黑体" w:eastAsia="黑体" w:cs="黑体"/>
          <w:sz w:val="30"/>
          <w:szCs w:val="30"/>
          <w:highlight w:val="none"/>
        </w:rPr>
        <w:t>表九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政府性基金预算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财政拨款基本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支出决算表</w:t>
      </w:r>
      <w:bookmarkEnd w:id="35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94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81"/>
        <w:gridCol w:w="4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科目编码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科目名称（款级）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eastAsia="zh-CN"/>
              </w:rPr>
              <w:t>政府性基金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预算财政拨款支出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工资福利支出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商品和服务支出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对个人和家庭的补助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310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其他资本性支出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</w:tbl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注：我单位无此项支出。</w:t>
      </w: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6" w:name="_Toc6507"/>
      <w:r>
        <w:rPr>
          <w:rFonts w:hint="eastAsia" w:ascii="黑体" w:hAnsi="黑体" w:eastAsia="黑体" w:cs="黑体"/>
          <w:sz w:val="30"/>
          <w:szCs w:val="30"/>
          <w:highlight w:val="none"/>
        </w:rPr>
        <w:t>表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、国有资本经营预算拨款支出决算表</w:t>
      </w:r>
      <w:bookmarkEnd w:id="36"/>
    </w:p>
    <w:p>
      <w:pPr>
        <w:rPr>
          <w:rFonts w:hint="eastAsia" w:eastAsia="黑体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627"/>
        <w:gridCol w:w="696"/>
        <w:gridCol w:w="4021"/>
        <w:gridCol w:w="1015"/>
        <w:gridCol w:w="476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2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506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9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4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9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9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2230105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国有企业退休人员社会化管理补助支出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79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京财资产指【2020】2041号国有企业退休人员社会化管理服务补助经费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</w:tbl>
    <w:p>
      <w:pPr>
        <w:widowControl/>
        <w:rPr>
          <w:b/>
          <w:sz w:val="20"/>
          <w:szCs w:val="20"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7" w:name="_Toc29767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、政府采购情况表</w:t>
      </w:r>
      <w:bookmarkEnd w:id="37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747"/>
        <w:gridCol w:w="1394"/>
        <w:gridCol w:w="1336"/>
        <w:gridCol w:w="1336"/>
        <w:gridCol w:w="1380"/>
        <w:gridCol w:w="797"/>
        <w:gridCol w:w="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47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行次</w:t>
            </w:r>
          </w:p>
        </w:tc>
        <w:tc>
          <w:tcPr>
            <w:tcW w:w="6746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实际采购金额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采购预算(财政性资金)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非财政性资金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0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0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8,261,559.02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8,261,559.02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8,261,559.02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1,630,880.50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1,630,880.50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1,630,880.50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148,085.12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148,085.12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148,085.12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6,482,593.40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6,482,593.40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6,482,593.40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8" w:name="_Toc25614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、政府购买服务情况表</w:t>
      </w:r>
      <w:bookmarkEnd w:id="38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 xml:space="preserve"> 单位：万元</w:t>
      </w:r>
    </w:p>
    <w:tbl>
      <w:tblPr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35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二级目录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2,796.58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2,469.38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公共安全服务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就业公共服务</w:t>
            </w:r>
            <w:bookmarkStart w:id="40" w:name="_GoBack"/>
            <w:bookmarkEnd w:id="40"/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生态保护和环境治理服务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1,544.32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社会治理服务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城乡维护服务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农业、林业和水利公共服务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灾害防治及应急管理服务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公共信息与宣传服务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行业管理服务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技术性公共服务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其他公共服务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政府履职辅助性服务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课题研究和社会调查服务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会计审计服务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监督检查辅助服务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评审、评估和评价服务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咨询服务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机关工作人员培训服务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信息化服务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其他辅助性服务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9" w:name="_Toc12307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、民生预算明细表</w:t>
      </w:r>
      <w:bookmarkEnd w:id="39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66"/>
        <w:gridCol w:w="567"/>
        <w:gridCol w:w="5249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5249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科目名称（二级项目名称）</w:t>
            </w:r>
          </w:p>
        </w:tc>
        <w:tc>
          <w:tcPr>
            <w:tcW w:w="137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4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60,515,336.05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社会化退休人员活动经费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42,992.00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原街道退休退养人员生活补贴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254,313.40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地退人员活动经费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民政地退人员生活补贴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2,900,969.29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离退休老干部经费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239,709.55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公益性组织人员生活补贴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京财社指[2022]1577号2022年中央就业补助经费(直达资金)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京财社指[2021]2307号2022年中央就业补助经费(直达资金)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再就业活动经费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53,220.00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优抚伤残人员抚恤及生活补贴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优抚伤残人员抚恤及生活补贴-调增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69,028.00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义务兵优待金-调增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65,976.00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义务兵优待金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197,928.00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京财社指[2021]2233号2022年中央财政优抚对象补助经费(直达资金)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京财社指[2022]1856号2022年中央财政优抚对象补助经费（第二批）(直达资金)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475,952.00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京财社指[2021]2272号2022年中央退役安置补助经费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2,207,615.15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军队离休人员生活补贴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241,167.80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京财社指[2020]2077号中央退役安置补助资金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提前下达京财社指[2021]2031号社会保障和就业转移支付-退役安置补助-无军籍职工经费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1,895,733.90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90周岁以上无保障医疗保险补贴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为老服务经费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1,083,444.03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离休干部四就近经费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30,296.80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2022年民政募捐和殡葬工作经费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京财社指【2022】1817号2022年6月价格补贴经费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31,512.00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京财社指【2022】2012号2022年8月价格补贴经费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42,806.00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京财社指【2022】1919号2022年7月价格补贴经费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48,480.00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2022年9-11月价格补贴经费（区退役军人局分配）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2022年9-11月价格补贴经费（区民政局分配）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57,696.00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京财社指【2022】1657号2022年5月价格补贴经费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29,088.00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2081107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困难残疾人生活补贴和重度残疾人护理补贴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2,953,637.12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2022年残疾人项目及活动工作经费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519,976.58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温馨家园运行服务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368,981.04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残疾人职业康复劳动及社区公益性就业经费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京财社指[2021]2111号无障碍环境建设资金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98,934.95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红会工作经费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358,206.00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最低生活保障金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16,790,000.00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最低生活保障金-调增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1,030,383.94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救助所项目服务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京财社指[2021]2256号2022年中央困难群众救助补助经费(直达资金)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61,864.89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临时救助、应急救助备用金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443,418.38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精神病、病残知青等其他社会救济经费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1,624,750.22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爱心卡补助金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2022年具有清真饮食习惯少数民族低保群众一次性春节生活补助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39,770.00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低保、失业及社会化退休人员取暖补贴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1,853,781.67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失业、低保及其他民政人员两节慰问补贴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2022年低保和特困人员一次性生活补贴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459,200.00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无业人员丧葬费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民政双拥工作经费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退役军人服务保障经费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退役军人服务站经费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124,490.34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京财社指[2020]1890号 退休人员社会化市级补助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58,560.00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提前下达京财社指[2021]1959号2022年送温暖经费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大型送温暖活动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京财社指【2020】1890号国有企业退休人员社会化管理活动服务经费-调增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58,560.00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京财社指[2022]1297号国有企业退休人员社会化管理活动服务经费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179,943.00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2022年计划生育经费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878,066.00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特扶家庭居家养老服务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188,403.00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京财社指[2021]2427号2022年中央城乡医疗救助经费(直达资金)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2022年城乡医疗救助经费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低保及低收入家庭医疗救助补贴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3,942,441.47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京财社指[2021]2231号2022年中央优抚对象医疗保障补助经费(直达资金)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民政社区老龄工作经费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67,995.00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爱国卫生及戒烟工作经费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185,882.00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精防补贴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503,223.10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退养人员医药费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1,043,733.87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疫情防控经费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疫情防控经费-调增1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3,828,830.02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2129999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疫情防控经费-调增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3,874,393.30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99" w:type="dxa"/>
            <w:gridSpan w:val="3"/>
            <w:tcBorders>
              <w:top w:val="nil"/>
              <w:left w:val="single" w:color="000000" w:sz="8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京财资产指【2020】2041号国有企业退休人员社会化管理服务补助经费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377,280.00</w:t>
            </w:r>
          </w:p>
        </w:tc>
      </w:tr>
    </w:tbl>
    <w:p>
      <w:pPr>
        <w:rPr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303"/>
    <w:multiLevelType w:val="multilevel"/>
    <w:tmpl w:val="0102530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45D6"/>
    <w:rsid w:val="0007528B"/>
    <w:rsid w:val="0008304E"/>
    <w:rsid w:val="000832F1"/>
    <w:rsid w:val="00093ABF"/>
    <w:rsid w:val="0009530E"/>
    <w:rsid w:val="000C7149"/>
    <w:rsid w:val="000E337E"/>
    <w:rsid w:val="000E7F70"/>
    <w:rsid w:val="000F3FD1"/>
    <w:rsid w:val="00104E65"/>
    <w:rsid w:val="0012313F"/>
    <w:rsid w:val="0014627F"/>
    <w:rsid w:val="00196F66"/>
    <w:rsid w:val="001A4BE3"/>
    <w:rsid w:val="001B6C46"/>
    <w:rsid w:val="001C29DF"/>
    <w:rsid w:val="001C618A"/>
    <w:rsid w:val="001D2404"/>
    <w:rsid w:val="001D40FC"/>
    <w:rsid w:val="001D669A"/>
    <w:rsid w:val="001E439E"/>
    <w:rsid w:val="001E4C8A"/>
    <w:rsid w:val="001E7F78"/>
    <w:rsid w:val="001F5FCA"/>
    <w:rsid w:val="001F694E"/>
    <w:rsid w:val="00202A88"/>
    <w:rsid w:val="002037C0"/>
    <w:rsid w:val="00210B6D"/>
    <w:rsid w:val="00230EE0"/>
    <w:rsid w:val="00250729"/>
    <w:rsid w:val="002573F9"/>
    <w:rsid w:val="00263C43"/>
    <w:rsid w:val="00267EAF"/>
    <w:rsid w:val="00277B77"/>
    <w:rsid w:val="00293B28"/>
    <w:rsid w:val="00296BC9"/>
    <w:rsid w:val="00297DD6"/>
    <w:rsid w:val="002A3C5C"/>
    <w:rsid w:val="002A5A08"/>
    <w:rsid w:val="002E67BE"/>
    <w:rsid w:val="002F0419"/>
    <w:rsid w:val="00357E46"/>
    <w:rsid w:val="003643AB"/>
    <w:rsid w:val="00371D41"/>
    <w:rsid w:val="003872B5"/>
    <w:rsid w:val="00392C2F"/>
    <w:rsid w:val="003938F6"/>
    <w:rsid w:val="003942F8"/>
    <w:rsid w:val="003A711F"/>
    <w:rsid w:val="003C343C"/>
    <w:rsid w:val="003E031C"/>
    <w:rsid w:val="003E49E1"/>
    <w:rsid w:val="0041598E"/>
    <w:rsid w:val="00440204"/>
    <w:rsid w:val="004540ED"/>
    <w:rsid w:val="004778D6"/>
    <w:rsid w:val="00483CA0"/>
    <w:rsid w:val="0049633C"/>
    <w:rsid w:val="004A7C6C"/>
    <w:rsid w:val="004C4764"/>
    <w:rsid w:val="004D72BB"/>
    <w:rsid w:val="004F3AFA"/>
    <w:rsid w:val="004F5722"/>
    <w:rsid w:val="00502051"/>
    <w:rsid w:val="00513A09"/>
    <w:rsid w:val="0052182F"/>
    <w:rsid w:val="005237E8"/>
    <w:rsid w:val="005250A6"/>
    <w:rsid w:val="00526BB0"/>
    <w:rsid w:val="005508F0"/>
    <w:rsid w:val="00550CEA"/>
    <w:rsid w:val="0056784C"/>
    <w:rsid w:val="00581A4F"/>
    <w:rsid w:val="00587015"/>
    <w:rsid w:val="005B1D9E"/>
    <w:rsid w:val="005B670C"/>
    <w:rsid w:val="005E0239"/>
    <w:rsid w:val="005E070F"/>
    <w:rsid w:val="005F1EAD"/>
    <w:rsid w:val="006030B3"/>
    <w:rsid w:val="00607701"/>
    <w:rsid w:val="006467A9"/>
    <w:rsid w:val="006B183A"/>
    <w:rsid w:val="006B1F6D"/>
    <w:rsid w:val="006B7EDA"/>
    <w:rsid w:val="006C05AD"/>
    <w:rsid w:val="006E4206"/>
    <w:rsid w:val="006E506C"/>
    <w:rsid w:val="006F0B32"/>
    <w:rsid w:val="007125A5"/>
    <w:rsid w:val="00713F0D"/>
    <w:rsid w:val="00747797"/>
    <w:rsid w:val="00777491"/>
    <w:rsid w:val="00791E92"/>
    <w:rsid w:val="007D091B"/>
    <w:rsid w:val="007D3B2B"/>
    <w:rsid w:val="00802A62"/>
    <w:rsid w:val="0084277E"/>
    <w:rsid w:val="00842AB2"/>
    <w:rsid w:val="00852AAE"/>
    <w:rsid w:val="008A5E6C"/>
    <w:rsid w:val="008C41FA"/>
    <w:rsid w:val="008C67E9"/>
    <w:rsid w:val="008D6722"/>
    <w:rsid w:val="008F75B1"/>
    <w:rsid w:val="00905FE0"/>
    <w:rsid w:val="00914FE7"/>
    <w:rsid w:val="00924077"/>
    <w:rsid w:val="00962B62"/>
    <w:rsid w:val="00984B58"/>
    <w:rsid w:val="009936E5"/>
    <w:rsid w:val="00996A7A"/>
    <w:rsid w:val="009C420F"/>
    <w:rsid w:val="009D4A4E"/>
    <w:rsid w:val="009E4E0E"/>
    <w:rsid w:val="009E62F2"/>
    <w:rsid w:val="00A25936"/>
    <w:rsid w:val="00A42D0F"/>
    <w:rsid w:val="00A433AD"/>
    <w:rsid w:val="00A86945"/>
    <w:rsid w:val="00A918B3"/>
    <w:rsid w:val="00A9369B"/>
    <w:rsid w:val="00AA2EC4"/>
    <w:rsid w:val="00AD2A1A"/>
    <w:rsid w:val="00AD3ABE"/>
    <w:rsid w:val="00AF58DE"/>
    <w:rsid w:val="00B244BC"/>
    <w:rsid w:val="00B67A43"/>
    <w:rsid w:val="00B83385"/>
    <w:rsid w:val="00B85BBC"/>
    <w:rsid w:val="00B90F43"/>
    <w:rsid w:val="00BA2738"/>
    <w:rsid w:val="00BA316A"/>
    <w:rsid w:val="00BC6F81"/>
    <w:rsid w:val="00BD578A"/>
    <w:rsid w:val="00BE4DCA"/>
    <w:rsid w:val="00C010CE"/>
    <w:rsid w:val="00C07331"/>
    <w:rsid w:val="00C170CE"/>
    <w:rsid w:val="00C3176B"/>
    <w:rsid w:val="00C31ABE"/>
    <w:rsid w:val="00C32167"/>
    <w:rsid w:val="00C468D0"/>
    <w:rsid w:val="00C72A17"/>
    <w:rsid w:val="00C76B01"/>
    <w:rsid w:val="00C812CB"/>
    <w:rsid w:val="00C85B8E"/>
    <w:rsid w:val="00CB6AA6"/>
    <w:rsid w:val="00CD66A7"/>
    <w:rsid w:val="00CD71AA"/>
    <w:rsid w:val="00CE50D1"/>
    <w:rsid w:val="00CF7672"/>
    <w:rsid w:val="00D013F8"/>
    <w:rsid w:val="00D01C88"/>
    <w:rsid w:val="00D045D6"/>
    <w:rsid w:val="00D07B75"/>
    <w:rsid w:val="00D106F0"/>
    <w:rsid w:val="00D108A8"/>
    <w:rsid w:val="00D14225"/>
    <w:rsid w:val="00D147AA"/>
    <w:rsid w:val="00D20D4E"/>
    <w:rsid w:val="00D25F71"/>
    <w:rsid w:val="00D36B6B"/>
    <w:rsid w:val="00D42D7C"/>
    <w:rsid w:val="00D6750E"/>
    <w:rsid w:val="00D818D7"/>
    <w:rsid w:val="00D836C4"/>
    <w:rsid w:val="00DA0A3D"/>
    <w:rsid w:val="00DC7DB9"/>
    <w:rsid w:val="00E1637F"/>
    <w:rsid w:val="00E22CF6"/>
    <w:rsid w:val="00E35F34"/>
    <w:rsid w:val="00E51214"/>
    <w:rsid w:val="00E55438"/>
    <w:rsid w:val="00E72C9D"/>
    <w:rsid w:val="00E76512"/>
    <w:rsid w:val="00E87298"/>
    <w:rsid w:val="00EA3A8B"/>
    <w:rsid w:val="00ED3FAC"/>
    <w:rsid w:val="00F27D01"/>
    <w:rsid w:val="00F3526D"/>
    <w:rsid w:val="00F43E36"/>
    <w:rsid w:val="00F44763"/>
    <w:rsid w:val="00F57E65"/>
    <w:rsid w:val="00F74FBF"/>
    <w:rsid w:val="00F75E0D"/>
    <w:rsid w:val="00F80D2C"/>
    <w:rsid w:val="00F96157"/>
    <w:rsid w:val="00FA22D5"/>
    <w:rsid w:val="00FA64C4"/>
    <w:rsid w:val="00FB1F61"/>
    <w:rsid w:val="00FE1ADD"/>
    <w:rsid w:val="013062E0"/>
    <w:rsid w:val="013F4AE8"/>
    <w:rsid w:val="01E82419"/>
    <w:rsid w:val="04F0517F"/>
    <w:rsid w:val="05E75AFD"/>
    <w:rsid w:val="07375D07"/>
    <w:rsid w:val="082A37DE"/>
    <w:rsid w:val="09CE6D1B"/>
    <w:rsid w:val="09EE155C"/>
    <w:rsid w:val="0A637B17"/>
    <w:rsid w:val="0AAD73C7"/>
    <w:rsid w:val="0B214CB5"/>
    <w:rsid w:val="0C6C214A"/>
    <w:rsid w:val="0CA32ED8"/>
    <w:rsid w:val="0DD21046"/>
    <w:rsid w:val="0F2C6C84"/>
    <w:rsid w:val="0FB757C1"/>
    <w:rsid w:val="10C41158"/>
    <w:rsid w:val="10DB41DF"/>
    <w:rsid w:val="113B77B5"/>
    <w:rsid w:val="116C55BE"/>
    <w:rsid w:val="11A675B4"/>
    <w:rsid w:val="12B2721C"/>
    <w:rsid w:val="1331753E"/>
    <w:rsid w:val="1771353C"/>
    <w:rsid w:val="19DE1D53"/>
    <w:rsid w:val="19ED2A1E"/>
    <w:rsid w:val="1AE41109"/>
    <w:rsid w:val="1B442537"/>
    <w:rsid w:val="1C9D1122"/>
    <w:rsid w:val="1D2A7622"/>
    <w:rsid w:val="1D532999"/>
    <w:rsid w:val="1E516EF5"/>
    <w:rsid w:val="1E582E1C"/>
    <w:rsid w:val="1E914D7E"/>
    <w:rsid w:val="1FE55C83"/>
    <w:rsid w:val="1FEC3BA6"/>
    <w:rsid w:val="20135E30"/>
    <w:rsid w:val="20EF4BE3"/>
    <w:rsid w:val="219468D3"/>
    <w:rsid w:val="21C01D76"/>
    <w:rsid w:val="229B673B"/>
    <w:rsid w:val="24187812"/>
    <w:rsid w:val="273B0A32"/>
    <w:rsid w:val="275D3780"/>
    <w:rsid w:val="287A4F56"/>
    <w:rsid w:val="287D70F8"/>
    <w:rsid w:val="28CD7029"/>
    <w:rsid w:val="29A903D7"/>
    <w:rsid w:val="29C72203"/>
    <w:rsid w:val="29E050D8"/>
    <w:rsid w:val="2A8D01E8"/>
    <w:rsid w:val="2CF0005A"/>
    <w:rsid w:val="2E6F3676"/>
    <w:rsid w:val="2E86474F"/>
    <w:rsid w:val="2E8E3CC1"/>
    <w:rsid w:val="3015281B"/>
    <w:rsid w:val="30DF004D"/>
    <w:rsid w:val="30FC0355"/>
    <w:rsid w:val="31AD30E8"/>
    <w:rsid w:val="32545CB5"/>
    <w:rsid w:val="33D72E97"/>
    <w:rsid w:val="35E84EF8"/>
    <w:rsid w:val="35FF0B29"/>
    <w:rsid w:val="37B15108"/>
    <w:rsid w:val="38F06475"/>
    <w:rsid w:val="392A1279"/>
    <w:rsid w:val="3A654BD8"/>
    <w:rsid w:val="3B992160"/>
    <w:rsid w:val="3C35119F"/>
    <w:rsid w:val="3D6B3AD3"/>
    <w:rsid w:val="3DCD6690"/>
    <w:rsid w:val="3E1A4485"/>
    <w:rsid w:val="3E713699"/>
    <w:rsid w:val="3ED3745D"/>
    <w:rsid w:val="3F2E4D4A"/>
    <w:rsid w:val="41232B72"/>
    <w:rsid w:val="42CF3F12"/>
    <w:rsid w:val="43166012"/>
    <w:rsid w:val="43191ADC"/>
    <w:rsid w:val="433C01C8"/>
    <w:rsid w:val="437E0D67"/>
    <w:rsid w:val="43E458C6"/>
    <w:rsid w:val="46C36940"/>
    <w:rsid w:val="46FC28E3"/>
    <w:rsid w:val="47DB5515"/>
    <w:rsid w:val="490659BA"/>
    <w:rsid w:val="491B152C"/>
    <w:rsid w:val="4DDA3370"/>
    <w:rsid w:val="4E8F353B"/>
    <w:rsid w:val="4FE01898"/>
    <w:rsid w:val="51310751"/>
    <w:rsid w:val="51477BDF"/>
    <w:rsid w:val="517B1ABF"/>
    <w:rsid w:val="528D3434"/>
    <w:rsid w:val="54D07051"/>
    <w:rsid w:val="558D3EF6"/>
    <w:rsid w:val="55940FE6"/>
    <w:rsid w:val="55E11D04"/>
    <w:rsid w:val="561B062B"/>
    <w:rsid w:val="56A26484"/>
    <w:rsid w:val="57560767"/>
    <w:rsid w:val="576077C5"/>
    <w:rsid w:val="578105A0"/>
    <w:rsid w:val="57B16079"/>
    <w:rsid w:val="592C3709"/>
    <w:rsid w:val="59BA6CE9"/>
    <w:rsid w:val="5CF53014"/>
    <w:rsid w:val="5E7C75CD"/>
    <w:rsid w:val="5E803BC8"/>
    <w:rsid w:val="5EB2496F"/>
    <w:rsid w:val="5FA278E2"/>
    <w:rsid w:val="60BD3FA9"/>
    <w:rsid w:val="622B329A"/>
    <w:rsid w:val="65C05EB5"/>
    <w:rsid w:val="65ED6864"/>
    <w:rsid w:val="685A205B"/>
    <w:rsid w:val="689B1EAA"/>
    <w:rsid w:val="6C4A75E9"/>
    <w:rsid w:val="6CFB4632"/>
    <w:rsid w:val="6D6703D5"/>
    <w:rsid w:val="6DA067DA"/>
    <w:rsid w:val="6E237CF4"/>
    <w:rsid w:val="6E772FB4"/>
    <w:rsid w:val="71FE63BF"/>
    <w:rsid w:val="72470889"/>
    <w:rsid w:val="731E4511"/>
    <w:rsid w:val="74B16D69"/>
    <w:rsid w:val="757E24C0"/>
    <w:rsid w:val="759146D4"/>
    <w:rsid w:val="75CB4AD1"/>
    <w:rsid w:val="764305D2"/>
    <w:rsid w:val="780B6DBF"/>
    <w:rsid w:val="79890116"/>
    <w:rsid w:val="7A25404E"/>
    <w:rsid w:val="7B844ABE"/>
    <w:rsid w:val="7D040566"/>
    <w:rsid w:val="7E11080A"/>
    <w:rsid w:val="7EC708AF"/>
    <w:rsid w:val="7F6A0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1">
    <w:name w:val="页眉 Char"/>
    <w:basedOn w:val="15"/>
    <w:link w:val="9"/>
    <w:qFormat/>
    <w:uiPriority w:val="0"/>
    <w:rPr>
      <w:sz w:val="18"/>
      <w:szCs w:val="18"/>
    </w:rPr>
  </w:style>
  <w:style w:type="character" w:customStyle="1" w:styleId="22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5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Char Char Char1 Char Char Char Char"/>
    <w:basedOn w:val="1"/>
    <w:qFormat/>
    <w:uiPriority w:val="0"/>
    <w:rPr>
      <w:rFonts w:ascii="宋体" w:hAnsi="宋体"/>
      <w:b/>
      <w:kern w:val="0"/>
      <w:sz w:val="28"/>
      <w:szCs w:val="28"/>
      <w:lang w:eastAsia="en-US"/>
    </w:rPr>
  </w:style>
  <w:style w:type="character" w:customStyle="1" w:styleId="27">
    <w:name w:val="fontstyle01"/>
    <w:basedOn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0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51"/>
    <w:basedOn w:val="1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3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4D5B-4D7C-4F2A-979F-20946B681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48</Pages>
  <Words>5772</Words>
  <Characters>32902</Characters>
  <Lines>274</Lines>
  <Paragraphs>77</Paragraphs>
  <TotalTime>44</TotalTime>
  <ScaleCrop>false</ScaleCrop>
  <LinksUpToDate>false</LinksUpToDate>
  <CharactersWithSpaces>38597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2018-08-23T03:11:00Z</dcterms:created>
  <dc:creator>北京市西城区人民政府广安门内街道办事处（主管）</dc:creator>
  <cp:lastModifiedBy>Administrator</cp:lastModifiedBy>
  <cp:lastPrinted>2023-08-28T11:33:00Z</cp:lastPrinted>
  <dcterms:modified xsi:type="dcterms:W3CDTF">2023-08-30T03:07:57Z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