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 w:rsidP="00FF7068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297651">
        <w:rPr>
          <w:rFonts w:ascii="仿宋_GB2312" w:hAnsi="Times New Roman" w:hint="eastAsia"/>
          <w:b/>
          <w:sz w:val="44"/>
          <w:szCs w:val="44"/>
        </w:rPr>
        <w:t>22</w:t>
      </w:r>
      <w:r w:rsidR="00FF7068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924E95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924E95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</w:t>
      </w:r>
      <w:r w:rsidR="00951947">
        <w:rPr>
          <w:rFonts w:ascii="仿宋" w:eastAsia="仿宋" w:hAnsi="仿宋" w:hint="eastAsia"/>
          <w:sz w:val="32"/>
          <w:szCs w:val="32"/>
        </w:rPr>
        <w:t>职业康复中心</w:t>
      </w:r>
      <w:r w:rsidR="00281CD1">
        <w:rPr>
          <w:rFonts w:ascii="仿宋" w:eastAsia="仿宋" w:hAnsi="仿宋" w:hint="eastAsia"/>
          <w:sz w:val="32"/>
          <w:szCs w:val="32"/>
        </w:rPr>
        <w:t>为北京市西城区残疾人联合会的下属事业单位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951947" w:rsidRDefault="00951947" w:rsidP="0095194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951947">
        <w:rPr>
          <w:rFonts w:ascii="仿宋" w:eastAsia="仿宋" w:hAnsi="仿宋" w:hint="eastAsia"/>
          <w:sz w:val="32"/>
          <w:szCs w:val="32"/>
        </w:rPr>
        <w:t>负责为本区智力残疾人和稳定期的精神残疾人提供简单劳动、技能训练、康复训练和托管养护等综合性、公益性服务；负责开展职业康复劳动产品的引进、展示推介、销售渠道的拓展及对街道职业康复劳动项目的管理与指导；负责开展具有一定规模的示范性职业康复劳动项目；负责对各类残疾人开展康复劳动能力评估；负责开展重残人托养服务等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E245E" w:rsidRDefault="00A85927" w:rsidP="0095194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事业编制</w:t>
      </w:r>
      <w:r w:rsidR="00951947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；退休人员</w:t>
      </w:r>
      <w:r w:rsidR="0095194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:rsidR="00A85927" w:rsidRDefault="00A85927" w:rsidP="00FF706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二、20</w:t>
      </w:r>
      <w:r w:rsidR="00297651">
        <w:rPr>
          <w:rFonts w:ascii="仿宋" w:eastAsia="仿宋" w:hAnsi="仿宋" w:hint="eastAsia"/>
          <w:sz w:val="32"/>
          <w:szCs w:val="32"/>
        </w:rPr>
        <w:t>22</w:t>
      </w:r>
      <w:r w:rsidR="00FF706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FF7068" w:rsidRDefault="002C410B" w:rsidP="00FF706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年收入决算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297651">
        <w:rPr>
          <w:rFonts w:ascii="仿宋" w:eastAsia="仿宋" w:hAnsi="仿宋" w:hint="eastAsia"/>
          <w:sz w:val="32"/>
          <w:szCs w:val="32"/>
        </w:rPr>
        <w:t>2022</w:t>
      </w:r>
      <w:r w:rsidR="00FF706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全年收入决算</w:t>
      </w:r>
      <w:r w:rsidR="00297651">
        <w:rPr>
          <w:rFonts w:ascii="仿宋" w:eastAsia="仿宋" w:hAnsi="仿宋" w:hint="eastAsia"/>
          <w:sz w:val="32"/>
          <w:szCs w:val="32"/>
        </w:rPr>
        <w:t>13161987.13元，</w:t>
      </w:r>
      <w:r>
        <w:rPr>
          <w:rFonts w:ascii="仿宋" w:eastAsia="仿宋" w:hAnsi="仿宋" w:hint="eastAsia"/>
          <w:sz w:val="32"/>
          <w:szCs w:val="32"/>
        </w:rPr>
        <w:t>20</w:t>
      </w:r>
      <w:r w:rsidR="00264EEF">
        <w:rPr>
          <w:rFonts w:ascii="仿宋" w:eastAsia="仿宋" w:hAnsi="仿宋" w:hint="eastAsia"/>
          <w:sz w:val="32"/>
          <w:szCs w:val="32"/>
        </w:rPr>
        <w:t>22</w:t>
      </w:r>
    </w:p>
    <w:p w:rsidR="00264EEF" w:rsidRDefault="00FF7068" w:rsidP="00FF70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2C410B">
        <w:rPr>
          <w:rFonts w:ascii="仿宋" w:eastAsia="仿宋" w:hAnsi="仿宋" w:hint="eastAsia"/>
          <w:sz w:val="32"/>
          <w:szCs w:val="32"/>
        </w:rPr>
        <w:t>收入比20</w:t>
      </w:r>
      <w:r w:rsidR="00264EEF">
        <w:rPr>
          <w:rFonts w:ascii="仿宋" w:eastAsia="仿宋" w:hAnsi="仿宋" w:hint="eastAsia"/>
          <w:sz w:val="32"/>
          <w:szCs w:val="32"/>
        </w:rPr>
        <w:t>21</w:t>
      </w:r>
      <w:r w:rsidR="002C410B">
        <w:rPr>
          <w:rFonts w:ascii="仿宋" w:eastAsia="仿宋" w:hAnsi="仿宋" w:hint="eastAsia"/>
          <w:sz w:val="32"/>
          <w:szCs w:val="32"/>
        </w:rPr>
        <w:t>收入</w:t>
      </w:r>
      <w:r w:rsidR="00264EEF">
        <w:rPr>
          <w:rFonts w:ascii="仿宋" w:eastAsia="仿宋" w:hAnsi="仿宋" w:hint="eastAsia"/>
          <w:sz w:val="32"/>
          <w:szCs w:val="32"/>
        </w:rPr>
        <w:t>减少8556596.75元。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 w:rsidP="00FF7068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264EEF">
        <w:rPr>
          <w:rFonts w:ascii="仿宋" w:eastAsia="仿宋" w:hAnsi="仿宋" w:hint="eastAsia"/>
          <w:sz w:val="32"/>
          <w:szCs w:val="32"/>
        </w:rPr>
        <w:t>2022</w:t>
      </w:r>
      <w:r w:rsidR="00FF7068">
        <w:rPr>
          <w:rFonts w:ascii="仿宋" w:eastAsia="仿宋" w:hAnsi="仿宋" w:hint="eastAsia"/>
          <w:sz w:val="32"/>
          <w:szCs w:val="32"/>
        </w:rPr>
        <w:t>年</w:t>
      </w:r>
      <w:r w:rsidR="00BD7D22">
        <w:rPr>
          <w:rFonts w:ascii="仿宋" w:eastAsia="仿宋" w:hAnsi="仿宋" w:hint="eastAsia"/>
          <w:sz w:val="32"/>
          <w:szCs w:val="32"/>
        </w:rPr>
        <w:t>支出共计</w:t>
      </w:r>
      <w:r w:rsidR="00264EEF">
        <w:rPr>
          <w:rFonts w:ascii="仿宋" w:eastAsia="仿宋" w:hAnsi="仿宋" w:hint="eastAsia"/>
          <w:sz w:val="32"/>
          <w:szCs w:val="32"/>
        </w:rPr>
        <w:t>13161987.13元</w:t>
      </w:r>
      <w:r w:rsidR="009D112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9D1127">
        <w:rPr>
          <w:rFonts w:ascii="仿宋" w:eastAsia="仿宋" w:hAnsi="仿宋" w:hint="eastAsia"/>
          <w:sz w:val="32"/>
          <w:szCs w:val="32"/>
        </w:rPr>
        <w:t>2</w:t>
      </w:r>
      <w:r w:rsidR="00FF706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支出共计公共预算财政拨款</w:t>
      </w:r>
      <w:r w:rsidR="009D1127">
        <w:rPr>
          <w:rFonts w:ascii="仿宋" w:eastAsia="仿宋" w:hAnsi="仿宋" w:hint="eastAsia"/>
          <w:sz w:val="32"/>
          <w:szCs w:val="32"/>
        </w:rPr>
        <w:t>13161987.13元</w:t>
      </w:r>
      <w:r>
        <w:rPr>
          <w:rFonts w:ascii="仿宋" w:eastAsia="仿宋" w:hAnsi="仿宋" w:hint="eastAsia"/>
          <w:sz w:val="32"/>
          <w:szCs w:val="32"/>
        </w:rPr>
        <w:t>（1）基本支出决算</w:t>
      </w:r>
      <w:r w:rsidR="009D1127">
        <w:rPr>
          <w:rFonts w:ascii="仿宋" w:eastAsia="仿宋" w:hAnsi="仿宋" w:hint="eastAsia"/>
          <w:sz w:val="32"/>
          <w:szCs w:val="32"/>
        </w:rPr>
        <w:t>2156103.51元</w:t>
      </w:r>
      <w:r>
        <w:rPr>
          <w:rFonts w:ascii="仿宋" w:eastAsia="仿宋" w:hAnsi="仿宋" w:hint="eastAsia"/>
          <w:sz w:val="32"/>
          <w:szCs w:val="32"/>
        </w:rPr>
        <w:t>（2）项目支出决算</w:t>
      </w:r>
      <w:r w:rsidR="009D1127">
        <w:rPr>
          <w:rFonts w:ascii="仿宋" w:eastAsia="仿宋" w:hAnsi="仿宋" w:hint="eastAsia"/>
          <w:sz w:val="32"/>
          <w:szCs w:val="32"/>
        </w:rPr>
        <w:t>11005883.62元</w:t>
      </w:r>
      <w:r w:rsidR="00BB5521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主要项目是①</w:t>
      </w:r>
      <w:r w:rsidR="009E0031">
        <w:rPr>
          <w:rFonts w:ascii="仿宋" w:eastAsia="仿宋" w:hAnsi="仿宋" w:hint="eastAsia"/>
          <w:sz w:val="32"/>
          <w:szCs w:val="32"/>
        </w:rPr>
        <w:t>其他残疾人事业</w:t>
      </w:r>
      <w:r>
        <w:rPr>
          <w:rFonts w:ascii="仿宋" w:eastAsia="仿宋" w:hAnsi="仿宋" w:hint="eastAsia"/>
          <w:sz w:val="32"/>
          <w:szCs w:val="32"/>
        </w:rPr>
        <w:t>支出</w:t>
      </w:r>
      <w:r w:rsidR="009D1127">
        <w:rPr>
          <w:rFonts w:ascii="仿宋" w:eastAsia="仿宋" w:hAnsi="仿宋" w:hint="eastAsia"/>
          <w:sz w:val="32"/>
          <w:szCs w:val="32"/>
        </w:rPr>
        <w:t>11005883.62元。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 w:rsidP="00BB552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</w:t>
      </w:r>
      <w:r w:rsidR="000A3052">
        <w:rPr>
          <w:rFonts w:ascii="仿宋" w:eastAsia="仿宋" w:hAnsi="仿宋" w:hint="eastAsia"/>
          <w:sz w:val="32"/>
          <w:szCs w:val="32"/>
        </w:rPr>
        <w:t xml:space="preserve"> </w:t>
      </w:r>
      <w:r w:rsidR="002C410B" w:rsidRPr="00B3250E">
        <w:rPr>
          <w:rFonts w:ascii="仿宋" w:eastAsia="仿宋" w:hAnsi="仿宋" w:hint="eastAsia"/>
          <w:sz w:val="32"/>
          <w:szCs w:val="32"/>
        </w:rPr>
        <w:t>20</w:t>
      </w:r>
      <w:r w:rsidR="00BB5521">
        <w:rPr>
          <w:rFonts w:ascii="仿宋" w:eastAsia="仿宋" w:hAnsi="仿宋" w:hint="eastAsia"/>
          <w:sz w:val="32"/>
          <w:szCs w:val="32"/>
        </w:rPr>
        <w:t>22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BB5521">
        <w:rPr>
          <w:rFonts w:ascii="仿宋" w:eastAsia="仿宋" w:hAnsi="仿宋" w:hint="eastAsia"/>
          <w:sz w:val="32"/>
          <w:szCs w:val="32"/>
        </w:rPr>
        <w:t>10988946。</w:t>
      </w:r>
    </w:p>
    <w:p w:rsidR="005E245E" w:rsidRDefault="00A85927" w:rsidP="00BB55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BB5521">
        <w:rPr>
          <w:rFonts w:ascii="仿宋" w:eastAsia="仿宋" w:hAnsi="仿宋" w:hint="eastAsia"/>
          <w:sz w:val="32"/>
          <w:szCs w:val="32"/>
        </w:rPr>
        <w:t>2022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9F15E1">
        <w:rPr>
          <w:rFonts w:ascii="仿宋" w:eastAsia="仿宋" w:hAnsi="仿宋" w:hint="eastAsia"/>
          <w:sz w:val="32"/>
          <w:szCs w:val="32"/>
        </w:rPr>
        <w:t>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 w:rsidP="00BB552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BB5521">
        <w:rPr>
          <w:rFonts w:ascii="仿宋" w:eastAsia="仿宋" w:hAnsi="仿宋" w:hint="eastAsia"/>
          <w:sz w:val="32"/>
          <w:szCs w:val="32"/>
        </w:rPr>
        <w:t>22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BB5521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 w:rsidR="00117A90">
        <w:rPr>
          <w:rFonts w:ascii="仿宋" w:eastAsia="仿宋" w:hAnsi="仿宋" w:hint="eastAsia"/>
          <w:sz w:val="32"/>
          <w:szCs w:val="32"/>
        </w:rPr>
        <w:t>年本部门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10019E">
        <w:rPr>
          <w:rFonts w:ascii="仿宋" w:eastAsia="仿宋" w:hAnsi="仿宋" w:hint="eastAsia"/>
          <w:sz w:val="32"/>
          <w:szCs w:val="32"/>
        </w:rPr>
        <w:t>2393478.75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BB5521" w:rsidP="00BB552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 w:rsidR="002C410B"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>
        <w:rPr>
          <w:rFonts w:ascii="仿宋" w:eastAsia="仿宋" w:hAnsi="仿宋" w:hint="eastAsia"/>
          <w:sz w:val="32"/>
          <w:szCs w:val="32"/>
        </w:rPr>
        <w:t>2156103.51</w:t>
      </w:r>
      <w:r w:rsidR="002C410B">
        <w:rPr>
          <w:rFonts w:ascii="仿宋" w:eastAsia="仿宋" w:hAnsi="仿宋" w:hint="eastAsia"/>
          <w:sz w:val="32"/>
          <w:szCs w:val="32"/>
        </w:rPr>
        <w:t>元，20</w:t>
      </w:r>
      <w:r>
        <w:rPr>
          <w:rFonts w:ascii="仿宋" w:eastAsia="仿宋" w:hAnsi="仿宋" w:hint="eastAsia"/>
          <w:sz w:val="32"/>
          <w:szCs w:val="32"/>
        </w:rPr>
        <w:t>22</w:t>
      </w:r>
      <w:r w:rsidR="002C410B">
        <w:rPr>
          <w:rFonts w:ascii="仿宋" w:eastAsia="仿宋" w:hAnsi="仿宋" w:hint="eastAsia"/>
          <w:sz w:val="32"/>
          <w:szCs w:val="32"/>
        </w:rPr>
        <w:t>年比</w:t>
      </w:r>
      <w:r>
        <w:rPr>
          <w:rFonts w:ascii="仿宋" w:eastAsia="仿宋" w:hAnsi="仿宋" w:hint="eastAsia"/>
          <w:sz w:val="32"/>
          <w:szCs w:val="32"/>
        </w:rPr>
        <w:t>2021</w:t>
      </w:r>
      <w:r w:rsidR="00981EE3">
        <w:rPr>
          <w:rFonts w:ascii="仿宋" w:eastAsia="仿宋" w:hAnsi="仿宋" w:hint="eastAsia"/>
          <w:sz w:val="32"/>
          <w:szCs w:val="32"/>
        </w:rPr>
        <w:t>支出减少</w:t>
      </w:r>
      <w:r>
        <w:rPr>
          <w:rFonts w:ascii="仿宋" w:eastAsia="仿宋" w:hAnsi="仿宋" w:hint="eastAsia"/>
          <w:sz w:val="32"/>
          <w:szCs w:val="32"/>
        </w:rPr>
        <w:t>5603.74元。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Pr="00BB5521" w:rsidRDefault="002C410B" w:rsidP="00BB55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BB5521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7F4BA6">
        <w:rPr>
          <w:rFonts w:ascii="仿宋_GB2312" w:eastAsia="仿宋_GB2312" w:hint="eastAsia"/>
          <w:sz w:val="32"/>
          <w:szCs w:val="32"/>
        </w:rPr>
        <w:t>41328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BB5521">
        <w:rPr>
          <w:rFonts w:ascii="仿宋_GB2312" w:eastAsia="仿宋_GB2312" w:hint="eastAsia"/>
          <w:sz w:val="32"/>
          <w:szCs w:val="32"/>
        </w:rPr>
        <w:t>26404</w:t>
      </w:r>
      <w:r w:rsidR="00F5626F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117A9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E245E" w:rsidRPr="00D31C8A" w:rsidRDefault="00A85927" w:rsidP="00BB5521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D31C8A">
        <w:rPr>
          <w:rFonts w:ascii="仿宋_GB2312" w:eastAsia="仿宋_GB2312" w:hint="eastAsia"/>
          <w:color w:val="000000" w:themeColor="text1"/>
          <w:sz w:val="32"/>
          <w:szCs w:val="32"/>
        </w:rPr>
        <w:t>（五</w:t>
      </w:r>
      <w:r w:rsidR="002C410B" w:rsidRPr="00D31C8A">
        <w:rPr>
          <w:rFonts w:ascii="仿宋_GB2312" w:eastAsia="仿宋_GB2312" w:hint="eastAsia"/>
          <w:color w:val="000000" w:themeColor="text1"/>
          <w:sz w:val="32"/>
          <w:szCs w:val="32"/>
        </w:rPr>
        <w:t>）2</w:t>
      </w:r>
      <w:r w:rsidR="00BB5521" w:rsidRPr="00D31C8A">
        <w:rPr>
          <w:rFonts w:ascii="仿宋_GB2312" w:eastAsia="仿宋_GB2312" w:hint="eastAsia"/>
          <w:color w:val="000000" w:themeColor="text1"/>
          <w:sz w:val="32"/>
          <w:szCs w:val="32"/>
        </w:rPr>
        <w:t>022</w:t>
      </w:r>
      <w:r w:rsidR="002C410B" w:rsidRPr="00D31C8A">
        <w:rPr>
          <w:rFonts w:ascii="仿宋_GB2312" w:eastAsia="仿宋_GB2312" w:hint="eastAsia"/>
          <w:color w:val="000000" w:themeColor="text1"/>
          <w:sz w:val="32"/>
          <w:szCs w:val="32"/>
        </w:rPr>
        <w:t>年决算绩效情况说明</w:t>
      </w:r>
    </w:p>
    <w:p w:rsidR="008A6B4A" w:rsidRDefault="00BB5521" w:rsidP="00BB5521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D31C8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2022</w:t>
      </w:r>
      <w:r w:rsidR="008A6B4A" w:rsidRPr="00D31C8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</w:t>
      </w:r>
      <w:r w:rsidR="000A3052" w:rsidRPr="00D31C8A">
        <w:rPr>
          <w:rFonts w:ascii="仿宋" w:eastAsia="仿宋" w:hAnsi="仿宋" w:hint="eastAsia"/>
          <w:color w:val="000000" w:themeColor="text1"/>
          <w:sz w:val="32"/>
          <w:szCs w:val="32"/>
        </w:rPr>
        <w:t>完成预算</w:t>
      </w:r>
      <w:r w:rsidR="001F0852" w:rsidRPr="00D31C8A">
        <w:rPr>
          <w:rFonts w:ascii="仿宋" w:eastAsia="仿宋" w:hAnsi="仿宋" w:hint="eastAsia"/>
          <w:color w:val="000000" w:themeColor="text1"/>
          <w:sz w:val="32"/>
          <w:szCs w:val="32"/>
        </w:rPr>
        <w:t>工程进度</w:t>
      </w:r>
      <w:r w:rsidR="00D31C8A" w:rsidRPr="00D31C8A">
        <w:rPr>
          <w:rFonts w:ascii="仿宋" w:eastAsia="仿宋" w:hAnsi="仿宋" w:hint="eastAsia"/>
          <w:color w:val="000000" w:themeColor="text1"/>
          <w:sz w:val="32"/>
          <w:szCs w:val="32"/>
        </w:rPr>
        <w:t>10951200元</w:t>
      </w:r>
      <w:r w:rsidR="00D31C8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31C8A" w:rsidRPr="00D31C8A" w:rsidRDefault="00D31C8A" w:rsidP="00D31C8A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所有项目均为自评项目，评价结果为“良好”。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365339">
        <w:rPr>
          <w:rFonts w:ascii="仿宋" w:eastAsia="仿宋" w:hAnsi="仿宋" w:hint="eastAsia"/>
          <w:color w:val="000000" w:themeColor="text1"/>
          <w:sz w:val="32"/>
          <w:szCs w:val="32"/>
        </w:rPr>
        <w:t>0个购买服务项目</w:t>
      </w:r>
    </w:p>
    <w:p w:rsidR="00941152" w:rsidRPr="00C570FE" w:rsidRDefault="00941152" w:rsidP="00941152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四、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部门“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财政拨款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决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算说明</w:t>
      </w:r>
    </w:p>
    <w:p w:rsidR="00941152" w:rsidRPr="00D75C53" w:rsidRDefault="00941152" w:rsidP="00941152">
      <w:pPr>
        <w:spacing w:line="560" w:lineRule="exact"/>
        <w:ind w:firstLineChars="200" w:firstLine="640"/>
        <w:rPr>
          <w:rFonts w:ascii="仿宋" w:eastAsia="仿宋" w:hAnsi="仿宋" w:cstheme="minorBidi" w:hint="eastAsia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（一）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经费的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单位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范围</w:t>
      </w:r>
    </w:p>
    <w:p w:rsidR="00941152" w:rsidRPr="00C570FE" w:rsidRDefault="00941152" w:rsidP="00941152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D75C53">
        <w:rPr>
          <w:rFonts w:ascii="仿宋" w:eastAsia="仿宋" w:hAnsi="仿宋" w:cstheme="minorBidi" w:hint="eastAsia"/>
          <w:color w:val="000000"/>
          <w:sz w:val="32"/>
          <w:szCs w:val="32"/>
        </w:rPr>
        <w:t>本单位“三公”经费无支出</w:t>
      </w:r>
    </w:p>
    <w:p w:rsidR="00941152" w:rsidRPr="00D75C53" w:rsidRDefault="00941152" w:rsidP="00941152">
      <w:pPr>
        <w:rPr>
          <w:rFonts w:ascii="仿宋" w:eastAsia="仿宋" w:hAnsi="仿宋"/>
          <w:color w:val="000000" w:themeColor="text1"/>
        </w:rPr>
      </w:pPr>
    </w:p>
    <w:p w:rsidR="00941152" w:rsidRPr="00D75C53" w:rsidRDefault="00941152" w:rsidP="00941152">
      <w:pPr>
        <w:rPr>
          <w:rFonts w:ascii="仿宋" w:eastAsia="仿宋" w:hAnsi="仿宋"/>
          <w:color w:val="000000" w:themeColor="text1"/>
        </w:rPr>
      </w:pPr>
    </w:p>
    <w:p w:rsidR="005E245E" w:rsidRPr="00941152" w:rsidRDefault="005E245E">
      <w:pPr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sectPr w:rsidR="005E245E" w:rsidRPr="0094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D4" w:rsidRDefault="003F07D4" w:rsidP="009E5AC9">
      <w:r>
        <w:separator/>
      </w:r>
    </w:p>
  </w:endnote>
  <w:endnote w:type="continuationSeparator" w:id="0">
    <w:p w:rsidR="003F07D4" w:rsidRDefault="003F07D4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D4" w:rsidRDefault="003F07D4" w:rsidP="009E5AC9">
      <w:r>
        <w:separator/>
      </w:r>
    </w:p>
  </w:footnote>
  <w:footnote w:type="continuationSeparator" w:id="0">
    <w:p w:rsidR="003F07D4" w:rsidRDefault="003F07D4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6790E"/>
    <w:rsid w:val="0008546A"/>
    <w:rsid w:val="000A3052"/>
    <w:rsid w:val="000B0C0A"/>
    <w:rsid w:val="000B47AB"/>
    <w:rsid w:val="0010019E"/>
    <w:rsid w:val="00112C72"/>
    <w:rsid w:val="001164AA"/>
    <w:rsid w:val="00117A90"/>
    <w:rsid w:val="00152ADB"/>
    <w:rsid w:val="00195BF3"/>
    <w:rsid w:val="001B57F2"/>
    <w:rsid w:val="001C09EF"/>
    <w:rsid w:val="001F0852"/>
    <w:rsid w:val="00257B06"/>
    <w:rsid w:val="00264EEF"/>
    <w:rsid w:val="00281CD1"/>
    <w:rsid w:val="00291E1B"/>
    <w:rsid w:val="00297651"/>
    <w:rsid w:val="002C410B"/>
    <w:rsid w:val="00315F30"/>
    <w:rsid w:val="00365339"/>
    <w:rsid w:val="00372613"/>
    <w:rsid w:val="00394713"/>
    <w:rsid w:val="003F07D4"/>
    <w:rsid w:val="004551EA"/>
    <w:rsid w:val="004D7902"/>
    <w:rsid w:val="004E79AF"/>
    <w:rsid w:val="004F45FE"/>
    <w:rsid w:val="004F67BB"/>
    <w:rsid w:val="00560ED1"/>
    <w:rsid w:val="005C0DAB"/>
    <w:rsid w:val="005E245E"/>
    <w:rsid w:val="00605D33"/>
    <w:rsid w:val="00652FB2"/>
    <w:rsid w:val="006D6742"/>
    <w:rsid w:val="00702DFD"/>
    <w:rsid w:val="007720F4"/>
    <w:rsid w:val="007835AE"/>
    <w:rsid w:val="007D01E8"/>
    <w:rsid w:val="007E532B"/>
    <w:rsid w:val="007E709B"/>
    <w:rsid w:val="007F4BA6"/>
    <w:rsid w:val="007F5AE3"/>
    <w:rsid w:val="008134DE"/>
    <w:rsid w:val="008443DA"/>
    <w:rsid w:val="00881987"/>
    <w:rsid w:val="00883BFF"/>
    <w:rsid w:val="00885594"/>
    <w:rsid w:val="008A6B4A"/>
    <w:rsid w:val="008D25AF"/>
    <w:rsid w:val="008E2266"/>
    <w:rsid w:val="008E5B25"/>
    <w:rsid w:val="00924E95"/>
    <w:rsid w:val="00941152"/>
    <w:rsid w:val="00951947"/>
    <w:rsid w:val="00981EE3"/>
    <w:rsid w:val="009C48FE"/>
    <w:rsid w:val="009D1127"/>
    <w:rsid w:val="009E0031"/>
    <w:rsid w:val="009E5AC9"/>
    <w:rsid w:val="009F15E1"/>
    <w:rsid w:val="00A10987"/>
    <w:rsid w:val="00A1687D"/>
    <w:rsid w:val="00A71D79"/>
    <w:rsid w:val="00A85927"/>
    <w:rsid w:val="00A911B5"/>
    <w:rsid w:val="00AA57D2"/>
    <w:rsid w:val="00B07618"/>
    <w:rsid w:val="00B20355"/>
    <w:rsid w:val="00B3250E"/>
    <w:rsid w:val="00B93489"/>
    <w:rsid w:val="00BB5521"/>
    <w:rsid w:val="00BC287B"/>
    <w:rsid w:val="00BD296F"/>
    <w:rsid w:val="00BD7D22"/>
    <w:rsid w:val="00BE3B56"/>
    <w:rsid w:val="00BE557C"/>
    <w:rsid w:val="00CE2D95"/>
    <w:rsid w:val="00CE7BCB"/>
    <w:rsid w:val="00D03C9C"/>
    <w:rsid w:val="00D31C8A"/>
    <w:rsid w:val="00D460B2"/>
    <w:rsid w:val="00DE1659"/>
    <w:rsid w:val="00DF7755"/>
    <w:rsid w:val="00E24D9E"/>
    <w:rsid w:val="00E41C8F"/>
    <w:rsid w:val="00E47D93"/>
    <w:rsid w:val="00E84E3A"/>
    <w:rsid w:val="00F16CB9"/>
    <w:rsid w:val="00F31D9F"/>
    <w:rsid w:val="00F32938"/>
    <w:rsid w:val="00F366C6"/>
    <w:rsid w:val="00F5626F"/>
    <w:rsid w:val="00FE7887"/>
    <w:rsid w:val="00FF04B2"/>
    <w:rsid w:val="00FF7068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6</cp:revision>
  <dcterms:created xsi:type="dcterms:W3CDTF">2023-08-15T07:32:00Z</dcterms:created>
  <dcterms:modified xsi:type="dcterms:W3CDTF">2023-08-17T07:17:00Z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