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b/>
          <w:sz w:val="36"/>
          <w:szCs w:val="36"/>
        </w:rPr>
      </w:pPr>
    </w:p>
    <w:p>
      <w:pPr>
        <w:jc w:val="center"/>
        <w:rPr>
          <w:rFonts w:hint="eastAsia" w:ascii="仿宋_GB2312"/>
          <w:b/>
          <w:sz w:val="36"/>
          <w:szCs w:val="36"/>
        </w:rPr>
      </w:pPr>
      <w:r>
        <w:rPr>
          <w:rFonts w:hint="eastAsia" w:ascii="仿宋_GB2312"/>
          <w:b/>
          <w:sz w:val="36"/>
          <w:szCs w:val="36"/>
        </w:rPr>
        <w:t>北京市西城区文化和旅游局（本级）</w:t>
      </w:r>
    </w:p>
    <w:p>
      <w:pPr>
        <w:jc w:val="center"/>
        <w:rPr>
          <w:rFonts w:ascii="仿宋_GB2312"/>
          <w:b/>
          <w:sz w:val="36"/>
          <w:szCs w:val="36"/>
        </w:rPr>
      </w:pPr>
      <w:r>
        <w:rPr>
          <w:rFonts w:hint="eastAsia" w:ascii="仿宋_GB2312"/>
          <w:b/>
          <w:sz w:val="36"/>
          <w:szCs w:val="36"/>
        </w:rPr>
        <w:t>2022年部门决算</w:t>
      </w:r>
    </w:p>
    <w:p>
      <w:pPr>
        <w:jc w:val="center"/>
        <w:outlineLvl w:val="0"/>
        <w:rPr>
          <w:rFonts w:hint="eastAsia" w:ascii="黑体" w:eastAsia="黑体"/>
          <w:sz w:val="44"/>
          <w:szCs w:val="44"/>
        </w:rPr>
      </w:pPr>
    </w:p>
    <w:p>
      <w:pPr>
        <w:jc w:val="center"/>
        <w:outlineLvl w:val="0"/>
        <w:rPr>
          <w:rFonts w:hint="eastAsia" w:ascii="仿宋_GB2312"/>
          <w:b/>
          <w:sz w:val="36"/>
          <w:szCs w:val="36"/>
        </w:rPr>
      </w:pPr>
      <w:r>
        <w:rPr>
          <w:rFonts w:hint="eastAsia" w:ascii="仿宋_GB2312"/>
          <w:b/>
          <w:sz w:val="36"/>
          <w:szCs w:val="36"/>
        </w:rPr>
        <w:t>目  录</w:t>
      </w:r>
    </w:p>
    <w:p>
      <w:pPr>
        <w:jc w:val="center"/>
        <w:outlineLvl w:val="0"/>
        <w:rPr>
          <w:rFonts w:hint="eastAsia" w:ascii="仿宋_GB2312"/>
          <w:b/>
          <w:sz w:val="36"/>
          <w:szCs w:val="36"/>
        </w:rPr>
      </w:pPr>
    </w:p>
    <w:p>
      <w:pPr>
        <w:ind w:firstLine="640" w:firstLineChars="200"/>
        <w:jc w:val="both"/>
        <w:outlineLvl w:val="0"/>
        <w:rPr>
          <w:rFonts w:hint="eastAsia" w:ascii="仿宋_GB2312"/>
          <w:b/>
          <w:sz w:val="36"/>
          <w:szCs w:val="36"/>
        </w:rPr>
      </w:pPr>
      <w:r>
        <w:rPr>
          <w:rFonts w:hint="eastAsia" w:ascii="仿宋_GB2312" w:hAnsi="仿宋_GB2312" w:eastAsia="仿宋_GB2312" w:cs="仿宋_GB2312"/>
          <w:color w:val="404040"/>
          <w:sz w:val="32"/>
          <w:szCs w:val="32"/>
        </w:rPr>
        <w:t>第</w:t>
      </w:r>
      <w:r>
        <w:rPr>
          <w:rFonts w:hint="eastAsia" w:ascii="仿宋_GB2312" w:hAnsi="仿宋_GB2312" w:eastAsia="仿宋_GB2312" w:cs="仿宋_GB2312"/>
          <w:color w:val="404040"/>
          <w:sz w:val="32"/>
          <w:szCs w:val="32"/>
          <w:lang w:val="en-US" w:eastAsia="zh-CN"/>
        </w:rPr>
        <w:t>一</w:t>
      </w:r>
      <w:r>
        <w:rPr>
          <w:rFonts w:hint="eastAsia" w:ascii="仿宋_GB2312" w:hAnsi="仿宋_GB2312" w:eastAsia="仿宋_GB2312" w:cs="仿宋_GB2312"/>
          <w:color w:val="404040"/>
          <w:sz w:val="32"/>
          <w:szCs w:val="32"/>
        </w:rPr>
        <w:t>部分 2022年度部门决算说明</w:t>
      </w:r>
    </w:p>
    <w:p>
      <w:pPr>
        <w:ind w:firstLine="640" w:firstLineChars="200"/>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rPr>
        <w:t>第二部分 2022年度部门决算报表</w:t>
      </w:r>
    </w:p>
    <w:p>
      <w:pPr>
        <w:ind w:firstLine="640" w:firstLineChars="200"/>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rPr>
        <w:t>一、收入支出决算总表</w:t>
      </w:r>
    </w:p>
    <w:p>
      <w:pPr>
        <w:ind w:firstLine="640" w:firstLineChars="200"/>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rPr>
        <w:t>二、收入决算表</w:t>
      </w:r>
    </w:p>
    <w:p>
      <w:pPr>
        <w:ind w:firstLine="640" w:firstLineChars="200"/>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rPr>
        <w:t>三、支出决算表</w:t>
      </w:r>
    </w:p>
    <w:p>
      <w:pPr>
        <w:ind w:firstLine="640" w:firstLineChars="200"/>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rPr>
        <w:t>四、财政拨款收入支出决算总表</w:t>
      </w:r>
    </w:p>
    <w:p>
      <w:pPr>
        <w:ind w:firstLine="640" w:firstLineChars="200"/>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rPr>
        <w:t>五、一般公共预算财政拨款收入支出决算表</w:t>
      </w:r>
    </w:p>
    <w:p>
      <w:pPr>
        <w:ind w:firstLine="640" w:firstLineChars="200"/>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rPr>
        <w:t>六、一般公共预算财政拨款支出决算表</w:t>
      </w:r>
    </w:p>
    <w:p>
      <w:pPr>
        <w:ind w:firstLine="640" w:firstLineChars="200"/>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rPr>
        <w:t>七、一般公共预算财政拨款基本支出决算表</w:t>
      </w:r>
    </w:p>
    <w:p>
      <w:pPr>
        <w:ind w:firstLine="640" w:firstLineChars="200"/>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rPr>
        <w:t>八、政府性基金预算财政拨款收入支出决算表</w:t>
      </w:r>
    </w:p>
    <w:p>
      <w:pPr>
        <w:ind w:firstLine="640" w:firstLineChars="200"/>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rPr>
        <w:t>九、政府性基金预算财政拨款基本支出决算表</w:t>
      </w:r>
    </w:p>
    <w:p>
      <w:pPr>
        <w:ind w:firstLine="640" w:firstLineChars="200"/>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rPr>
        <w:t>十、国有资本经营预算财政拨款支出决算表</w:t>
      </w:r>
    </w:p>
    <w:p>
      <w:pPr>
        <w:ind w:firstLine="640" w:firstLineChars="200"/>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rPr>
        <w:t>十一、财政拨款“三公”经费支出决算表</w:t>
      </w:r>
    </w:p>
    <w:p>
      <w:pPr>
        <w:ind w:firstLine="640" w:firstLineChars="200"/>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rPr>
        <w:t>十二、政府采购情况表</w:t>
      </w:r>
    </w:p>
    <w:p>
      <w:pPr>
        <w:ind w:firstLine="640" w:firstLineChars="200"/>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rPr>
        <w:t>十三、政府购买服务决算公开情况表</w:t>
      </w:r>
    </w:p>
    <w:p>
      <w:pPr>
        <w:ind w:firstLine="640" w:firstLineChars="200"/>
        <w:rPr>
          <w:rFonts w:hint="eastAsia" w:ascii="仿宋_GB2312" w:hAnsi="仿宋_GB2312" w:eastAsia="仿宋_GB2312" w:cs="仿宋_GB2312"/>
          <w:color w:val="404040"/>
          <w:sz w:val="32"/>
          <w:szCs w:val="32"/>
        </w:rPr>
      </w:pPr>
    </w:p>
    <w:p>
      <w:pPr>
        <w:jc w:val="center"/>
        <w:outlineLvl w:val="0"/>
        <w:rPr>
          <w:rFonts w:hint="eastAsia" w:ascii="仿宋_GB2312"/>
          <w:b/>
          <w:sz w:val="36"/>
          <w:szCs w:val="36"/>
        </w:rPr>
      </w:pPr>
    </w:p>
    <w:p>
      <w:pPr>
        <w:jc w:val="center"/>
        <w:outlineLvl w:val="0"/>
        <w:rPr>
          <w:rFonts w:hint="eastAsia" w:ascii="黑体" w:eastAsia="黑体"/>
          <w:sz w:val="36"/>
          <w:szCs w:val="36"/>
        </w:rPr>
      </w:pPr>
      <w:r>
        <w:rPr>
          <w:rFonts w:hint="eastAsia" w:ascii="黑体" w:eastAsia="黑体"/>
          <w:sz w:val="36"/>
          <w:szCs w:val="36"/>
        </w:rPr>
        <w:t>第一部分    2022年部门决算说明</w:t>
      </w:r>
    </w:p>
    <w:p>
      <w:pPr>
        <w:ind w:firstLine="640" w:firstLineChars="200"/>
        <w:rPr>
          <w:rFonts w:hint="eastAsia" w:ascii="仿宋_GB2312" w:eastAsia="仿宋_GB2312"/>
          <w:sz w:val="32"/>
          <w:szCs w:val="32"/>
        </w:rPr>
      </w:pPr>
    </w:p>
    <w:p>
      <w:pPr>
        <w:ind w:firstLine="643" w:firstLineChars="200"/>
        <w:rPr>
          <w:rFonts w:hint="eastAsia" w:ascii="仿宋_GB2312" w:eastAsia="仿宋_GB2312"/>
          <w:b/>
          <w:sz w:val="32"/>
          <w:szCs w:val="32"/>
        </w:rPr>
      </w:pPr>
      <w:r>
        <w:rPr>
          <w:rFonts w:hint="eastAsia" w:ascii="仿宋_GB2312" w:eastAsia="仿宋_GB2312"/>
          <w:b/>
          <w:sz w:val="32"/>
          <w:szCs w:val="32"/>
        </w:rPr>
        <w:t>一、部门基本情况</w:t>
      </w:r>
    </w:p>
    <w:p>
      <w:pPr>
        <w:ind w:firstLine="480" w:firstLineChars="150"/>
        <w:rPr>
          <w:rFonts w:hint="eastAsia" w:ascii="仿宋_GB2312" w:eastAsia="仿宋_GB2312"/>
          <w:sz w:val="32"/>
          <w:szCs w:val="32"/>
        </w:rPr>
      </w:pPr>
      <w:r>
        <w:rPr>
          <w:rFonts w:hint="eastAsia" w:ascii="仿宋_GB2312" w:eastAsia="仿宋_GB2312"/>
          <w:sz w:val="32"/>
          <w:szCs w:val="32"/>
        </w:rPr>
        <w:t>（一）部门职责</w:t>
      </w:r>
    </w:p>
    <w:p>
      <w:pPr>
        <w:ind w:firstLine="640" w:firstLineChars="200"/>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rPr>
        <w:t>1.贯彻落实国家和本市关于文化、旅游以及文物工作的法律法规、规章和政策。2.统筹规划本区文化事业、文化产业和旅游业发展，拟订发展规划并组织实施，推进文化和旅游融合发展，推进文化、旅游以及文物事业的体制机制改革。3.管理本区重大文化活动，指导本区重点及基层文化设施建设和旅游设施建设。立足首都核心区，参与国家和北京市旅游整体形象的对外宣传和重大推广活动。组织本区文化、旅游对外宣传和推广活动，促进文化产业和旅游业对外合作和市场推广，负责制定本区旅游市场开发战略并组织实施，落实推进全域旅游。4.负责本区公共文化事业发展，推进公共文化服务体系建设和旅游公共服务体系建设，深入实施文化和旅游惠民工程，统筹推进基本公共文化和旅游服务标准化。5.指导、推进本区文化和旅游科技创新发展，推进文化和旅游业信息化、标准化建设。6.负责本区非物质文化遗产保护、保存，推动非物质文化遗产的保护、传承、传播和发展。7.负责拟订本区文物事业发展规划并组织实施，负责文化保护单位管理工作，会同有关部门负责老城历史文化保护与复兴工作。指导博物馆工作。8.统筹规划本区文化产业和旅游业，组织实施文化、旅游、文物资源的普查、挖掘、保护和利用工作，促进文化产业、旅游业和文物事业的发展。9.指导本区文化和旅游市场发展，负责对文化和旅游市场经营进行行业监管，推进文化和旅游业信用体系建设，依法规范文化和旅游市场。10.在区委宣传部门指导下，组织开展本区文化市场综合执法，组织查处文化、文物、出版、广播电视、电影、旅游等市场的违法行为，维护市场秩序。11.指导、管理本区文化和旅游对外及对港澳台交流、合作和宣传、推广工作，负责组织大型文化和旅游对外及对港澳台交流活动。12.指导、管理本区文化创意产业发展，拟订相关发展规划并组织实施。统筹推进文化创意产业发展服务体系建设，指导协调文化创意产业基地、园区建设，协调推进文化创意产业重大项目建设。代为管理区文化创意产业促进中心。13.按照“管行业必须管安全，管业务必须管安全，管生产经营必须管安全”的要求，承担相关安全生产工作职责。14.完成区委、区政府交办的其他任务。</w:t>
      </w:r>
    </w:p>
    <w:p>
      <w:pPr>
        <w:ind w:firstLine="640" w:firstLineChars="200"/>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rPr>
        <w:t>（二）人员构成及内设机构情况</w:t>
      </w:r>
    </w:p>
    <w:p>
      <w:pPr>
        <w:ind w:firstLine="640" w:firstLineChars="200"/>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rPr>
        <w:t>北京市西城区文化和旅游局行政编制</w:t>
      </w:r>
      <w:r>
        <w:rPr>
          <w:rFonts w:hint="eastAsia" w:ascii="仿宋_GB2312" w:hAnsi="仿宋_GB2312" w:eastAsia="仿宋_GB2312" w:cs="仿宋_GB2312"/>
          <w:color w:val="404040"/>
          <w:sz w:val="32"/>
          <w:szCs w:val="32"/>
          <w:lang w:val="en-US" w:eastAsia="zh-CN"/>
        </w:rPr>
        <w:t>62</w:t>
      </w:r>
      <w:r>
        <w:rPr>
          <w:rFonts w:hint="eastAsia" w:ascii="仿宋_GB2312" w:hAnsi="仿宋_GB2312" w:eastAsia="仿宋_GB2312" w:cs="仿宋_GB2312"/>
          <w:color w:val="404040"/>
          <w:sz w:val="32"/>
          <w:szCs w:val="32"/>
        </w:rPr>
        <w:t>人，事业编制24人（北京市西城区旅游服务中心和北京市西城区旅游产业发展中心），工勤编制2名。年末在职实有</w:t>
      </w:r>
      <w:r>
        <w:rPr>
          <w:rFonts w:hint="eastAsia" w:ascii="仿宋_GB2312" w:hAnsi="仿宋_GB2312" w:eastAsia="仿宋_GB2312" w:cs="仿宋_GB2312"/>
          <w:color w:val="404040"/>
          <w:sz w:val="32"/>
          <w:szCs w:val="32"/>
          <w:lang w:val="en-US" w:eastAsia="zh-CN"/>
        </w:rPr>
        <w:t>82</w:t>
      </w:r>
      <w:r>
        <w:rPr>
          <w:rFonts w:hint="eastAsia" w:ascii="仿宋_GB2312" w:hAnsi="仿宋_GB2312" w:eastAsia="仿宋_GB2312" w:cs="仿宋_GB2312"/>
          <w:color w:val="404040"/>
          <w:sz w:val="32"/>
          <w:szCs w:val="32"/>
        </w:rPr>
        <w:t>人。</w:t>
      </w:r>
    </w:p>
    <w:p>
      <w:pPr>
        <w:pStyle w:val="15"/>
        <w:widowControl/>
        <w:spacing w:line="360" w:lineRule="auto"/>
        <w:ind w:left="0" w:firstLine="640" w:firstLineChars="200"/>
        <w:rPr>
          <w:rFonts w:eastAsia="仿宋_GB2312"/>
          <w:sz w:val="32"/>
          <w:szCs w:val="32"/>
          <w:lang w:val="en-US"/>
        </w:rPr>
      </w:pPr>
      <w:r>
        <w:rPr>
          <w:rFonts w:eastAsia="仿宋_GB2312"/>
          <w:sz w:val="32"/>
          <w:szCs w:val="32"/>
          <w:lang w:eastAsia="zh-CN"/>
        </w:rPr>
        <w:t>北京市西城区文化和旅游局（简称区文化和旅游局）是根据《北京市西城区文化和旅游局职能配置、内设机构和人员编制规定》（京西办字【</w:t>
      </w:r>
      <w:r>
        <w:rPr>
          <w:rFonts w:eastAsia="仿宋_GB2312"/>
          <w:sz w:val="32"/>
          <w:szCs w:val="32"/>
          <w:lang w:val="en-US"/>
        </w:rPr>
        <w:t>2019</w:t>
      </w:r>
      <w:r>
        <w:rPr>
          <w:rFonts w:eastAsia="仿宋_GB2312"/>
          <w:sz w:val="32"/>
          <w:szCs w:val="32"/>
          <w:lang w:eastAsia="zh-CN"/>
        </w:rPr>
        <w:t>】</w:t>
      </w:r>
      <w:r>
        <w:rPr>
          <w:rFonts w:eastAsia="仿宋_GB2312"/>
          <w:sz w:val="32"/>
          <w:szCs w:val="32"/>
          <w:lang w:val="en-US"/>
        </w:rPr>
        <w:t>14</w:t>
      </w:r>
      <w:r>
        <w:rPr>
          <w:rFonts w:eastAsia="仿宋_GB2312"/>
          <w:sz w:val="32"/>
          <w:szCs w:val="32"/>
          <w:lang w:eastAsia="zh-CN"/>
        </w:rPr>
        <w:t>号）设立，是区政府工作部门，为正处级。根据《中共北京市西城区委机构编制委员会关于在区文化和旅游局加挂牌子及核定所属行政执法机构编制职数的通知》（西编发【</w:t>
      </w:r>
      <w:r>
        <w:rPr>
          <w:rFonts w:eastAsia="仿宋_GB2312"/>
          <w:sz w:val="32"/>
          <w:szCs w:val="32"/>
          <w:lang w:val="en-US"/>
        </w:rPr>
        <w:t>2021</w:t>
      </w:r>
      <w:r>
        <w:rPr>
          <w:rFonts w:eastAsia="仿宋_GB2312"/>
          <w:sz w:val="32"/>
          <w:szCs w:val="32"/>
          <w:lang w:eastAsia="zh-CN"/>
        </w:rPr>
        <w:t>】</w:t>
      </w:r>
      <w:r>
        <w:rPr>
          <w:rFonts w:eastAsia="仿宋_GB2312"/>
          <w:sz w:val="32"/>
          <w:szCs w:val="32"/>
          <w:lang w:val="en-US"/>
        </w:rPr>
        <w:t>16</w:t>
      </w:r>
      <w:r>
        <w:rPr>
          <w:rFonts w:eastAsia="仿宋_GB2312"/>
          <w:sz w:val="32"/>
          <w:szCs w:val="32"/>
          <w:lang w:eastAsia="zh-CN"/>
        </w:rPr>
        <w:t>号），在北京市西城区文化和旅游局加挂北京市西城区文物局牌子（简称区文物局</w:t>
      </w:r>
      <w:r>
        <w:rPr>
          <w:rFonts w:eastAsia="仿宋_GB2312"/>
          <w:sz w:val="32"/>
          <w:szCs w:val="32"/>
          <w:lang w:val="en-US"/>
        </w:rPr>
        <w:t>)</w:t>
      </w:r>
      <w:r>
        <w:rPr>
          <w:rFonts w:eastAsia="仿宋_GB2312"/>
          <w:sz w:val="32"/>
          <w:szCs w:val="32"/>
          <w:lang w:eastAsia="zh-CN"/>
        </w:rPr>
        <w:t>。根据《中共北京市西城区委机构编制委员会关于调整区文化和旅游局（区文物局）内设机构及编制的批复》（西编发【</w:t>
      </w:r>
      <w:r>
        <w:rPr>
          <w:rFonts w:eastAsia="仿宋_GB2312"/>
          <w:sz w:val="32"/>
          <w:szCs w:val="32"/>
          <w:lang w:val="en-US"/>
        </w:rPr>
        <w:t>2022</w:t>
      </w:r>
      <w:r>
        <w:rPr>
          <w:rFonts w:eastAsia="仿宋_GB2312"/>
          <w:sz w:val="32"/>
          <w:szCs w:val="32"/>
          <w:lang w:eastAsia="zh-CN"/>
        </w:rPr>
        <w:t>】</w:t>
      </w:r>
      <w:r>
        <w:rPr>
          <w:rFonts w:eastAsia="仿宋_GB2312"/>
          <w:sz w:val="32"/>
          <w:szCs w:val="32"/>
          <w:lang w:val="en-US"/>
        </w:rPr>
        <w:t>30</w:t>
      </w:r>
      <w:r>
        <w:rPr>
          <w:rFonts w:eastAsia="仿宋_GB2312"/>
          <w:sz w:val="32"/>
          <w:szCs w:val="32"/>
          <w:lang w:eastAsia="zh-CN"/>
        </w:rPr>
        <w:t>号），区文化和旅游局内设机构及行政编制进行了调整。调整后的情况如下：</w:t>
      </w:r>
    </w:p>
    <w:p>
      <w:pPr>
        <w:pStyle w:val="15"/>
        <w:widowControl/>
        <w:spacing w:line="360" w:lineRule="auto"/>
        <w:ind w:left="0" w:firstLine="640" w:firstLineChars="200"/>
        <w:rPr>
          <w:rFonts w:hAnsi="宋体" w:eastAsia="仿宋_GB2312"/>
          <w:sz w:val="32"/>
          <w:szCs w:val="32"/>
          <w:lang w:val="en-US"/>
        </w:rPr>
      </w:pPr>
      <w:r>
        <w:rPr>
          <w:rFonts w:hAnsi="宋体" w:eastAsia="仿宋_GB2312"/>
          <w:sz w:val="32"/>
          <w:szCs w:val="32"/>
          <w:lang w:eastAsia="zh-CN"/>
        </w:rPr>
        <w:t>区文化和旅游局</w:t>
      </w:r>
      <w:r>
        <w:rPr>
          <w:rFonts w:hint="eastAsia" w:hAnsi="宋体" w:eastAsia="仿宋_GB2312"/>
          <w:sz w:val="32"/>
          <w:szCs w:val="32"/>
          <w:lang w:val="en-US" w:eastAsia="zh-CN"/>
        </w:rPr>
        <w:t>机关</w:t>
      </w:r>
      <w:r>
        <w:rPr>
          <w:rFonts w:hAnsi="宋体" w:eastAsia="仿宋_GB2312"/>
          <w:sz w:val="32"/>
          <w:szCs w:val="32"/>
          <w:lang w:eastAsia="zh-CN"/>
        </w:rPr>
        <w:t>设</w:t>
      </w:r>
      <w:r>
        <w:rPr>
          <w:rFonts w:hint="eastAsia" w:hAnsi="宋体" w:eastAsia="仿宋_GB2312"/>
          <w:sz w:val="32"/>
          <w:szCs w:val="32"/>
          <w:lang w:val="en-US" w:eastAsia="zh-CN"/>
        </w:rPr>
        <w:t>17个</w:t>
      </w:r>
      <w:r>
        <w:rPr>
          <w:rFonts w:hAnsi="宋体" w:eastAsia="仿宋_GB2312"/>
          <w:sz w:val="32"/>
          <w:szCs w:val="32"/>
          <w:lang w:eastAsia="zh-CN"/>
        </w:rPr>
        <w:t>内设机构：办公室、政策法规科（研究室）、行政审批科、产业发展科（文创科）、公共服务科、非物质文化遗产科、文物保护科、文物利用科、文化旅游科、对外交流与合作科、文化活动科、行业管理科、安全与应急科（假日办）、财务审计科、党群工作办公室、人事科、离退休干部科。</w:t>
      </w:r>
    </w:p>
    <w:p>
      <w:pPr>
        <w:ind w:firstLine="640" w:firstLineChars="200"/>
        <w:rPr>
          <w:rFonts w:hint="eastAsia" w:ascii="仿宋_GB2312" w:eastAsia="仿宋_GB2312"/>
          <w:sz w:val="32"/>
          <w:szCs w:val="32"/>
        </w:rPr>
      </w:pPr>
      <w:r>
        <w:rPr>
          <w:rFonts w:hint="eastAsia" w:ascii="仿宋_GB2312" w:eastAsia="仿宋_GB2312"/>
          <w:sz w:val="32"/>
          <w:szCs w:val="32"/>
        </w:rPr>
        <w:t>另外，北京市西城区旅游服务中心和北京市西城区旅游产业发展中心为2个全额拨款事业单位，由我单位统一核算。</w:t>
      </w:r>
    </w:p>
    <w:p>
      <w:pPr>
        <w:ind w:firstLine="643" w:firstLineChars="200"/>
        <w:rPr>
          <w:rFonts w:hint="eastAsia" w:ascii="仿宋_GB2312" w:eastAsia="仿宋_GB2312"/>
          <w:b/>
          <w:sz w:val="32"/>
          <w:szCs w:val="32"/>
        </w:rPr>
      </w:pPr>
      <w:r>
        <w:rPr>
          <w:rFonts w:hint="eastAsia" w:ascii="仿宋_GB2312" w:eastAsia="仿宋_GB2312"/>
          <w:b/>
          <w:sz w:val="32"/>
          <w:szCs w:val="32"/>
        </w:rPr>
        <w:t>二、2022年收入支出决算总体情况说明</w:t>
      </w:r>
    </w:p>
    <w:p>
      <w:pPr>
        <w:ind w:firstLine="640" w:firstLineChars="200"/>
        <w:rPr>
          <w:rFonts w:hint="eastAsia" w:ascii="仿宋_GB2312" w:hAnsi="仿宋_GB2312" w:eastAsia="仿宋_GB2312" w:cs="仿宋_GB2312"/>
          <w:sz w:val="32"/>
          <w:szCs w:val="32"/>
        </w:rPr>
      </w:pPr>
      <w:r>
        <w:rPr>
          <w:rFonts w:hint="eastAsia" w:ascii="仿宋_GB2312" w:eastAsia="仿宋_GB2312"/>
          <w:sz w:val="32"/>
          <w:szCs w:val="32"/>
        </w:rPr>
        <w:t>2022年收入决算</w:t>
      </w:r>
      <w:r>
        <w:rPr>
          <w:rFonts w:hint="eastAsia" w:ascii="仿宋_GB2312" w:hAnsi="仿宋_GB2312" w:eastAsia="仿宋_GB2312" w:cs="仿宋_GB2312"/>
          <w:sz w:val="32"/>
          <w:szCs w:val="32"/>
        </w:rPr>
        <w:t>50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437.026286万元</w:t>
      </w:r>
      <w:r>
        <w:rPr>
          <w:rFonts w:hint="eastAsia" w:ascii="仿宋_GB2312" w:eastAsia="仿宋_GB2312"/>
          <w:sz w:val="32"/>
          <w:szCs w:val="32"/>
        </w:rPr>
        <w:t>，其中：财政拨款</w:t>
      </w:r>
      <w:r>
        <w:rPr>
          <w:rFonts w:hint="eastAsia" w:ascii="仿宋_GB2312" w:hAnsi="仿宋_GB2312" w:eastAsia="仿宋_GB2312" w:cs="仿宋_GB2312"/>
          <w:sz w:val="32"/>
          <w:szCs w:val="32"/>
        </w:rPr>
        <w:t>50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437.026286万元</w:t>
      </w:r>
      <w:r>
        <w:rPr>
          <w:rFonts w:hint="eastAsia" w:ascii="仿宋_GB2312" w:eastAsia="仿宋_GB2312"/>
          <w:sz w:val="32"/>
          <w:szCs w:val="32"/>
        </w:rPr>
        <w:t>，事业收入0万元，其他收入0万元。2022年决算收入与2022年年初预算收入相比增加了</w:t>
      </w:r>
      <w:r>
        <w:rPr>
          <w:rFonts w:hint="eastAsia" w:ascii="仿宋_GB2312" w:eastAsia="仿宋_GB2312"/>
          <w:sz w:val="32"/>
          <w:szCs w:val="32"/>
          <w:lang w:val="en-US" w:eastAsia="zh-CN"/>
        </w:rPr>
        <w:t>507.82</w:t>
      </w:r>
      <w:r>
        <w:rPr>
          <w:rFonts w:hint="eastAsia" w:ascii="仿宋_GB2312" w:eastAsia="仿宋_GB2312"/>
          <w:sz w:val="32"/>
          <w:szCs w:val="32"/>
        </w:rPr>
        <w:t>%，</w:t>
      </w:r>
      <w:r>
        <w:rPr>
          <w:rFonts w:hint="eastAsia" w:ascii="仿宋_GB2312" w:hAnsi="仿宋_GB2312" w:eastAsia="仿宋_GB2312" w:cs="仿宋_GB2312"/>
          <w:sz w:val="32"/>
          <w:szCs w:val="32"/>
        </w:rPr>
        <w:t>主要原因：受疫情影响，追加集中医学观察隔离点经费等经费，故导致决算收入比年初预算收入增加</w:t>
      </w:r>
      <w:r>
        <w:rPr>
          <w:rFonts w:hint="eastAsia" w:ascii="仿宋_GB2312" w:hAnsi="仿宋_GB2312" w:eastAsia="仿宋_GB2312" w:cs="仿宋_GB2312"/>
          <w:sz w:val="32"/>
          <w:szCs w:val="32"/>
          <w:lang w:val="en-US" w:eastAsia="zh-CN"/>
        </w:rPr>
        <w:t>较大</w:t>
      </w:r>
      <w:r>
        <w:rPr>
          <w:rFonts w:hint="eastAsia" w:ascii="仿宋_GB2312" w:hAnsi="仿宋_GB2312" w:eastAsia="仿宋_GB2312" w:cs="仿宋_GB2312"/>
          <w:sz w:val="32"/>
          <w:szCs w:val="32"/>
        </w:rPr>
        <w:t>。</w:t>
      </w:r>
    </w:p>
    <w:p>
      <w:pPr>
        <w:ind w:firstLine="640" w:firstLineChars="200"/>
        <w:rPr>
          <w:rFonts w:hint="eastAsia" w:ascii="仿宋_GB2312" w:eastAsia="仿宋_GB2312"/>
          <w:sz w:val="32"/>
          <w:szCs w:val="32"/>
        </w:rPr>
      </w:pPr>
      <w:r>
        <w:rPr>
          <w:rFonts w:hint="eastAsia" w:ascii="仿宋_GB2312" w:eastAsia="仿宋_GB2312"/>
          <w:sz w:val="32"/>
          <w:szCs w:val="32"/>
        </w:rPr>
        <w:t>2022年决算支出为</w:t>
      </w:r>
      <w:r>
        <w:rPr>
          <w:rFonts w:hint="eastAsia" w:ascii="仿宋_GB2312" w:hAnsi="仿宋_GB2312" w:eastAsia="仿宋_GB2312" w:cs="仿宋_GB2312"/>
          <w:sz w:val="32"/>
          <w:szCs w:val="32"/>
        </w:rPr>
        <w:t>51,565.574905万元</w:t>
      </w:r>
      <w:r>
        <w:rPr>
          <w:rFonts w:hint="eastAsia" w:ascii="仿宋_GB2312" w:eastAsia="仿宋_GB2312"/>
          <w:sz w:val="32"/>
          <w:szCs w:val="32"/>
        </w:rPr>
        <w:t>，与2022年年初预算支出相比增加了</w:t>
      </w:r>
      <w:r>
        <w:rPr>
          <w:rFonts w:hint="eastAsia" w:ascii="仿宋_GB2312" w:eastAsia="仿宋_GB2312"/>
          <w:sz w:val="32"/>
          <w:szCs w:val="32"/>
          <w:lang w:val="en-US" w:eastAsia="zh-CN"/>
        </w:rPr>
        <w:t>521.42</w:t>
      </w:r>
      <w:r>
        <w:rPr>
          <w:rFonts w:hint="eastAsia" w:ascii="仿宋_GB2312" w:eastAsia="仿宋_GB2312"/>
          <w:sz w:val="32"/>
          <w:szCs w:val="32"/>
        </w:rPr>
        <w:t>%，</w:t>
      </w:r>
      <w:r>
        <w:rPr>
          <w:rFonts w:hint="eastAsia" w:ascii="仿宋_GB2312" w:hAnsi="仿宋_GB2312" w:eastAsia="仿宋_GB2312" w:cs="仿宋_GB2312"/>
          <w:sz w:val="32"/>
          <w:szCs w:val="32"/>
        </w:rPr>
        <w:t>主要原因是受疫情影响集中医学观察隔离点经费等</w:t>
      </w:r>
      <w:r>
        <w:rPr>
          <w:rFonts w:hint="eastAsia" w:ascii="仿宋_GB2312" w:hAnsi="仿宋_GB2312" w:eastAsia="仿宋_GB2312" w:cs="仿宋_GB2312"/>
          <w:sz w:val="32"/>
          <w:szCs w:val="32"/>
          <w:lang w:val="en-US" w:eastAsia="zh-CN"/>
        </w:rPr>
        <w:t>支出较大</w:t>
      </w:r>
      <w:r>
        <w:rPr>
          <w:rFonts w:hint="eastAsia" w:ascii="仿宋_GB2312" w:hAnsi="仿宋_GB2312" w:eastAsia="仿宋_GB2312" w:cs="仿宋_GB2312"/>
          <w:sz w:val="32"/>
          <w:szCs w:val="32"/>
        </w:rPr>
        <w:t>。</w:t>
      </w:r>
      <w:r>
        <w:rPr>
          <w:rFonts w:hint="eastAsia" w:ascii="仿宋_GB2312" w:eastAsia="仿宋_GB2312"/>
          <w:sz w:val="32"/>
          <w:szCs w:val="32"/>
        </w:rPr>
        <w:t>其中：基本支出3</w:t>
      </w:r>
      <w:r>
        <w:rPr>
          <w:rFonts w:hint="eastAsia" w:ascii="仿宋_GB2312" w:eastAsia="仿宋_GB2312"/>
          <w:sz w:val="32"/>
          <w:szCs w:val="32"/>
          <w:lang w:val="en-US" w:eastAsia="zh-CN"/>
        </w:rPr>
        <w:t>,</w:t>
      </w:r>
      <w:r>
        <w:rPr>
          <w:rFonts w:hint="eastAsia" w:ascii="仿宋_GB2312" w:eastAsia="仿宋_GB2312"/>
          <w:sz w:val="32"/>
          <w:szCs w:val="32"/>
        </w:rPr>
        <w:t>359.671713万元，占</w:t>
      </w:r>
      <w:r>
        <w:rPr>
          <w:rFonts w:hint="eastAsia" w:ascii="仿宋_GB2312" w:eastAsia="仿宋_GB2312"/>
          <w:sz w:val="32"/>
          <w:szCs w:val="32"/>
          <w:lang w:val="en-US" w:eastAsia="zh-CN"/>
        </w:rPr>
        <w:t>19.57</w:t>
      </w:r>
      <w:r>
        <w:rPr>
          <w:rFonts w:hint="eastAsia" w:ascii="仿宋_GB2312" w:eastAsia="仿宋_GB2312"/>
          <w:sz w:val="32"/>
          <w:szCs w:val="32"/>
        </w:rPr>
        <w:t>%；项目支出48</w:t>
      </w:r>
      <w:r>
        <w:rPr>
          <w:rFonts w:hint="eastAsia" w:ascii="仿宋_GB2312" w:eastAsia="仿宋_GB2312"/>
          <w:sz w:val="32"/>
          <w:szCs w:val="32"/>
          <w:lang w:val="en-US" w:eastAsia="zh-CN"/>
        </w:rPr>
        <w:t>,</w:t>
      </w:r>
      <w:r>
        <w:rPr>
          <w:rFonts w:hint="eastAsia" w:ascii="仿宋_GB2312" w:eastAsia="仿宋_GB2312"/>
          <w:sz w:val="32"/>
          <w:szCs w:val="32"/>
        </w:rPr>
        <w:t>205.90319</w:t>
      </w:r>
      <w:r>
        <w:rPr>
          <w:rFonts w:hint="eastAsia" w:ascii="仿宋_GB2312" w:eastAsia="仿宋_GB2312"/>
          <w:sz w:val="32"/>
          <w:szCs w:val="32"/>
          <w:lang w:val="en-US" w:eastAsia="zh-CN"/>
        </w:rPr>
        <w:t>2</w:t>
      </w:r>
      <w:r>
        <w:rPr>
          <w:rFonts w:hint="eastAsia" w:ascii="仿宋_GB2312" w:eastAsia="仿宋_GB2312"/>
          <w:sz w:val="32"/>
          <w:szCs w:val="32"/>
        </w:rPr>
        <w:t>万元，占</w:t>
      </w:r>
      <w:r>
        <w:rPr>
          <w:rFonts w:hint="eastAsia" w:ascii="仿宋_GB2312" w:eastAsia="仿宋_GB2312"/>
          <w:sz w:val="32"/>
          <w:szCs w:val="32"/>
          <w:lang w:val="en-US" w:eastAsia="zh-CN"/>
        </w:rPr>
        <w:t>80.43</w:t>
      </w:r>
      <w:r>
        <w:rPr>
          <w:rFonts w:hint="eastAsia" w:ascii="仿宋_GB2312" w:eastAsia="仿宋_GB2312"/>
          <w:sz w:val="32"/>
          <w:szCs w:val="32"/>
        </w:rPr>
        <w:t>%。</w:t>
      </w:r>
    </w:p>
    <w:p>
      <w:pPr>
        <w:ind w:firstLine="640" w:firstLineChars="200"/>
        <w:rPr>
          <w:rFonts w:hint="eastAsia" w:ascii="仿宋_GB2312" w:eastAsia="仿宋_GB2312"/>
          <w:sz w:val="32"/>
          <w:szCs w:val="32"/>
        </w:rPr>
      </w:pPr>
      <w:r>
        <w:rPr>
          <w:rFonts w:hint="eastAsia" w:ascii="仿宋_GB2312" w:eastAsia="仿宋_GB2312"/>
          <w:sz w:val="32"/>
          <w:szCs w:val="32"/>
        </w:rPr>
        <w:t>2022年年末结转和结余33.327994万元。</w:t>
      </w:r>
    </w:p>
    <w:p>
      <w:pPr>
        <w:ind w:firstLine="643" w:firstLineChars="200"/>
        <w:rPr>
          <w:rFonts w:hint="eastAsia" w:ascii="仿宋_GB2312" w:eastAsia="仿宋_GB2312"/>
          <w:b/>
          <w:sz w:val="32"/>
          <w:szCs w:val="32"/>
        </w:rPr>
      </w:pPr>
      <w:r>
        <w:rPr>
          <w:rFonts w:hint="eastAsia" w:ascii="仿宋_GB2312" w:eastAsia="仿宋_GB2312"/>
          <w:b/>
          <w:bCs w:val="0"/>
          <w:color w:val="auto"/>
          <w:sz w:val="32"/>
          <w:szCs w:val="32"/>
        </w:rPr>
        <w:t>三、2022年一般</w:t>
      </w:r>
      <w:r>
        <w:rPr>
          <w:rFonts w:hint="eastAsia" w:ascii="仿宋_GB2312" w:eastAsia="仿宋_GB2312"/>
          <w:b/>
          <w:sz w:val="32"/>
          <w:szCs w:val="32"/>
        </w:rPr>
        <w:t>公共预算财政拨款支出决算情况说明</w:t>
      </w:r>
    </w:p>
    <w:p>
      <w:pPr>
        <w:ind w:firstLine="640" w:firstLineChars="200"/>
        <w:rPr>
          <w:rFonts w:hint="eastAsia" w:ascii="仿宋_GB2312" w:eastAsia="仿宋_GB2312"/>
          <w:sz w:val="32"/>
          <w:szCs w:val="32"/>
        </w:rPr>
      </w:pPr>
      <w:r>
        <w:rPr>
          <w:rFonts w:hint="eastAsia" w:ascii="仿宋_GB2312" w:eastAsia="仿宋_GB2312"/>
          <w:sz w:val="32"/>
          <w:szCs w:val="32"/>
        </w:rPr>
        <w:t>（一）一般公共预算财政拨款支出决算总体情况</w:t>
      </w:r>
    </w:p>
    <w:p>
      <w:pPr>
        <w:ind w:firstLine="640" w:firstLineChars="200"/>
        <w:rPr>
          <w:rFonts w:hint="eastAsia" w:ascii="仿宋_GB2312" w:eastAsia="仿宋_GB2312"/>
          <w:sz w:val="32"/>
          <w:szCs w:val="32"/>
        </w:rPr>
      </w:pPr>
      <w:r>
        <w:rPr>
          <w:rFonts w:hint="eastAsia" w:ascii="仿宋_GB2312" w:eastAsia="仿宋_GB2312"/>
          <w:sz w:val="32"/>
          <w:szCs w:val="32"/>
        </w:rPr>
        <w:t>2022年财政拨款支出51</w:t>
      </w:r>
      <w:r>
        <w:rPr>
          <w:rFonts w:hint="eastAsia" w:ascii="仿宋_GB2312" w:eastAsia="仿宋_GB2312"/>
          <w:sz w:val="32"/>
          <w:szCs w:val="32"/>
          <w:lang w:val="en-US" w:eastAsia="zh-CN"/>
        </w:rPr>
        <w:t>,</w:t>
      </w:r>
      <w:r>
        <w:rPr>
          <w:rFonts w:hint="eastAsia" w:ascii="仿宋_GB2312" w:eastAsia="仿宋_GB2312"/>
          <w:sz w:val="32"/>
          <w:szCs w:val="32"/>
        </w:rPr>
        <w:t>564.116135万元</w:t>
      </w:r>
      <w:r>
        <w:rPr>
          <w:rFonts w:hint="eastAsia" w:ascii="仿宋_GB2312" w:eastAsia="仿宋_GB2312"/>
          <w:color w:val="002060"/>
          <w:sz w:val="32"/>
          <w:szCs w:val="32"/>
        </w:rPr>
        <w:t>，主</w:t>
      </w:r>
      <w:r>
        <w:rPr>
          <w:rFonts w:hint="eastAsia" w:ascii="仿宋_GB2312" w:eastAsia="仿宋_GB2312"/>
          <w:sz w:val="32"/>
          <w:szCs w:val="32"/>
        </w:rPr>
        <w:t>要用于以下方面：文化体育与传媒支出50</w:t>
      </w:r>
      <w:r>
        <w:rPr>
          <w:rFonts w:hint="eastAsia" w:ascii="仿宋_GB2312" w:eastAsia="仿宋_GB2312"/>
          <w:sz w:val="32"/>
          <w:szCs w:val="32"/>
          <w:lang w:val="en-US" w:eastAsia="zh-CN"/>
        </w:rPr>
        <w:t>,</w:t>
      </w:r>
      <w:r>
        <w:rPr>
          <w:rFonts w:hint="eastAsia" w:ascii="仿宋_GB2312" w:eastAsia="仿宋_GB2312"/>
          <w:sz w:val="32"/>
          <w:szCs w:val="32"/>
        </w:rPr>
        <w:t>448.019035万元，占本年财政拨款支出</w:t>
      </w:r>
      <w:r>
        <w:rPr>
          <w:rFonts w:hint="eastAsia" w:ascii="仿宋_GB2312" w:eastAsia="仿宋_GB2312"/>
          <w:sz w:val="32"/>
          <w:szCs w:val="32"/>
          <w:lang w:val="en-US" w:eastAsia="zh-CN"/>
        </w:rPr>
        <w:t>97.84</w:t>
      </w:r>
      <w:r>
        <w:rPr>
          <w:rFonts w:hint="eastAsia" w:ascii="仿宋_GB2312" w:eastAsia="仿宋_GB2312"/>
          <w:sz w:val="32"/>
          <w:szCs w:val="32"/>
        </w:rPr>
        <w:t>%；社会保障和就业支出416.787207万元，占本年财政拨款支出</w:t>
      </w:r>
      <w:r>
        <w:rPr>
          <w:rFonts w:hint="eastAsia" w:ascii="仿宋_GB2312" w:eastAsia="仿宋_GB2312"/>
          <w:sz w:val="32"/>
          <w:szCs w:val="32"/>
          <w:lang w:val="en-US" w:eastAsia="zh-CN"/>
        </w:rPr>
        <w:t>0.81</w:t>
      </w:r>
      <w:r>
        <w:rPr>
          <w:rFonts w:hint="eastAsia" w:ascii="仿宋_GB2312" w:eastAsia="仿宋_GB2312"/>
          <w:sz w:val="32"/>
          <w:szCs w:val="32"/>
        </w:rPr>
        <w:t>%；卫生健康支出260.006193万元，占本年财政拨款支出</w:t>
      </w:r>
      <w:r>
        <w:rPr>
          <w:rFonts w:hint="eastAsia" w:ascii="仿宋_GB2312" w:eastAsia="仿宋_GB2312"/>
          <w:sz w:val="32"/>
          <w:szCs w:val="32"/>
          <w:lang w:val="en-US" w:eastAsia="zh-CN"/>
        </w:rPr>
        <w:t>0.5</w:t>
      </w:r>
      <w:r>
        <w:rPr>
          <w:rFonts w:hint="eastAsia" w:ascii="仿宋_GB2312" w:eastAsia="仿宋_GB2312"/>
          <w:sz w:val="32"/>
          <w:szCs w:val="32"/>
        </w:rPr>
        <w:t>%；住房保障支出439.0837万元，占本年财政拨款支出</w:t>
      </w:r>
      <w:r>
        <w:rPr>
          <w:rFonts w:hint="eastAsia" w:ascii="仿宋_GB2312" w:eastAsia="仿宋_GB2312"/>
          <w:sz w:val="32"/>
          <w:szCs w:val="32"/>
          <w:lang w:val="en-US" w:eastAsia="zh-CN"/>
        </w:rPr>
        <w:t>0.85</w:t>
      </w:r>
      <w:r>
        <w:rPr>
          <w:rFonts w:hint="eastAsia" w:ascii="仿宋_GB2312" w:eastAsia="仿宋_GB2312"/>
          <w:sz w:val="32"/>
          <w:szCs w:val="32"/>
        </w:rPr>
        <w:t>%，教育支出0.22万元，占本年财政拨款支出0.</w:t>
      </w:r>
      <w:r>
        <w:rPr>
          <w:rFonts w:hint="eastAsia" w:ascii="仿宋_GB2312" w:eastAsia="仿宋_GB2312"/>
          <w:sz w:val="32"/>
          <w:szCs w:val="32"/>
          <w:lang w:val="en-US" w:eastAsia="zh-CN"/>
        </w:rPr>
        <w:t>00</w:t>
      </w:r>
      <w:r>
        <w:rPr>
          <w:rFonts w:hint="eastAsia" w:ascii="仿宋_GB2312" w:eastAsia="仿宋_GB2312"/>
          <w:sz w:val="32"/>
          <w:szCs w:val="32"/>
        </w:rPr>
        <w:t>%。</w:t>
      </w:r>
    </w:p>
    <w:p>
      <w:pPr>
        <w:ind w:firstLine="640" w:firstLineChars="200"/>
        <w:rPr>
          <w:rFonts w:hint="eastAsia" w:ascii="仿宋_GB2312" w:eastAsia="仿宋_GB2312"/>
          <w:sz w:val="32"/>
          <w:szCs w:val="32"/>
        </w:rPr>
      </w:pPr>
      <w:r>
        <w:rPr>
          <w:rFonts w:hint="eastAsia" w:ascii="仿宋_GB2312" w:eastAsia="仿宋_GB2312"/>
          <w:color w:val="auto"/>
          <w:sz w:val="32"/>
          <w:szCs w:val="32"/>
        </w:rPr>
        <w:t>（二）一般公</w:t>
      </w:r>
      <w:r>
        <w:rPr>
          <w:rFonts w:hint="eastAsia" w:ascii="仿宋_GB2312" w:eastAsia="仿宋_GB2312"/>
          <w:sz w:val="32"/>
          <w:szCs w:val="32"/>
        </w:rPr>
        <w:t>共预算财政拨款支出决算具体情况</w:t>
      </w:r>
    </w:p>
    <w:p>
      <w:pPr>
        <w:ind w:firstLine="640" w:firstLineChars="200"/>
        <w:rPr>
          <w:rFonts w:hint="eastAsia" w:ascii="仿宋_GB2312" w:eastAsia="仿宋_GB2312"/>
          <w:sz w:val="32"/>
          <w:szCs w:val="32"/>
        </w:rPr>
      </w:pPr>
      <w:r>
        <w:rPr>
          <w:rFonts w:hint="eastAsia" w:ascii="仿宋_GB2312" w:eastAsia="仿宋_GB2312"/>
          <w:sz w:val="32"/>
          <w:szCs w:val="32"/>
        </w:rPr>
        <w:t>1.2022年支出决算按支出性质划分：</w:t>
      </w:r>
    </w:p>
    <w:p>
      <w:pPr>
        <w:ind w:firstLine="640" w:firstLineChars="200"/>
        <w:rPr>
          <w:rFonts w:hint="default" w:ascii="仿宋_GB2312" w:eastAsia="仿宋_GB2312"/>
          <w:sz w:val="32"/>
          <w:szCs w:val="32"/>
          <w:lang w:val="en-US"/>
        </w:rPr>
      </w:pPr>
      <w:r>
        <w:rPr>
          <w:rFonts w:hint="eastAsia" w:ascii="仿宋_GB2312" w:eastAsia="仿宋_GB2312"/>
          <w:sz w:val="32"/>
          <w:szCs w:val="32"/>
        </w:rPr>
        <w:t>2022年一般公共预算财政拨款支出51,564.116135万元，比2022年年初预算增加了</w:t>
      </w:r>
      <w:r>
        <w:rPr>
          <w:rFonts w:hint="eastAsia" w:ascii="仿宋_GB2312" w:eastAsia="仿宋_GB2312"/>
          <w:sz w:val="32"/>
          <w:szCs w:val="32"/>
          <w:lang w:val="en-US" w:eastAsia="zh-CN"/>
        </w:rPr>
        <w:t>521.40</w:t>
      </w:r>
      <w:r>
        <w:rPr>
          <w:rFonts w:hint="eastAsia" w:ascii="仿宋_GB2312" w:eastAsia="仿宋_GB2312"/>
          <w:sz w:val="32"/>
          <w:szCs w:val="32"/>
        </w:rPr>
        <w:t>%。其中：（1）基本支出决算3</w:t>
      </w:r>
      <w:r>
        <w:rPr>
          <w:rFonts w:hint="eastAsia" w:ascii="仿宋_GB2312" w:eastAsia="仿宋_GB2312"/>
          <w:sz w:val="32"/>
          <w:szCs w:val="32"/>
          <w:lang w:val="en-US" w:eastAsia="zh-CN"/>
        </w:rPr>
        <w:t>,</w:t>
      </w:r>
      <w:r>
        <w:rPr>
          <w:rFonts w:hint="eastAsia" w:ascii="仿宋_GB2312" w:eastAsia="仿宋_GB2312"/>
          <w:sz w:val="32"/>
          <w:szCs w:val="32"/>
        </w:rPr>
        <w:t>358.671713万元</w:t>
      </w:r>
      <w:r>
        <w:rPr>
          <w:rFonts w:hint="eastAsia" w:ascii="仿宋_GB2312" w:eastAsia="仿宋_GB2312"/>
          <w:sz w:val="32"/>
          <w:szCs w:val="32"/>
          <w:lang w:eastAsia="zh-CN"/>
        </w:rPr>
        <w:t>，</w:t>
      </w:r>
      <w:r>
        <w:rPr>
          <w:rFonts w:hint="eastAsia" w:ascii="仿宋_GB2312" w:eastAsia="仿宋_GB2312"/>
          <w:sz w:val="32"/>
          <w:szCs w:val="32"/>
        </w:rPr>
        <w:t>比2022年年初预算增高了</w:t>
      </w:r>
      <w:r>
        <w:rPr>
          <w:rFonts w:hint="eastAsia" w:ascii="仿宋_GB2312" w:eastAsia="仿宋_GB2312"/>
          <w:color w:val="auto"/>
          <w:sz w:val="32"/>
          <w:szCs w:val="32"/>
          <w:lang w:val="en-US" w:eastAsia="zh-CN"/>
        </w:rPr>
        <w:t>11.11</w:t>
      </w:r>
      <w:r>
        <w:rPr>
          <w:rFonts w:hint="eastAsia" w:ascii="仿宋_GB2312" w:eastAsia="仿宋_GB2312"/>
          <w:color w:val="auto"/>
          <w:sz w:val="32"/>
          <w:szCs w:val="32"/>
        </w:rPr>
        <w:t>%。</w:t>
      </w:r>
      <w:r>
        <w:rPr>
          <w:rFonts w:hint="eastAsia" w:ascii="仿宋_GB2312" w:eastAsia="仿宋_GB2312"/>
          <w:sz w:val="32"/>
          <w:szCs w:val="32"/>
        </w:rPr>
        <w:t>主要原因</w:t>
      </w:r>
      <w:r>
        <w:rPr>
          <w:rFonts w:hint="eastAsia" w:ascii="仿宋_GB2312" w:hAnsi="仿宋_GB2312" w:eastAsia="仿宋_GB2312" w:cs="仿宋_GB2312"/>
          <w:sz w:val="32"/>
          <w:szCs w:val="32"/>
        </w:rPr>
        <w:t>工资政策调整,人员晋级晋档支出增加，基本支出相应增加</w:t>
      </w:r>
      <w:r>
        <w:rPr>
          <w:rFonts w:hint="eastAsia" w:ascii="仿宋_GB2312" w:eastAsia="仿宋_GB2312"/>
          <w:sz w:val="32"/>
          <w:szCs w:val="32"/>
        </w:rPr>
        <w:t>。（2）项目支出决算48,205.444422万元，比2022年年初预算增加了</w:t>
      </w:r>
      <w:r>
        <w:rPr>
          <w:rFonts w:hint="eastAsia" w:ascii="仿宋_GB2312" w:eastAsia="仿宋_GB2312"/>
          <w:color w:val="auto"/>
          <w:sz w:val="32"/>
          <w:szCs w:val="32"/>
          <w:lang w:val="en-US" w:eastAsia="zh-CN"/>
        </w:rPr>
        <w:t>813.79</w:t>
      </w:r>
      <w:r>
        <w:rPr>
          <w:rFonts w:hint="eastAsia" w:ascii="仿宋_GB2312" w:eastAsia="仿宋_GB2312"/>
          <w:sz w:val="32"/>
          <w:szCs w:val="32"/>
        </w:rPr>
        <w:t>%。</w:t>
      </w:r>
      <w:r>
        <w:rPr>
          <w:rFonts w:hint="eastAsia" w:ascii="仿宋_GB2312" w:hAnsi="仿宋_GB2312" w:eastAsia="仿宋_GB2312" w:cs="仿宋_GB2312"/>
          <w:sz w:val="32"/>
          <w:szCs w:val="32"/>
        </w:rPr>
        <w:t>主要原因是受疫情影响</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集中医学观察隔离点经费等</w:t>
      </w:r>
      <w:r>
        <w:rPr>
          <w:rFonts w:hint="eastAsia" w:ascii="仿宋_GB2312" w:hAnsi="仿宋_GB2312" w:eastAsia="仿宋_GB2312" w:cs="仿宋_GB2312"/>
          <w:sz w:val="32"/>
          <w:szCs w:val="32"/>
          <w:lang w:val="en-US" w:eastAsia="zh-CN"/>
        </w:rPr>
        <w:t>支出较大。</w:t>
      </w:r>
    </w:p>
    <w:p>
      <w:pPr>
        <w:ind w:firstLine="800" w:firstLineChars="250"/>
        <w:rPr>
          <w:rFonts w:hint="eastAsia" w:ascii="仿宋_GB2312" w:hAnsi="仿宋_GB2312" w:eastAsia="仿宋_GB2312" w:cs="仿宋_GB2312"/>
          <w:color w:val="FF0000"/>
          <w:sz w:val="32"/>
          <w:szCs w:val="32"/>
        </w:rPr>
      </w:pPr>
      <w:r>
        <w:rPr>
          <w:rFonts w:hint="eastAsia" w:ascii="仿宋_GB2312" w:eastAsia="仿宋_GB2312"/>
          <w:sz w:val="32"/>
          <w:szCs w:val="32"/>
        </w:rPr>
        <w:t>2.</w:t>
      </w:r>
      <w:r>
        <w:rPr>
          <w:rFonts w:hint="eastAsia" w:ascii="仿宋_GB2312" w:hAnsi="仿宋_GB2312" w:eastAsia="仿宋_GB2312" w:cs="仿宋_GB2312"/>
          <w:sz w:val="32"/>
          <w:szCs w:val="32"/>
        </w:rPr>
        <w:t>支出主要项目是①开展惠民文化活动；②文物修缮与保护；③非物质文化遗产保护、传承；④文化产业发展；⑤</w:t>
      </w:r>
      <w:r>
        <w:rPr>
          <w:rFonts w:hint="eastAsia" w:ascii="仿宋_GB2312" w:eastAsia="仿宋_GB2312"/>
          <w:sz w:val="32"/>
          <w:szCs w:val="32"/>
        </w:rPr>
        <w:t>文化市场监督管理</w:t>
      </w:r>
      <w:r>
        <w:rPr>
          <w:rFonts w:hint="eastAsia" w:ascii="仿宋_GB2312" w:hAnsi="仿宋_GB2312" w:eastAsia="仿宋_GB2312" w:cs="仿宋_GB2312"/>
          <w:sz w:val="32"/>
          <w:szCs w:val="32"/>
        </w:rPr>
        <w:t>；⑥旅游工作经费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⑦疫情防控等。</w:t>
      </w:r>
    </w:p>
    <w:p>
      <w:pPr>
        <w:rPr>
          <w:rFonts w:hint="eastAsia" w:ascii="仿宋_GB2312" w:eastAsia="仿宋_GB2312"/>
          <w:b/>
          <w:sz w:val="32"/>
          <w:szCs w:val="32"/>
        </w:rPr>
      </w:pPr>
      <w:r>
        <w:rPr>
          <w:rFonts w:hint="eastAsia" w:ascii="仿宋_GB2312" w:eastAsia="仿宋_GB2312"/>
          <w:b/>
          <w:sz w:val="32"/>
          <w:szCs w:val="32"/>
        </w:rPr>
        <w:t>四、2022年一般公共预算财政拨款基本支出决算情况说明</w:t>
      </w:r>
    </w:p>
    <w:p>
      <w:pPr>
        <w:ind w:firstLine="640" w:firstLineChars="200"/>
        <w:rPr>
          <w:rFonts w:ascii="仿宋_GB2312" w:eastAsia="仿宋_GB2312"/>
          <w:sz w:val="32"/>
          <w:szCs w:val="32"/>
        </w:rPr>
      </w:pPr>
      <w:r>
        <w:rPr>
          <w:rFonts w:hint="eastAsia" w:ascii="仿宋_GB2312" w:eastAsia="仿宋_GB2312"/>
          <w:sz w:val="32"/>
          <w:szCs w:val="32"/>
        </w:rPr>
        <w:t>2022年一般公共预算财政拨款基本支出51</w:t>
      </w:r>
      <w:r>
        <w:rPr>
          <w:rFonts w:hint="eastAsia" w:ascii="仿宋_GB2312" w:eastAsia="仿宋_GB2312"/>
          <w:sz w:val="32"/>
          <w:szCs w:val="32"/>
          <w:lang w:val="en-US" w:eastAsia="zh-CN"/>
        </w:rPr>
        <w:t>,</w:t>
      </w:r>
      <w:r>
        <w:rPr>
          <w:rFonts w:hint="eastAsia" w:ascii="仿宋_GB2312" w:eastAsia="仿宋_GB2312"/>
          <w:sz w:val="32"/>
          <w:szCs w:val="32"/>
        </w:rPr>
        <w:t>564.116135万元，其中：1.工资福利支出2</w:t>
      </w:r>
      <w:r>
        <w:rPr>
          <w:rFonts w:hint="eastAsia" w:ascii="仿宋_GB2312" w:eastAsia="仿宋_GB2312"/>
          <w:sz w:val="32"/>
          <w:szCs w:val="32"/>
          <w:lang w:val="en-US" w:eastAsia="zh-CN"/>
        </w:rPr>
        <w:t>,</w:t>
      </w:r>
      <w:r>
        <w:rPr>
          <w:rFonts w:hint="eastAsia" w:ascii="仿宋_GB2312" w:eastAsia="仿宋_GB2312"/>
          <w:sz w:val="32"/>
          <w:szCs w:val="32"/>
        </w:rPr>
        <w:t>994.324571万元(包括：基本工资、津贴补贴、奖金、机关事业单位基本养老缴费、职业年金缴费、职工基本医疗保险缴费、其他社会保障缴费、住房公积金、其他工资福利支出等);2.商品和服务支出250.691592万元(包括：办公费、手续费、水费、电费、邮电费、差旅费、维修(护)费、专用材料费、劳务费、委托业务费、工会经费、福利费、其他交通费、税金及附加费用、其他商品和服务支出等);3.对个人和家庭补助支出107.88932万元(包括离休费、退休费、抚恤金、其他对个人和家庭补助支出等)；4.资本性支出5.76623万元(包括办公设备购置等)。</w:t>
      </w:r>
    </w:p>
    <w:p>
      <w:pPr>
        <w:ind w:firstLine="630" w:firstLineChars="196"/>
        <w:rPr>
          <w:rFonts w:hint="eastAsia" w:ascii="仿宋_GB2312" w:eastAsia="仿宋_GB2312"/>
          <w:b/>
          <w:sz w:val="32"/>
          <w:szCs w:val="32"/>
        </w:rPr>
      </w:pPr>
      <w:r>
        <w:rPr>
          <w:rFonts w:hint="eastAsia" w:ascii="仿宋_GB2312" w:eastAsia="仿宋_GB2312"/>
          <w:b/>
          <w:sz w:val="32"/>
          <w:szCs w:val="32"/>
        </w:rPr>
        <w:t>五、2022年政府性基金预算财政拨款支出决算情况说明</w:t>
      </w:r>
    </w:p>
    <w:p>
      <w:pPr>
        <w:ind w:firstLine="800" w:firstLineChars="250"/>
        <w:rPr>
          <w:rFonts w:hint="eastAsia" w:ascii="仿宋_GB2312" w:eastAsia="仿宋_GB2312"/>
          <w:sz w:val="32"/>
          <w:szCs w:val="32"/>
        </w:rPr>
      </w:pPr>
      <w:r>
        <w:rPr>
          <w:rFonts w:hint="eastAsia" w:ascii="仿宋_GB2312" w:eastAsia="仿宋_GB2312"/>
          <w:sz w:val="32"/>
          <w:szCs w:val="32"/>
        </w:rPr>
        <w:t>2022年没有政府性基金预算财政拨款收入，也没有政府性基金预算财政拨款支出。</w:t>
      </w:r>
    </w:p>
    <w:p>
      <w:pPr>
        <w:ind w:firstLine="643" w:firstLineChars="200"/>
        <w:rPr>
          <w:rFonts w:hint="eastAsia" w:ascii="仿宋_GB2312" w:eastAsia="仿宋_GB2312"/>
          <w:b/>
          <w:sz w:val="32"/>
          <w:szCs w:val="32"/>
        </w:rPr>
      </w:pPr>
      <w:r>
        <w:rPr>
          <w:rFonts w:hint="eastAsia" w:ascii="仿宋_GB2312" w:eastAsia="仿宋_GB2312"/>
          <w:b/>
          <w:sz w:val="32"/>
          <w:szCs w:val="32"/>
        </w:rPr>
        <w:t>六、2022年部门决算“三公”经费财政拨款支出情况说明</w:t>
      </w:r>
    </w:p>
    <w:p>
      <w:pPr>
        <w:ind w:firstLine="640" w:firstLineChars="200"/>
        <w:rPr>
          <w:rFonts w:hint="eastAsia" w:ascii="仿宋_GB2312" w:eastAsia="仿宋_GB2312"/>
          <w:sz w:val="32"/>
          <w:szCs w:val="32"/>
        </w:rPr>
      </w:pPr>
      <w:r>
        <w:rPr>
          <w:rFonts w:hint="eastAsia" w:ascii="仿宋_GB2312" w:eastAsia="仿宋_GB2312"/>
          <w:sz w:val="32"/>
          <w:szCs w:val="32"/>
        </w:rPr>
        <w:t>决算范围：北京市西城区文化和旅游局（本级）部门决算中因公出国（境）费、公务接待费、公务用车购置及运行维护费的支出。</w:t>
      </w:r>
    </w:p>
    <w:p>
      <w:pPr>
        <w:ind w:firstLine="640" w:firstLineChars="200"/>
        <w:rPr>
          <w:rFonts w:hint="eastAsia" w:ascii="仿宋_GB2312" w:eastAsia="仿宋_GB2312"/>
          <w:sz w:val="32"/>
          <w:szCs w:val="32"/>
        </w:rPr>
      </w:pPr>
      <w:r>
        <w:rPr>
          <w:rFonts w:hint="eastAsia" w:ascii="仿宋_GB2312" w:eastAsia="仿宋_GB2312"/>
          <w:sz w:val="32"/>
          <w:szCs w:val="32"/>
        </w:rPr>
        <w:t>2022年部门决算“三公”经费财政拨款支出</w:t>
      </w:r>
      <w:r>
        <w:rPr>
          <w:rFonts w:hint="eastAsia" w:ascii="仿宋_GB2312" w:eastAsia="仿宋_GB2312"/>
          <w:sz w:val="32"/>
          <w:szCs w:val="32"/>
          <w:lang w:val="en-US" w:eastAsia="zh-CN"/>
        </w:rPr>
        <w:t>0</w:t>
      </w:r>
      <w:r>
        <w:rPr>
          <w:rFonts w:hint="eastAsia" w:ascii="仿宋_GB2312" w:eastAsia="仿宋_GB2312"/>
          <w:sz w:val="32"/>
          <w:szCs w:val="32"/>
        </w:rPr>
        <w:t>万元，与202</w:t>
      </w:r>
      <w:r>
        <w:rPr>
          <w:rFonts w:hint="eastAsia" w:ascii="仿宋_GB2312" w:eastAsia="仿宋_GB2312"/>
          <w:sz w:val="32"/>
          <w:szCs w:val="32"/>
          <w:lang w:val="en-US" w:eastAsia="zh-CN"/>
        </w:rPr>
        <w:t>1</w:t>
      </w:r>
      <w:r>
        <w:rPr>
          <w:rFonts w:hint="eastAsia" w:ascii="仿宋_GB2312" w:eastAsia="仿宋_GB2312"/>
          <w:sz w:val="32"/>
          <w:szCs w:val="32"/>
        </w:rPr>
        <w:t>年相比</w:t>
      </w:r>
      <w:r>
        <w:rPr>
          <w:rFonts w:hint="eastAsia" w:ascii="仿宋_GB2312" w:eastAsia="仿宋_GB2312"/>
          <w:sz w:val="32"/>
          <w:szCs w:val="32"/>
          <w:lang w:val="en-US" w:eastAsia="zh-CN"/>
        </w:rPr>
        <w:t>减少100%</w:t>
      </w:r>
      <w:r>
        <w:rPr>
          <w:rFonts w:hint="eastAsia" w:ascii="仿宋_GB2312" w:eastAsia="仿宋_GB2312"/>
          <w:sz w:val="32"/>
          <w:szCs w:val="32"/>
        </w:rPr>
        <w:t>，与2022年年</w:t>
      </w:r>
      <w:r>
        <w:rPr>
          <w:rFonts w:hint="eastAsia" w:ascii="仿宋_GB2312" w:eastAsia="仿宋_GB2312"/>
          <w:color w:val="auto"/>
          <w:sz w:val="32"/>
          <w:szCs w:val="32"/>
        </w:rPr>
        <w:t>初预算相比</w:t>
      </w:r>
      <w:r>
        <w:rPr>
          <w:rFonts w:hint="eastAsia" w:ascii="仿宋_GB2312" w:eastAsia="仿宋_GB2312"/>
          <w:color w:val="auto"/>
          <w:sz w:val="32"/>
          <w:szCs w:val="32"/>
          <w:lang w:val="en-US" w:eastAsia="zh-CN"/>
        </w:rPr>
        <w:t>持平</w:t>
      </w:r>
      <w:r>
        <w:rPr>
          <w:rFonts w:hint="eastAsia" w:ascii="仿宋_GB2312" w:eastAsia="仿宋_GB2312"/>
          <w:sz w:val="32"/>
          <w:szCs w:val="32"/>
        </w:rPr>
        <w:t>。其中：</w:t>
      </w:r>
    </w:p>
    <w:p>
      <w:pPr>
        <w:ind w:firstLine="640" w:firstLineChars="200"/>
        <w:rPr>
          <w:rFonts w:hint="eastAsia" w:ascii="仿宋_GB2312" w:eastAsia="仿宋_GB2312"/>
          <w:sz w:val="32"/>
          <w:szCs w:val="32"/>
        </w:rPr>
      </w:pPr>
      <w:r>
        <w:rPr>
          <w:rFonts w:hint="eastAsia" w:ascii="仿宋_GB2312" w:eastAsia="仿宋_GB2312"/>
          <w:sz w:val="32"/>
          <w:szCs w:val="32"/>
        </w:rPr>
        <w:t>（一）因公出国（境）费</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2022年财政拨款因公出国（境）费支出0元,因公出国（境）费西城区年初预算不安排，预算执行过程中，根据实际发生情况追加预算。与202</w:t>
      </w:r>
      <w:r>
        <w:rPr>
          <w:rFonts w:hint="eastAsia" w:ascii="仿宋_GB2312" w:eastAsia="仿宋_GB2312"/>
          <w:sz w:val="32"/>
          <w:szCs w:val="32"/>
          <w:lang w:val="en-US" w:eastAsia="zh-CN"/>
        </w:rPr>
        <w:t>1</w:t>
      </w:r>
      <w:r>
        <w:rPr>
          <w:rFonts w:hint="eastAsia" w:ascii="仿宋_GB2312" w:eastAsia="仿宋_GB2312"/>
          <w:sz w:val="32"/>
          <w:szCs w:val="32"/>
        </w:rPr>
        <w:t>年相比持平，主要为疫情影响，无因公出国（境）支出。</w:t>
      </w:r>
    </w:p>
    <w:p>
      <w:pPr>
        <w:ind w:firstLine="640" w:firstLineChars="200"/>
        <w:rPr>
          <w:rFonts w:hint="eastAsia" w:ascii="仿宋_GB2312" w:eastAsia="仿宋_GB2312"/>
          <w:sz w:val="32"/>
          <w:szCs w:val="32"/>
        </w:rPr>
      </w:pPr>
      <w:r>
        <w:rPr>
          <w:rFonts w:hint="eastAsia" w:ascii="仿宋_GB2312" w:eastAsia="仿宋_GB2312"/>
          <w:sz w:val="32"/>
          <w:szCs w:val="32"/>
        </w:rPr>
        <w:t>（二）公务接待费</w:t>
      </w:r>
    </w:p>
    <w:p>
      <w:pPr>
        <w:ind w:firstLine="640" w:firstLineChars="200"/>
        <w:rPr>
          <w:rFonts w:hint="eastAsia" w:ascii="仿宋_GB2312" w:eastAsia="仿宋_GB2312"/>
          <w:sz w:val="32"/>
          <w:szCs w:val="32"/>
        </w:rPr>
      </w:pPr>
      <w:r>
        <w:rPr>
          <w:rFonts w:hint="eastAsia" w:ascii="仿宋_GB2312" w:eastAsia="仿宋_GB2312"/>
          <w:sz w:val="32"/>
          <w:szCs w:val="32"/>
        </w:rPr>
        <w:t>2022年财政拨款公务接待费支出</w:t>
      </w:r>
      <w:r>
        <w:rPr>
          <w:rFonts w:hint="eastAsia" w:ascii="仿宋_GB2312" w:eastAsia="仿宋_GB2312"/>
          <w:sz w:val="32"/>
          <w:szCs w:val="32"/>
          <w:lang w:val="en-US" w:eastAsia="zh-CN"/>
        </w:rPr>
        <w:t>0</w:t>
      </w:r>
      <w:r>
        <w:rPr>
          <w:rFonts w:hint="eastAsia" w:ascii="仿宋_GB2312" w:eastAsia="仿宋_GB2312"/>
          <w:sz w:val="32"/>
          <w:szCs w:val="32"/>
        </w:rPr>
        <w:t>万元。与202</w:t>
      </w:r>
      <w:r>
        <w:rPr>
          <w:rFonts w:hint="eastAsia" w:ascii="仿宋_GB2312" w:eastAsia="仿宋_GB2312"/>
          <w:sz w:val="32"/>
          <w:szCs w:val="32"/>
          <w:lang w:val="en-US" w:eastAsia="zh-CN"/>
        </w:rPr>
        <w:t>1</w:t>
      </w:r>
      <w:r>
        <w:rPr>
          <w:rFonts w:hint="eastAsia" w:ascii="仿宋_GB2312" w:eastAsia="仿宋_GB2312"/>
          <w:sz w:val="32"/>
          <w:szCs w:val="32"/>
        </w:rPr>
        <w:t>年相比</w:t>
      </w:r>
      <w:r>
        <w:rPr>
          <w:rFonts w:hint="eastAsia" w:ascii="仿宋_GB2312" w:eastAsia="仿宋_GB2312"/>
          <w:sz w:val="32"/>
          <w:szCs w:val="32"/>
          <w:lang w:val="en-US" w:eastAsia="zh-CN"/>
        </w:rPr>
        <w:t>减少100%</w:t>
      </w:r>
      <w:r>
        <w:rPr>
          <w:rFonts w:hint="eastAsia" w:ascii="仿宋_GB2312" w:eastAsia="仿宋_GB2312"/>
          <w:sz w:val="32"/>
          <w:szCs w:val="32"/>
        </w:rPr>
        <w:t>，主要</w:t>
      </w:r>
      <w:r>
        <w:rPr>
          <w:rFonts w:hint="eastAsia" w:ascii="仿宋_GB2312" w:eastAsia="仿宋_GB2312"/>
          <w:sz w:val="32"/>
          <w:szCs w:val="32"/>
          <w:lang w:val="en-US" w:eastAsia="zh-CN"/>
        </w:rPr>
        <w:t>原因受疫情影响</w:t>
      </w:r>
      <w:r>
        <w:rPr>
          <w:rFonts w:hint="eastAsia" w:ascii="仿宋_GB2312" w:eastAsia="仿宋_GB2312"/>
          <w:sz w:val="32"/>
          <w:szCs w:val="32"/>
        </w:rPr>
        <w:t>，</w:t>
      </w:r>
      <w:r>
        <w:rPr>
          <w:rFonts w:hint="eastAsia" w:ascii="仿宋_GB2312" w:eastAsia="仿宋_GB2312"/>
          <w:sz w:val="32"/>
          <w:szCs w:val="32"/>
          <w:lang w:val="en-US" w:eastAsia="zh-CN"/>
        </w:rPr>
        <w:t>今年无公务招待</w:t>
      </w:r>
      <w:r>
        <w:rPr>
          <w:rFonts w:hint="eastAsia" w:ascii="仿宋_GB2312" w:eastAsia="仿宋_GB2312"/>
          <w:sz w:val="32"/>
          <w:szCs w:val="32"/>
        </w:rPr>
        <w:t>。</w:t>
      </w:r>
    </w:p>
    <w:p>
      <w:pPr>
        <w:ind w:firstLine="640" w:firstLineChars="200"/>
        <w:rPr>
          <w:rFonts w:hint="eastAsia" w:ascii="仿宋_GB2312" w:eastAsia="仿宋_GB2312"/>
          <w:sz w:val="32"/>
          <w:szCs w:val="32"/>
        </w:rPr>
      </w:pPr>
      <w:r>
        <w:rPr>
          <w:rFonts w:hint="eastAsia" w:ascii="仿宋_GB2312" w:eastAsia="仿宋_GB2312"/>
          <w:sz w:val="32"/>
          <w:szCs w:val="32"/>
        </w:rPr>
        <w:t>（三）公务用车购置及运行维护费</w:t>
      </w:r>
    </w:p>
    <w:p>
      <w:pPr>
        <w:ind w:firstLine="640" w:firstLineChars="200"/>
        <w:rPr>
          <w:rFonts w:hint="eastAsia" w:ascii="仿宋_GB2312" w:eastAsia="仿宋_GB2312"/>
          <w:sz w:val="32"/>
          <w:szCs w:val="32"/>
        </w:rPr>
      </w:pPr>
      <w:r>
        <w:rPr>
          <w:rFonts w:hint="eastAsia" w:ascii="仿宋_GB2312" w:eastAsia="仿宋_GB2312"/>
          <w:sz w:val="32"/>
          <w:szCs w:val="32"/>
        </w:rPr>
        <w:t>2022年财政拨款公务用车购置及运行维护费支出0万元，主要为公务用车改革，已无车辆。</w:t>
      </w:r>
    </w:p>
    <w:p>
      <w:pPr>
        <w:ind w:firstLine="803" w:firstLineChars="250"/>
        <w:rPr>
          <w:rFonts w:hint="eastAsia" w:ascii="仿宋_GB2312" w:eastAsia="仿宋_GB2312"/>
          <w:b/>
          <w:sz w:val="32"/>
          <w:szCs w:val="32"/>
        </w:rPr>
      </w:pPr>
      <w:r>
        <w:rPr>
          <w:rFonts w:hint="eastAsia" w:ascii="仿宋_GB2312" w:eastAsia="仿宋_GB2312"/>
          <w:b/>
          <w:sz w:val="32"/>
          <w:szCs w:val="32"/>
        </w:rPr>
        <w:t>七、2022年其他重要事项的情况说明</w:t>
      </w:r>
    </w:p>
    <w:p>
      <w:pPr>
        <w:ind w:firstLine="480" w:firstLineChars="150"/>
        <w:rPr>
          <w:rFonts w:hint="eastAsia" w:ascii="仿宋_GB2312" w:eastAsia="仿宋_GB2312"/>
          <w:sz w:val="32"/>
          <w:szCs w:val="32"/>
        </w:rPr>
      </w:pPr>
      <w:r>
        <w:rPr>
          <w:rFonts w:hint="eastAsia" w:ascii="仿宋_GB2312" w:eastAsia="仿宋_GB2312"/>
          <w:sz w:val="32"/>
          <w:szCs w:val="32"/>
        </w:rPr>
        <w:t>（一）机关运行经费支出情况</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2022年本部门履行一般行政事业管理职能、维持机关运行，用于一般公共预算安排的行政运行经费，合计为256.457822万元，与202</w:t>
      </w:r>
      <w:r>
        <w:rPr>
          <w:rFonts w:hint="eastAsia" w:ascii="仿宋_GB2312" w:eastAsia="仿宋_GB2312"/>
          <w:sz w:val="32"/>
          <w:szCs w:val="32"/>
          <w:lang w:val="en-US" w:eastAsia="zh-CN"/>
        </w:rPr>
        <w:t>1</w:t>
      </w:r>
      <w:r>
        <w:rPr>
          <w:rFonts w:hint="eastAsia" w:ascii="仿宋_GB2312" w:eastAsia="仿宋_GB2312"/>
          <w:sz w:val="32"/>
          <w:szCs w:val="32"/>
        </w:rPr>
        <w:t>年相比增加</w:t>
      </w:r>
      <w:r>
        <w:rPr>
          <w:rFonts w:hint="eastAsia" w:ascii="仿宋_GB2312" w:eastAsia="仿宋_GB2312"/>
          <w:color w:val="auto"/>
          <w:sz w:val="32"/>
          <w:szCs w:val="32"/>
        </w:rPr>
        <w:t>了</w:t>
      </w:r>
      <w:r>
        <w:rPr>
          <w:rFonts w:hint="eastAsia" w:ascii="仿宋_GB2312" w:eastAsia="仿宋_GB2312"/>
          <w:color w:val="auto"/>
          <w:sz w:val="32"/>
          <w:szCs w:val="32"/>
          <w:lang w:val="en-US" w:eastAsia="zh-CN"/>
        </w:rPr>
        <w:t>40.04</w:t>
      </w:r>
      <w:r>
        <w:rPr>
          <w:rFonts w:hint="eastAsia" w:ascii="仿宋_GB2312" w:eastAsia="仿宋_GB2312"/>
          <w:color w:val="auto"/>
          <w:sz w:val="32"/>
          <w:szCs w:val="32"/>
        </w:rPr>
        <w:t>%。</w:t>
      </w:r>
      <w:r>
        <w:rPr>
          <w:rFonts w:hint="eastAsia" w:ascii="仿宋_GB2312" w:eastAsia="仿宋_GB2312"/>
          <w:sz w:val="32"/>
          <w:szCs w:val="32"/>
        </w:rPr>
        <w:t>主要原因为2022年因疫情影响，加班值班</w:t>
      </w:r>
      <w:r>
        <w:rPr>
          <w:rFonts w:hint="eastAsia" w:ascii="仿宋_GB2312" w:eastAsia="仿宋_GB2312"/>
          <w:sz w:val="32"/>
          <w:szCs w:val="32"/>
          <w:lang w:val="en-US" w:eastAsia="zh-CN"/>
        </w:rPr>
        <w:t>和夜间值守</w:t>
      </w:r>
      <w:r>
        <w:rPr>
          <w:rFonts w:hint="eastAsia" w:ascii="仿宋_GB2312" w:eastAsia="仿宋_GB2312"/>
          <w:sz w:val="32"/>
          <w:szCs w:val="32"/>
        </w:rPr>
        <w:t>较多，故2022年机关运行经费增加。</w:t>
      </w:r>
    </w:p>
    <w:p>
      <w:pPr>
        <w:spacing w:line="360" w:lineRule="auto"/>
        <w:ind w:firstLine="480" w:firstLineChars="150"/>
        <w:rPr>
          <w:rFonts w:hint="eastAsia" w:ascii="仿宋_GB2312" w:eastAsia="仿宋_GB2312"/>
          <w:sz w:val="32"/>
          <w:szCs w:val="32"/>
        </w:rPr>
      </w:pPr>
      <w:r>
        <w:rPr>
          <w:rFonts w:hint="eastAsia" w:ascii="仿宋_GB2312" w:eastAsia="仿宋_GB2312"/>
          <w:sz w:val="32"/>
          <w:szCs w:val="32"/>
        </w:rPr>
        <w:t>（二）2022年涉及政府采购项目决算资金为202.9382万元。其中：政府采购货物支出147.3782万元，政府采购服务支出55.56</w:t>
      </w:r>
      <w:r>
        <w:rPr>
          <w:rFonts w:hint="eastAsia" w:ascii="仿宋_GB2312" w:eastAsia="仿宋_GB2312"/>
          <w:sz w:val="32"/>
          <w:szCs w:val="32"/>
          <w:lang w:val="en-US" w:eastAsia="zh-CN"/>
        </w:rPr>
        <w:t>00</w:t>
      </w:r>
      <w:r>
        <w:rPr>
          <w:rFonts w:hint="eastAsia" w:ascii="仿宋_GB2312" w:eastAsia="仿宋_GB2312"/>
          <w:sz w:val="32"/>
          <w:szCs w:val="32"/>
        </w:rPr>
        <w:t>万元。</w:t>
      </w:r>
    </w:p>
    <w:p>
      <w:pPr>
        <w:ind w:firstLine="480" w:firstLineChars="150"/>
        <w:rPr>
          <w:rFonts w:hint="eastAsia" w:ascii="仿宋_GB2312" w:eastAsia="仿宋_GB2312"/>
          <w:sz w:val="32"/>
          <w:szCs w:val="32"/>
        </w:rPr>
      </w:pPr>
      <w:r>
        <w:rPr>
          <w:rFonts w:hint="eastAsia" w:ascii="仿宋_GB2312" w:eastAsia="仿宋_GB2312"/>
          <w:sz w:val="32"/>
          <w:szCs w:val="32"/>
        </w:rPr>
        <w:t>（三）</w:t>
      </w:r>
      <w:r>
        <w:rPr>
          <w:rFonts w:hint="eastAsia" w:ascii="仿宋_GB2312" w:eastAsia="仿宋_GB2312"/>
          <w:color w:val="auto"/>
          <w:sz w:val="32"/>
          <w:szCs w:val="32"/>
        </w:rPr>
        <w:t>2022年涉及政府购买服务项目</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个</w:t>
      </w:r>
      <w:r>
        <w:rPr>
          <w:rFonts w:hint="eastAsia" w:ascii="仿宋_GB2312" w:eastAsia="仿宋_GB2312"/>
          <w:sz w:val="32"/>
          <w:szCs w:val="32"/>
        </w:rPr>
        <w:t>，法律服务项目决算</w:t>
      </w:r>
      <w:r>
        <w:rPr>
          <w:rFonts w:hint="eastAsia" w:ascii="仿宋_GB2312" w:eastAsia="仿宋_GB2312"/>
          <w:sz w:val="32"/>
          <w:szCs w:val="32"/>
          <w:lang w:val="en-US" w:eastAsia="zh-CN"/>
        </w:rPr>
        <w:t>支出12</w:t>
      </w:r>
      <w:r>
        <w:rPr>
          <w:rFonts w:hint="eastAsia" w:ascii="仿宋_GB2312" w:eastAsia="仿宋_GB2312"/>
          <w:sz w:val="32"/>
          <w:szCs w:val="32"/>
        </w:rPr>
        <w:t>.00万元。</w:t>
      </w:r>
    </w:p>
    <w:p>
      <w:pPr>
        <w:spacing w:line="360" w:lineRule="auto"/>
        <w:ind w:firstLine="480" w:firstLineChars="150"/>
        <w:rPr>
          <w:rFonts w:hint="eastAsia" w:ascii="仿宋_GB2312" w:eastAsia="仿宋_GB2312"/>
          <w:color w:val="auto"/>
          <w:sz w:val="32"/>
          <w:szCs w:val="32"/>
        </w:rPr>
      </w:pPr>
      <w:r>
        <w:rPr>
          <w:rFonts w:hint="eastAsia" w:ascii="仿宋_GB2312" w:eastAsia="仿宋_GB2312"/>
          <w:color w:val="auto"/>
          <w:sz w:val="32"/>
          <w:szCs w:val="32"/>
        </w:rPr>
        <w:t>（四）国有资产占用情况</w:t>
      </w:r>
      <w:bookmarkStart w:id="0" w:name="_GoBack"/>
      <w:bookmarkEnd w:id="0"/>
    </w:p>
    <w:p>
      <w:pPr>
        <w:spacing w:line="360" w:lineRule="auto"/>
        <w:ind w:firstLine="480" w:firstLineChars="150"/>
        <w:rPr>
          <w:rFonts w:hint="eastAsia" w:ascii="仿宋_GB2312" w:eastAsia="仿宋_GB2312"/>
          <w:sz w:val="32"/>
          <w:szCs w:val="32"/>
        </w:rPr>
      </w:pPr>
      <w:r>
        <w:rPr>
          <w:rFonts w:hint="eastAsia" w:ascii="仿宋_GB2312" w:eastAsia="仿宋_GB2312"/>
          <w:sz w:val="32"/>
          <w:szCs w:val="32"/>
        </w:rPr>
        <w:t>截止到2022年12月31日，我单位占用固定资产价值总额2</w:t>
      </w:r>
      <w:r>
        <w:rPr>
          <w:rFonts w:hint="eastAsia" w:ascii="仿宋_GB2312" w:eastAsia="仿宋_GB2312"/>
          <w:sz w:val="32"/>
          <w:szCs w:val="32"/>
          <w:lang w:val="en-US" w:eastAsia="zh-CN"/>
        </w:rPr>
        <w:t>,</w:t>
      </w:r>
      <w:r>
        <w:rPr>
          <w:rFonts w:hint="eastAsia" w:ascii="仿宋_GB2312" w:eastAsia="仿宋_GB2312"/>
          <w:sz w:val="32"/>
          <w:szCs w:val="32"/>
        </w:rPr>
        <w:t>896</w:t>
      </w:r>
      <w:r>
        <w:rPr>
          <w:rFonts w:hint="eastAsia" w:ascii="仿宋_GB2312" w:eastAsia="仿宋_GB2312"/>
          <w:sz w:val="32"/>
          <w:szCs w:val="32"/>
          <w:lang w:val="en-US" w:eastAsia="zh-CN"/>
        </w:rPr>
        <w:t>.</w:t>
      </w:r>
      <w:r>
        <w:rPr>
          <w:rFonts w:hint="eastAsia" w:ascii="仿宋_GB2312" w:eastAsia="仿宋_GB2312"/>
          <w:sz w:val="32"/>
          <w:szCs w:val="32"/>
        </w:rPr>
        <w:t>196936万元，其中：通用设备价值4,901,372.97万元，车辆0台，价值</w:t>
      </w:r>
      <w:r>
        <w:rPr>
          <w:rFonts w:hint="eastAsia" w:ascii="仿宋_GB2312" w:eastAsia="仿宋_GB2312"/>
          <w:sz w:val="32"/>
          <w:szCs w:val="32"/>
          <w:lang w:val="en-US" w:eastAsia="zh-CN"/>
        </w:rPr>
        <w:t>0</w:t>
      </w:r>
      <w:r>
        <w:rPr>
          <w:rFonts w:hint="eastAsia" w:ascii="仿宋_GB2312" w:eastAsia="仿宋_GB2312"/>
          <w:sz w:val="32"/>
          <w:szCs w:val="32"/>
        </w:rPr>
        <w:t>万元；单位价值50万元以上的通用设备0台（套）、价值0万元；家具、用具装具及动植物价值345</w:t>
      </w:r>
      <w:r>
        <w:rPr>
          <w:rFonts w:hint="eastAsia" w:ascii="仿宋_GB2312" w:eastAsia="仿宋_GB2312"/>
          <w:sz w:val="32"/>
          <w:szCs w:val="32"/>
          <w:lang w:val="en-US" w:eastAsia="zh-CN"/>
        </w:rPr>
        <w:t>.</w:t>
      </w:r>
      <w:r>
        <w:rPr>
          <w:rFonts w:hint="eastAsia" w:ascii="仿宋_GB2312" w:eastAsia="仿宋_GB2312"/>
          <w:sz w:val="32"/>
          <w:szCs w:val="32"/>
        </w:rPr>
        <w:t>155572万元；专用设备账面价值为399</w:t>
      </w:r>
      <w:r>
        <w:rPr>
          <w:rFonts w:hint="eastAsia" w:ascii="仿宋_GB2312" w:eastAsia="仿宋_GB2312"/>
          <w:sz w:val="32"/>
          <w:szCs w:val="32"/>
          <w:lang w:val="en-US" w:eastAsia="zh-CN"/>
        </w:rPr>
        <w:t>.</w:t>
      </w:r>
      <w:r>
        <w:rPr>
          <w:rFonts w:hint="eastAsia" w:ascii="仿宋_GB2312" w:eastAsia="仿宋_GB2312"/>
          <w:sz w:val="32"/>
          <w:szCs w:val="32"/>
        </w:rPr>
        <w:t>528095万元，单位价值100万元以上的专用设备0台（套）、价值0万元</w:t>
      </w:r>
      <w:r>
        <w:rPr>
          <w:rFonts w:hint="eastAsia" w:ascii="仿宋_GB2312" w:eastAsia="仿宋_GB2312"/>
          <w:sz w:val="32"/>
          <w:szCs w:val="32"/>
          <w:lang w:eastAsia="zh-CN"/>
        </w:rPr>
        <w:t>；</w:t>
      </w:r>
      <w:r>
        <w:rPr>
          <w:rFonts w:hint="eastAsia" w:ascii="仿宋_GB2312" w:eastAsia="仿宋_GB2312"/>
          <w:sz w:val="32"/>
          <w:szCs w:val="32"/>
          <w:lang w:val="en-US" w:eastAsia="zh-CN"/>
        </w:rPr>
        <w:t>文物和陈列品</w:t>
      </w:r>
      <w:r>
        <w:rPr>
          <w:rFonts w:hint="eastAsia" w:ascii="仿宋_GB2312" w:eastAsia="仿宋_GB2312"/>
          <w:sz w:val="32"/>
          <w:szCs w:val="32"/>
        </w:rPr>
        <w:t>账面价值为77</w:t>
      </w:r>
      <w:r>
        <w:rPr>
          <w:rFonts w:hint="eastAsia" w:ascii="仿宋_GB2312" w:eastAsia="仿宋_GB2312"/>
          <w:sz w:val="32"/>
          <w:szCs w:val="32"/>
          <w:lang w:val="en-US" w:eastAsia="zh-CN"/>
        </w:rPr>
        <w:t>.</w:t>
      </w:r>
      <w:r>
        <w:rPr>
          <w:rFonts w:hint="eastAsia" w:ascii="仿宋_GB2312" w:eastAsia="仿宋_GB2312"/>
          <w:sz w:val="32"/>
          <w:szCs w:val="32"/>
        </w:rPr>
        <w:t>993377万元</w:t>
      </w:r>
      <w:r>
        <w:rPr>
          <w:rFonts w:hint="eastAsia" w:ascii="仿宋_GB2312" w:eastAsia="仿宋_GB2312"/>
          <w:sz w:val="32"/>
          <w:szCs w:val="32"/>
          <w:lang w:eastAsia="zh-CN"/>
        </w:rPr>
        <w:t>；</w:t>
      </w:r>
      <w:r>
        <w:rPr>
          <w:rFonts w:hint="eastAsia" w:ascii="仿宋_GB2312" w:eastAsia="仿宋_GB2312"/>
          <w:sz w:val="32"/>
          <w:szCs w:val="32"/>
          <w:lang w:val="en-US" w:eastAsia="zh-CN"/>
        </w:rPr>
        <w:t>图书、档案</w:t>
      </w:r>
      <w:r>
        <w:rPr>
          <w:rFonts w:hint="eastAsia" w:ascii="仿宋_GB2312" w:eastAsia="仿宋_GB2312"/>
          <w:sz w:val="32"/>
          <w:szCs w:val="32"/>
        </w:rPr>
        <w:t>账面价值为152</w:t>
      </w:r>
      <w:r>
        <w:rPr>
          <w:rFonts w:hint="eastAsia" w:ascii="仿宋_GB2312" w:eastAsia="仿宋_GB2312"/>
          <w:sz w:val="32"/>
          <w:szCs w:val="32"/>
          <w:lang w:val="en-US" w:eastAsia="zh-CN"/>
        </w:rPr>
        <w:t>.</w:t>
      </w:r>
      <w:r>
        <w:rPr>
          <w:rFonts w:hint="eastAsia" w:ascii="仿宋_GB2312" w:eastAsia="仿宋_GB2312"/>
          <w:sz w:val="32"/>
          <w:szCs w:val="32"/>
        </w:rPr>
        <w:t>6399万元</w:t>
      </w:r>
      <w:r>
        <w:rPr>
          <w:rFonts w:hint="eastAsia" w:ascii="仿宋_GB2312" w:eastAsia="仿宋_GB2312"/>
          <w:sz w:val="32"/>
          <w:szCs w:val="32"/>
          <w:lang w:eastAsia="zh-CN"/>
        </w:rPr>
        <w:t>。</w:t>
      </w:r>
      <w:r>
        <w:rPr>
          <w:rFonts w:hint="eastAsia" w:ascii="仿宋_GB2312" w:eastAsia="仿宋_GB2312"/>
          <w:sz w:val="32"/>
          <w:szCs w:val="32"/>
        </w:rPr>
        <w:t>无形资产价值</w:t>
      </w:r>
      <w:r>
        <w:rPr>
          <w:rFonts w:hint="eastAsia" w:ascii="仿宋_GB2312" w:eastAsia="仿宋_GB2312"/>
          <w:sz w:val="32"/>
          <w:szCs w:val="32"/>
          <w:lang w:val="en-US" w:eastAsia="zh-CN"/>
        </w:rPr>
        <w:t>价值</w:t>
      </w:r>
      <w:r>
        <w:rPr>
          <w:rFonts w:hint="eastAsia" w:ascii="仿宋_GB2312" w:eastAsia="仿宋_GB2312"/>
          <w:sz w:val="32"/>
          <w:szCs w:val="32"/>
        </w:rPr>
        <w:t>0万元。</w:t>
      </w:r>
    </w:p>
    <w:p>
      <w:pPr>
        <w:numPr>
          <w:ilvl w:val="0"/>
          <w:numId w:val="1"/>
        </w:numPr>
        <w:spacing w:line="360" w:lineRule="auto"/>
        <w:ind w:firstLine="480" w:firstLineChars="150"/>
        <w:rPr>
          <w:rFonts w:hint="eastAsia" w:ascii="仿宋_GB2312" w:eastAsia="仿宋_GB2312"/>
          <w:sz w:val="32"/>
          <w:szCs w:val="32"/>
        </w:rPr>
      </w:pPr>
      <w:r>
        <w:rPr>
          <w:rFonts w:hint="eastAsia" w:ascii="仿宋_GB2312" w:eastAsia="仿宋_GB2312"/>
          <w:sz w:val="32"/>
          <w:szCs w:val="32"/>
        </w:rPr>
        <w:t>国有资本经营预算拨款收支情况：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无此项收支</w:t>
      </w:r>
    </w:p>
    <w:p>
      <w:pPr>
        <w:numPr>
          <w:ilvl w:val="0"/>
          <w:numId w:val="2"/>
        </w:numPr>
        <w:spacing w:line="360" w:lineRule="auto"/>
        <w:ind w:firstLine="480" w:firstLineChars="150"/>
        <w:rPr>
          <w:rFonts w:hint="eastAsia" w:ascii="仿宋_GB2312" w:eastAsia="仿宋_GB2312"/>
          <w:sz w:val="32"/>
          <w:szCs w:val="32"/>
        </w:rPr>
      </w:pPr>
      <w:r>
        <w:rPr>
          <w:rFonts w:hint="eastAsia" w:ascii="仿宋_GB2312" w:eastAsia="仿宋_GB2312"/>
          <w:sz w:val="32"/>
          <w:szCs w:val="32"/>
        </w:rPr>
        <w:t>绩效目标开展情况</w:t>
      </w:r>
    </w:p>
    <w:p>
      <w:pPr>
        <w:spacing w:line="360" w:lineRule="auto"/>
        <w:ind w:firstLine="800" w:firstLineChars="250"/>
        <w:rPr>
          <w:rFonts w:hint="eastAsia" w:ascii="仿宋_GB2312" w:eastAsia="仿宋_GB2312"/>
          <w:b/>
          <w:sz w:val="32"/>
          <w:szCs w:val="32"/>
        </w:rPr>
      </w:pPr>
      <w:r>
        <w:rPr>
          <w:rFonts w:hint="eastAsia" w:ascii="仿宋_GB2312" w:eastAsia="仿宋_GB2312"/>
          <w:sz w:val="32"/>
          <w:szCs w:val="32"/>
        </w:rPr>
        <w:t xml:space="preserve"> 2022年度我局在区财政的指导下，认真开展绩效评价工作，对“百姓戏剧展演”项目开展财政支出绩效评价，此次绩效评价综合得分85.54分，评价等级为良好</w:t>
      </w:r>
      <w:r>
        <w:rPr>
          <w:rFonts w:hint="eastAsia" w:ascii="仿宋_GB2312" w:eastAsia="仿宋_GB2312"/>
          <w:sz w:val="32"/>
          <w:szCs w:val="32"/>
          <w:lang w:eastAsia="zh-CN"/>
        </w:rPr>
        <w:t>；</w:t>
      </w:r>
      <w:r>
        <w:rPr>
          <w:rFonts w:hint="eastAsia" w:ascii="仿宋_GB2312" w:eastAsia="仿宋_GB2312"/>
          <w:sz w:val="32"/>
          <w:szCs w:val="32"/>
        </w:rPr>
        <w:t>对“乌兰牧骑到京文化交流演出”项目开展财政支出绩效评价，此次绩效评价综合得分</w:t>
      </w:r>
      <w:r>
        <w:rPr>
          <w:rFonts w:hint="eastAsia" w:ascii="仿宋_GB2312" w:eastAsia="仿宋_GB2312"/>
          <w:sz w:val="32"/>
          <w:szCs w:val="32"/>
          <w:lang w:val="en-US" w:eastAsia="zh-CN"/>
        </w:rPr>
        <w:t>73.50</w:t>
      </w:r>
      <w:r>
        <w:rPr>
          <w:rFonts w:hint="eastAsia" w:ascii="仿宋_GB2312" w:eastAsia="仿宋_GB2312"/>
          <w:sz w:val="32"/>
          <w:szCs w:val="32"/>
        </w:rPr>
        <w:t>分，评价等级为</w:t>
      </w:r>
      <w:r>
        <w:rPr>
          <w:rFonts w:hint="eastAsia" w:ascii="仿宋_GB2312" w:eastAsia="仿宋_GB2312"/>
          <w:sz w:val="32"/>
          <w:szCs w:val="32"/>
          <w:lang w:val="en-US" w:eastAsia="zh-CN"/>
        </w:rPr>
        <w:t>中；</w:t>
      </w:r>
      <w:r>
        <w:rPr>
          <w:rFonts w:hint="eastAsia" w:ascii="仿宋_GB2312" w:eastAsia="仿宋_GB2312"/>
          <w:sz w:val="32"/>
          <w:szCs w:val="32"/>
        </w:rPr>
        <w:t>对</w:t>
      </w:r>
      <w:r>
        <w:rPr>
          <w:rFonts w:hint="eastAsia" w:ascii="仿宋_GB2312" w:eastAsia="仿宋_GB2312"/>
          <w:sz w:val="32"/>
          <w:szCs w:val="32"/>
          <w:lang w:val="en-US" w:eastAsia="zh-CN"/>
        </w:rPr>
        <w:t>西城区文化馆</w:t>
      </w:r>
      <w:r>
        <w:rPr>
          <w:rFonts w:hint="eastAsia" w:ascii="仿宋_GB2312" w:eastAsia="仿宋_GB2312"/>
          <w:sz w:val="32"/>
          <w:szCs w:val="32"/>
        </w:rPr>
        <w:t>“原创音舞诗剧《旗帜英雄》”项目开展财政支出绩效评价，此次绩效评价综合得分</w:t>
      </w:r>
      <w:r>
        <w:rPr>
          <w:rFonts w:hint="eastAsia" w:ascii="仿宋_GB2312" w:eastAsia="仿宋_GB2312"/>
          <w:sz w:val="32"/>
          <w:szCs w:val="32"/>
          <w:lang w:val="en-US" w:eastAsia="zh-CN"/>
        </w:rPr>
        <w:t>81.36</w:t>
      </w:r>
      <w:r>
        <w:rPr>
          <w:rFonts w:hint="eastAsia" w:ascii="仿宋_GB2312" w:eastAsia="仿宋_GB2312"/>
          <w:sz w:val="32"/>
          <w:szCs w:val="32"/>
        </w:rPr>
        <w:t>分，评价等级为</w:t>
      </w:r>
      <w:r>
        <w:rPr>
          <w:rFonts w:hint="eastAsia" w:ascii="仿宋_GB2312" w:eastAsia="仿宋_GB2312"/>
          <w:sz w:val="32"/>
          <w:szCs w:val="32"/>
          <w:lang w:val="en-US" w:eastAsia="zh-CN"/>
        </w:rPr>
        <w:t>良好。三个绩效评价项目平均的评价等级为良好。</w:t>
      </w:r>
    </w:p>
    <w:p>
      <w:pPr>
        <w:spacing w:line="360" w:lineRule="auto"/>
        <w:ind w:firstLine="643" w:firstLineChars="200"/>
        <w:rPr>
          <w:rFonts w:hint="eastAsia" w:ascii="仿宋_GB2312" w:eastAsia="仿宋_GB2312"/>
          <w:b/>
          <w:sz w:val="32"/>
          <w:szCs w:val="32"/>
        </w:rPr>
      </w:pPr>
      <w:r>
        <w:rPr>
          <w:rFonts w:hint="eastAsia" w:ascii="仿宋_GB2312" w:eastAsia="仿宋_GB2312"/>
          <w:b/>
          <w:sz w:val="32"/>
          <w:szCs w:val="32"/>
        </w:rPr>
        <w:t>八、专业名词解释</w:t>
      </w:r>
    </w:p>
    <w:p>
      <w:pPr>
        <w:ind w:firstLine="640" w:firstLineChars="200"/>
        <w:rPr>
          <w:rFonts w:hint="eastAsia" w:ascii="仿宋_GB2312" w:eastAsia="仿宋_GB2312"/>
          <w:sz w:val="32"/>
          <w:szCs w:val="32"/>
        </w:rPr>
      </w:pPr>
      <w:r>
        <w:rPr>
          <w:rFonts w:hint="eastAsia" w:ascii="仿宋_GB2312" w:eastAsia="仿宋_GB2312"/>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单位按规定保留的公务用车燃料费、维修费、过桥过路费、保险费、安全奖励费用等支出；公务接待费指单位按规定开支的各类公务接待（含外宾接待）费用。</w:t>
      </w:r>
    </w:p>
    <w:p>
      <w:pPr>
        <w:ind w:firstLine="640" w:firstLineChars="200"/>
        <w:rPr>
          <w:rFonts w:hint="eastAsia" w:ascii="仿宋_GB2312" w:eastAsia="仿宋_GB2312"/>
          <w:sz w:val="32"/>
          <w:szCs w:val="32"/>
        </w:rPr>
      </w:pPr>
      <w:r>
        <w:rPr>
          <w:rFonts w:hint="eastAsia" w:ascii="仿宋_GB2312" w:eastAsia="仿宋_GB2312"/>
          <w:sz w:val="32"/>
          <w:szCs w:val="32"/>
        </w:rPr>
        <w:t>2.机关运行经费：行政运行经费是指为保障单位正常运行，用于购买货物和服务的各项资金，包括办公及印刷费、邮电费、差旅费、会议费、福利费、日常维修费、专用材料及一般设备购置费、网络运行维护费、办公用房租赁费、办公用房水电费、办公用房取暖费、办公用房物业管理费、公务用车运行维护以及其他费用。</w:t>
      </w:r>
    </w:p>
    <w:p>
      <w:pPr>
        <w:jc w:val="center"/>
        <w:rPr>
          <w:rFonts w:hint="eastAsia" w:ascii="仿宋_GB2312" w:eastAsia="仿宋_GB2312"/>
          <w:b/>
          <w:sz w:val="32"/>
          <w:szCs w:val="32"/>
        </w:rPr>
        <w:sectPr>
          <w:footerReference r:id="rId3" w:type="default"/>
          <w:pgSz w:w="11906" w:h="16838"/>
          <w:pgMar w:top="1440" w:right="1797" w:bottom="1440" w:left="1797" w:header="851" w:footer="992" w:gutter="0"/>
          <w:cols w:space="720" w:num="1"/>
          <w:docGrid w:type="lines" w:linePitch="312" w:charSpace="0"/>
        </w:sectPr>
      </w:pPr>
    </w:p>
    <w:p>
      <w:pPr>
        <w:rPr>
          <w:rFonts w:hint="eastAsia" w:ascii="仿宋_GB2312" w:eastAsia="仿宋_GB2312"/>
          <w:b/>
          <w:sz w:val="32"/>
          <w:szCs w:val="32"/>
        </w:rPr>
      </w:pPr>
    </w:p>
    <w:p>
      <w:pPr>
        <w:jc w:val="center"/>
        <w:rPr>
          <w:rFonts w:hint="eastAsia" w:ascii="仿宋_GB2312" w:eastAsia="仿宋_GB2312"/>
          <w:b/>
          <w:sz w:val="32"/>
          <w:szCs w:val="32"/>
        </w:rPr>
      </w:pPr>
      <w:r>
        <w:rPr>
          <w:rFonts w:hint="eastAsia" w:ascii="仿宋_GB2312" w:eastAsia="仿宋_GB2312"/>
          <w:b/>
          <w:sz w:val="32"/>
          <w:szCs w:val="32"/>
        </w:rPr>
        <w:t>第二部分   2022年部门决算报表</w:t>
      </w:r>
    </w:p>
    <w:p>
      <w:pPr>
        <w:rPr>
          <w:rFonts w:hint="eastAsia"/>
          <w:sz w:val="30"/>
          <w:szCs w:val="30"/>
        </w:rPr>
      </w:pPr>
    </w:p>
    <w:p>
      <w:pPr>
        <w:rPr>
          <w:rFonts w:hint="eastAsia"/>
          <w:sz w:val="30"/>
          <w:szCs w:val="30"/>
        </w:rPr>
      </w:pPr>
      <w:r>
        <w:rPr>
          <w:rFonts w:hint="eastAsia"/>
          <w:sz w:val="30"/>
          <w:szCs w:val="30"/>
        </w:rPr>
        <w:t>表1：</w:t>
      </w:r>
    </w:p>
    <w:p>
      <w:pPr>
        <w:rPr>
          <w:sz w:val="30"/>
          <w:szCs w:val="30"/>
        </w:rPr>
      </w:pPr>
      <w:r>
        <w:rPr>
          <w:rFonts w:hint="eastAsia"/>
        </w:rPr>
        <w:t xml:space="preserve"> </w:t>
      </w:r>
      <w:r>
        <w:drawing>
          <wp:inline distT="0" distB="0" distL="114300" distR="114300">
            <wp:extent cx="5271770" cy="6129655"/>
            <wp:effectExtent l="0" t="0" r="5080" b="4445"/>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pic:cNvPicPr>
                      <a:picLocks noChangeAspect="1"/>
                    </pic:cNvPicPr>
                  </pic:nvPicPr>
                  <pic:blipFill>
                    <a:blip r:embed="rId6"/>
                    <a:stretch>
                      <a:fillRect/>
                    </a:stretch>
                  </pic:blipFill>
                  <pic:spPr>
                    <a:xfrm>
                      <a:off x="0" y="0"/>
                      <a:ext cx="5271770" cy="6129655"/>
                    </a:xfrm>
                    <a:prstGeom prst="rect">
                      <a:avLst/>
                    </a:prstGeom>
                    <a:noFill/>
                    <a:ln>
                      <a:noFill/>
                    </a:ln>
                  </pic:spPr>
                </pic:pic>
              </a:graphicData>
            </a:graphic>
          </wp:inline>
        </w:drawing>
      </w:r>
      <w:r>
        <w:rPr>
          <w:rFonts w:hint="eastAsia"/>
        </w:rPr>
        <w:t xml:space="preserve">                                           </w:t>
      </w:r>
    </w:p>
    <w:p>
      <w:pPr>
        <w:rPr>
          <w:rFonts w:hint="eastAsia"/>
          <w:sz w:val="30"/>
          <w:szCs w:val="30"/>
        </w:rPr>
      </w:pPr>
    </w:p>
    <w:p>
      <w:pPr>
        <w:rPr>
          <w:rFonts w:hint="eastAsia"/>
          <w:sz w:val="30"/>
          <w:szCs w:val="30"/>
        </w:rPr>
      </w:pPr>
    </w:p>
    <w:p>
      <w:pPr>
        <w:rPr>
          <w:rFonts w:hint="eastAsia"/>
        </w:rPr>
      </w:pPr>
      <w:r>
        <w:rPr>
          <w:rFonts w:hint="eastAsia"/>
          <w:sz w:val="30"/>
          <w:szCs w:val="30"/>
          <w:lang w:val="en-US" w:eastAsia="zh-CN"/>
        </w:rPr>
        <w:t>表</w:t>
      </w:r>
      <w:r>
        <w:rPr>
          <w:rFonts w:hint="eastAsia"/>
          <w:sz w:val="30"/>
          <w:szCs w:val="30"/>
        </w:rPr>
        <w:t>2：</w:t>
      </w:r>
    </w:p>
    <w:p>
      <w:pPr>
        <w:rPr>
          <w:rFonts w:hint="eastAsia"/>
        </w:rPr>
      </w:pPr>
      <w:r>
        <w:drawing>
          <wp:inline distT="0" distB="0" distL="114300" distR="114300">
            <wp:extent cx="5272405" cy="8401050"/>
            <wp:effectExtent l="0" t="0" r="4445" b="0"/>
            <wp:docPr id="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pic:cNvPicPr>
                      <a:picLocks noChangeAspect="1"/>
                    </pic:cNvPicPr>
                  </pic:nvPicPr>
                  <pic:blipFill>
                    <a:blip r:embed="rId7"/>
                    <a:stretch>
                      <a:fillRect/>
                    </a:stretch>
                  </pic:blipFill>
                  <pic:spPr>
                    <a:xfrm>
                      <a:off x="0" y="0"/>
                      <a:ext cx="5272405" cy="8401050"/>
                    </a:xfrm>
                    <a:prstGeom prst="rect">
                      <a:avLst/>
                    </a:prstGeom>
                    <a:noFill/>
                    <a:ln>
                      <a:noFill/>
                    </a:ln>
                  </pic:spPr>
                </pic:pic>
              </a:graphicData>
            </a:graphic>
          </wp:inline>
        </w:drawing>
      </w:r>
    </w:p>
    <w:p>
      <w:pPr>
        <w:rPr>
          <w:rFonts w:hint="eastAsia"/>
          <w:sz w:val="30"/>
          <w:szCs w:val="30"/>
        </w:rPr>
      </w:pPr>
      <w:r>
        <w:rPr>
          <w:rFonts w:hint="eastAsia"/>
          <w:sz w:val="30"/>
          <w:szCs w:val="30"/>
        </w:rPr>
        <w:t>表3：</w:t>
      </w:r>
    </w:p>
    <w:p>
      <w:pPr>
        <w:rPr>
          <w:sz w:val="30"/>
          <w:szCs w:val="30"/>
        </w:rPr>
      </w:pPr>
      <w:r>
        <w:drawing>
          <wp:inline distT="0" distB="0" distL="114300" distR="114300">
            <wp:extent cx="5273040" cy="8083550"/>
            <wp:effectExtent l="0" t="0" r="3810" b="12700"/>
            <wp:docPr id="1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pic:cNvPicPr>
                      <a:picLocks noChangeAspect="1"/>
                    </pic:cNvPicPr>
                  </pic:nvPicPr>
                  <pic:blipFill>
                    <a:blip r:embed="rId8"/>
                    <a:stretch>
                      <a:fillRect/>
                    </a:stretch>
                  </pic:blipFill>
                  <pic:spPr>
                    <a:xfrm>
                      <a:off x="0" y="0"/>
                      <a:ext cx="5273040" cy="8083550"/>
                    </a:xfrm>
                    <a:prstGeom prst="rect">
                      <a:avLst/>
                    </a:prstGeom>
                    <a:noFill/>
                    <a:ln>
                      <a:noFill/>
                    </a:ln>
                  </pic:spPr>
                </pic:pic>
              </a:graphicData>
            </a:graphic>
          </wp:inline>
        </w:drawing>
      </w:r>
    </w:p>
    <w:p>
      <w:pPr>
        <w:rPr>
          <w:sz w:val="30"/>
          <w:szCs w:val="30"/>
        </w:rPr>
        <w:sectPr>
          <w:pgSz w:w="11906" w:h="16838"/>
          <w:pgMar w:top="1440" w:right="1797" w:bottom="1440" w:left="1797" w:header="851" w:footer="992" w:gutter="0"/>
          <w:cols w:space="720" w:num="1"/>
          <w:docGrid w:type="lines" w:linePitch="319" w:charSpace="0"/>
        </w:sectPr>
      </w:pPr>
    </w:p>
    <w:p>
      <w:pPr>
        <w:rPr>
          <w:rFonts w:hint="eastAsia"/>
          <w:sz w:val="30"/>
          <w:szCs w:val="30"/>
        </w:rPr>
      </w:pPr>
      <w:r>
        <w:rPr>
          <w:rFonts w:hint="eastAsia"/>
          <w:sz w:val="30"/>
          <w:szCs w:val="30"/>
        </w:rPr>
        <w:t>表4：</w:t>
      </w:r>
    </w:p>
    <w:p>
      <w:pPr>
        <w:rPr>
          <w:rFonts w:hint="eastAsia"/>
          <w:sz w:val="30"/>
          <w:szCs w:val="30"/>
        </w:rPr>
      </w:pPr>
      <w:r>
        <w:drawing>
          <wp:inline distT="0" distB="0" distL="114300" distR="114300">
            <wp:extent cx="8824595" cy="4745355"/>
            <wp:effectExtent l="0" t="0" r="14605" b="17145"/>
            <wp:docPr id="2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2"/>
                    <pic:cNvPicPr>
                      <a:picLocks noChangeAspect="1"/>
                    </pic:cNvPicPr>
                  </pic:nvPicPr>
                  <pic:blipFill>
                    <a:blip r:embed="rId9"/>
                    <a:stretch>
                      <a:fillRect/>
                    </a:stretch>
                  </pic:blipFill>
                  <pic:spPr>
                    <a:xfrm>
                      <a:off x="0" y="0"/>
                      <a:ext cx="8824595" cy="4745355"/>
                    </a:xfrm>
                    <a:prstGeom prst="rect">
                      <a:avLst/>
                    </a:prstGeom>
                    <a:noFill/>
                    <a:ln>
                      <a:noFill/>
                    </a:ln>
                  </pic:spPr>
                </pic:pic>
              </a:graphicData>
            </a:graphic>
          </wp:inline>
        </w:drawing>
      </w:r>
    </w:p>
    <w:p>
      <w:pPr>
        <w:rPr>
          <w:rFonts w:hint="eastAsia"/>
          <w:sz w:val="30"/>
          <w:szCs w:val="30"/>
        </w:rPr>
      </w:pPr>
      <w:r>
        <w:rPr>
          <w:rFonts w:hint="eastAsia"/>
          <w:sz w:val="30"/>
          <w:szCs w:val="30"/>
        </w:rPr>
        <w:t>表5：</w:t>
      </w:r>
    </w:p>
    <w:p>
      <w:pPr>
        <w:rPr>
          <w:rFonts w:hint="eastAsia"/>
          <w:sz w:val="30"/>
          <w:szCs w:val="30"/>
        </w:rPr>
      </w:pPr>
      <w:r>
        <w:drawing>
          <wp:inline distT="0" distB="0" distL="114300" distR="114300">
            <wp:extent cx="8559165" cy="4757420"/>
            <wp:effectExtent l="0" t="0" r="13335" b="5080"/>
            <wp:docPr id="2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4"/>
                    <pic:cNvPicPr>
                      <a:picLocks noChangeAspect="1"/>
                    </pic:cNvPicPr>
                  </pic:nvPicPr>
                  <pic:blipFill>
                    <a:blip r:embed="rId10"/>
                    <a:stretch>
                      <a:fillRect/>
                    </a:stretch>
                  </pic:blipFill>
                  <pic:spPr>
                    <a:xfrm>
                      <a:off x="0" y="0"/>
                      <a:ext cx="8559165" cy="4757420"/>
                    </a:xfrm>
                    <a:prstGeom prst="rect">
                      <a:avLst/>
                    </a:prstGeom>
                    <a:noFill/>
                    <a:ln>
                      <a:noFill/>
                    </a:ln>
                  </pic:spPr>
                </pic:pic>
              </a:graphicData>
            </a:graphic>
          </wp:inline>
        </w:drawing>
      </w:r>
    </w:p>
    <w:p>
      <w:pPr>
        <w:rPr>
          <w:rFonts w:hint="eastAsia"/>
          <w:sz w:val="30"/>
          <w:szCs w:val="30"/>
        </w:rPr>
        <w:sectPr>
          <w:pgSz w:w="16838" w:h="11906" w:orient="landscape"/>
          <w:pgMar w:top="1797" w:right="1440" w:bottom="1797" w:left="1440" w:header="851" w:footer="992" w:gutter="0"/>
          <w:cols w:space="720" w:num="1"/>
          <w:docGrid w:type="lines" w:linePitch="319" w:charSpace="0"/>
        </w:sectPr>
      </w:pPr>
    </w:p>
    <w:p>
      <w:pPr>
        <w:rPr>
          <w:rFonts w:hint="eastAsia"/>
          <w:sz w:val="30"/>
          <w:szCs w:val="30"/>
        </w:rPr>
      </w:pPr>
      <w:r>
        <w:rPr>
          <w:rFonts w:hint="eastAsia"/>
          <w:sz w:val="30"/>
          <w:szCs w:val="30"/>
        </w:rPr>
        <w:t>表</w:t>
      </w:r>
      <w:r>
        <w:rPr>
          <w:rFonts w:hint="eastAsia"/>
          <w:sz w:val="30"/>
          <w:szCs w:val="30"/>
          <w:lang w:val="en-US" w:eastAsia="zh-CN"/>
        </w:rPr>
        <w:t>6</w:t>
      </w:r>
      <w:r>
        <w:rPr>
          <w:rFonts w:hint="eastAsia"/>
          <w:sz w:val="30"/>
          <w:szCs w:val="30"/>
        </w:rPr>
        <w:t>：</w:t>
      </w:r>
    </w:p>
    <w:p>
      <w:pPr>
        <w:rPr>
          <w:rFonts w:hint="eastAsia"/>
        </w:rPr>
      </w:pPr>
    </w:p>
    <w:p>
      <w:pPr>
        <w:rPr>
          <w:rFonts w:hint="eastAsia"/>
        </w:rPr>
        <w:sectPr>
          <w:pgSz w:w="11906" w:h="16838"/>
          <w:pgMar w:top="1440" w:right="1797" w:bottom="1440" w:left="1797" w:header="851" w:footer="992" w:gutter="0"/>
          <w:cols w:space="720" w:num="1"/>
          <w:docGrid w:type="lines" w:linePitch="319" w:charSpace="0"/>
        </w:sectPr>
      </w:pPr>
      <w:r>
        <w:drawing>
          <wp:inline distT="0" distB="0" distL="114300" distR="114300">
            <wp:extent cx="5275580" cy="8188325"/>
            <wp:effectExtent l="0" t="0" r="1270" b="3175"/>
            <wp:docPr id="28"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5"/>
                    <pic:cNvPicPr>
                      <a:picLocks noChangeAspect="1"/>
                    </pic:cNvPicPr>
                  </pic:nvPicPr>
                  <pic:blipFill>
                    <a:blip r:embed="rId11"/>
                    <a:stretch>
                      <a:fillRect/>
                    </a:stretch>
                  </pic:blipFill>
                  <pic:spPr>
                    <a:xfrm>
                      <a:off x="0" y="0"/>
                      <a:ext cx="5275580" cy="8188325"/>
                    </a:xfrm>
                    <a:prstGeom prst="rect">
                      <a:avLst/>
                    </a:prstGeom>
                    <a:noFill/>
                    <a:ln>
                      <a:noFill/>
                    </a:ln>
                  </pic:spPr>
                </pic:pic>
              </a:graphicData>
            </a:graphic>
          </wp:inline>
        </w:drawing>
      </w:r>
    </w:p>
    <w:p>
      <w:pPr>
        <w:tabs>
          <w:tab w:val="left" w:pos="2355"/>
        </w:tabs>
        <w:rPr>
          <w:rFonts w:hint="eastAsia"/>
          <w:sz w:val="30"/>
          <w:szCs w:val="30"/>
        </w:rPr>
      </w:pPr>
      <w:r>
        <w:rPr>
          <w:rFonts w:hint="eastAsia"/>
          <w:sz w:val="30"/>
          <w:szCs w:val="30"/>
        </w:rPr>
        <w:t>表</w:t>
      </w:r>
      <w:r>
        <w:rPr>
          <w:rFonts w:hint="eastAsia"/>
          <w:sz w:val="30"/>
          <w:szCs w:val="30"/>
          <w:lang w:val="en-US" w:eastAsia="zh-CN"/>
        </w:rPr>
        <w:t>7</w:t>
      </w:r>
      <w:r>
        <w:rPr>
          <w:rFonts w:hint="eastAsia"/>
          <w:sz w:val="30"/>
          <w:szCs w:val="30"/>
        </w:rPr>
        <w:t>：</w:t>
      </w:r>
    </w:p>
    <w:p>
      <w:pPr>
        <w:rPr>
          <w:rFonts w:hint="eastAsia"/>
        </w:rPr>
      </w:pPr>
      <w:r>
        <w:drawing>
          <wp:inline distT="0" distB="0" distL="114300" distR="114300">
            <wp:extent cx="5273040" cy="5393055"/>
            <wp:effectExtent l="0" t="0" r="3810" b="17145"/>
            <wp:docPr id="29"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6"/>
                    <pic:cNvPicPr>
                      <a:picLocks noChangeAspect="1"/>
                    </pic:cNvPicPr>
                  </pic:nvPicPr>
                  <pic:blipFill>
                    <a:blip r:embed="rId12"/>
                    <a:stretch>
                      <a:fillRect/>
                    </a:stretch>
                  </pic:blipFill>
                  <pic:spPr>
                    <a:xfrm>
                      <a:off x="0" y="0"/>
                      <a:ext cx="5273040" cy="5393055"/>
                    </a:xfrm>
                    <a:prstGeom prst="rect">
                      <a:avLst/>
                    </a:prstGeom>
                    <a:noFill/>
                    <a:ln>
                      <a:noFill/>
                    </a:ln>
                  </pic:spPr>
                </pic:pic>
              </a:graphicData>
            </a:graphic>
          </wp:inline>
        </w:drawing>
      </w:r>
    </w:p>
    <w:p>
      <w:pPr>
        <w:rPr>
          <w:rFonts w:hint="eastAsia"/>
          <w:sz w:val="30"/>
          <w:szCs w:val="30"/>
        </w:rPr>
      </w:pPr>
    </w:p>
    <w:p>
      <w:pPr>
        <w:rPr>
          <w:rFonts w:hint="eastAsia"/>
          <w:sz w:val="30"/>
          <w:szCs w:val="30"/>
        </w:rPr>
      </w:pPr>
      <w:r>
        <w:rPr>
          <w:rFonts w:hint="eastAsia"/>
          <w:sz w:val="30"/>
          <w:szCs w:val="30"/>
        </w:rPr>
        <w:t>表</w:t>
      </w:r>
      <w:r>
        <w:rPr>
          <w:rFonts w:hint="eastAsia"/>
          <w:sz w:val="30"/>
          <w:szCs w:val="30"/>
          <w:lang w:val="en-US" w:eastAsia="zh-CN"/>
        </w:rPr>
        <w:t>8</w:t>
      </w:r>
      <w:r>
        <w:rPr>
          <w:rFonts w:hint="eastAsia"/>
          <w:sz w:val="30"/>
          <w:szCs w:val="30"/>
        </w:rPr>
        <w:t>：</w:t>
      </w:r>
    </w:p>
    <w:p>
      <w:pPr>
        <w:rPr>
          <w:rFonts w:hint="eastAsia"/>
          <w:sz w:val="30"/>
          <w:szCs w:val="30"/>
        </w:rPr>
      </w:pPr>
      <w:r>
        <w:drawing>
          <wp:inline distT="0" distB="0" distL="114300" distR="114300">
            <wp:extent cx="5270500" cy="1654810"/>
            <wp:effectExtent l="0" t="0" r="6350" b="2540"/>
            <wp:docPr id="30"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7"/>
                    <pic:cNvPicPr>
                      <a:picLocks noChangeAspect="1"/>
                    </pic:cNvPicPr>
                  </pic:nvPicPr>
                  <pic:blipFill>
                    <a:blip r:embed="rId13"/>
                    <a:stretch>
                      <a:fillRect/>
                    </a:stretch>
                  </pic:blipFill>
                  <pic:spPr>
                    <a:xfrm>
                      <a:off x="0" y="0"/>
                      <a:ext cx="5270500" cy="1654810"/>
                    </a:xfrm>
                    <a:prstGeom prst="rect">
                      <a:avLst/>
                    </a:prstGeom>
                    <a:noFill/>
                    <a:ln>
                      <a:noFill/>
                    </a:ln>
                  </pic:spPr>
                </pic:pic>
              </a:graphicData>
            </a:graphic>
          </wp:inline>
        </w:drawing>
      </w:r>
    </w:p>
    <w:p>
      <w:pPr>
        <w:rPr>
          <w:rFonts w:hint="eastAsia"/>
          <w:sz w:val="30"/>
          <w:szCs w:val="30"/>
        </w:rPr>
      </w:pPr>
    </w:p>
    <w:p>
      <w:pPr>
        <w:rPr>
          <w:rFonts w:hint="eastAsia"/>
          <w:sz w:val="30"/>
          <w:szCs w:val="30"/>
        </w:rPr>
      </w:pPr>
      <w:r>
        <w:rPr>
          <w:rFonts w:hint="eastAsia"/>
          <w:sz w:val="30"/>
          <w:szCs w:val="30"/>
        </w:rPr>
        <w:t>表</w:t>
      </w:r>
      <w:r>
        <w:rPr>
          <w:rFonts w:hint="eastAsia"/>
          <w:sz w:val="30"/>
          <w:szCs w:val="30"/>
          <w:lang w:val="en-US" w:eastAsia="zh-CN"/>
        </w:rPr>
        <w:t>9</w:t>
      </w:r>
      <w:r>
        <w:rPr>
          <w:rFonts w:hint="eastAsia"/>
          <w:sz w:val="30"/>
          <w:szCs w:val="30"/>
        </w:rPr>
        <w:t>：</w:t>
      </w:r>
    </w:p>
    <w:p>
      <w:pPr>
        <w:rPr>
          <w:sz w:val="30"/>
          <w:szCs w:val="30"/>
        </w:rPr>
      </w:pPr>
      <w:r>
        <w:drawing>
          <wp:inline distT="0" distB="0" distL="114300" distR="114300">
            <wp:extent cx="5277485" cy="5372100"/>
            <wp:effectExtent l="0" t="0" r="18415" b="0"/>
            <wp:docPr id="3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8"/>
                    <pic:cNvPicPr>
                      <a:picLocks noChangeAspect="1"/>
                    </pic:cNvPicPr>
                  </pic:nvPicPr>
                  <pic:blipFill>
                    <a:blip r:embed="rId14"/>
                    <a:stretch>
                      <a:fillRect/>
                    </a:stretch>
                  </pic:blipFill>
                  <pic:spPr>
                    <a:xfrm>
                      <a:off x="0" y="0"/>
                      <a:ext cx="5277485" cy="5372100"/>
                    </a:xfrm>
                    <a:prstGeom prst="rect">
                      <a:avLst/>
                    </a:prstGeom>
                    <a:noFill/>
                    <a:ln>
                      <a:noFill/>
                    </a:ln>
                  </pic:spPr>
                </pic:pic>
              </a:graphicData>
            </a:graphic>
          </wp:inline>
        </w:drawing>
      </w:r>
    </w:p>
    <w:p>
      <w:pPr>
        <w:rPr>
          <w:rFonts w:hint="eastAsia"/>
          <w:sz w:val="30"/>
          <w:szCs w:val="30"/>
        </w:rPr>
      </w:pPr>
    </w:p>
    <w:p>
      <w:pPr>
        <w:rPr>
          <w:rFonts w:hint="eastAsia"/>
          <w:sz w:val="30"/>
          <w:szCs w:val="30"/>
        </w:rPr>
      </w:pPr>
      <w:r>
        <w:rPr>
          <w:rFonts w:hint="eastAsia"/>
          <w:sz w:val="30"/>
          <w:szCs w:val="30"/>
        </w:rPr>
        <w:t>表</w:t>
      </w:r>
      <w:r>
        <w:rPr>
          <w:rFonts w:hint="eastAsia"/>
          <w:sz w:val="30"/>
          <w:szCs w:val="30"/>
          <w:lang w:val="en-US" w:eastAsia="zh-CN"/>
        </w:rPr>
        <w:t>10</w:t>
      </w:r>
      <w:r>
        <w:rPr>
          <w:rFonts w:hint="eastAsia"/>
          <w:sz w:val="30"/>
          <w:szCs w:val="30"/>
        </w:rPr>
        <w:t>：</w:t>
      </w:r>
    </w:p>
    <w:p>
      <w:r>
        <w:drawing>
          <wp:inline distT="0" distB="0" distL="114300" distR="114300">
            <wp:extent cx="5275580" cy="1755775"/>
            <wp:effectExtent l="0" t="0" r="1270" b="15875"/>
            <wp:docPr id="32"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9"/>
                    <pic:cNvPicPr>
                      <a:picLocks noChangeAspect="1"/>
                    </pic:cNvPicPr>
                  </pic:nvPicPr>
                  <pic:blipFill>
                    <a:blip r:embed="rId15"/>
                    <a:stretch>
                      <a:fillRect/>
                    </a:stretch>
                  </pic:blipFill>
                  <pic:spPr>
                    <a:xfrm>
                      <a:off x="0" y="0"/>
                      <a:ext cx="5275580" cy="1755775"/>
                    </a:xfrm>
                    <a:prstGeom prst="rect">
                      <a:avLst/>
                    </a:prstGeom>
                    <a:noFill/>
                    <a:ln>
                      <a:noFill/>
                    </a:ln>
                  </pic:spPr>
                </pic:pic>
              </a:graphicData>
            </a:graphic>
          </wp:inline>
        </w:drawing>
      </w:r>
    </w:p>
    <w:p/>
    <w:p>
      <w:pPr>
        <w:rPr>
          <w:rFonts w:hint="eastAsia"/>
          <w:sz w:val="30"/>
          <w:szCs w:val="30"/>
        </w:rPr>
      </w:pPr>
    </w:p>
    <w:p>
      <w:pPr>
        <w:rPr>
          <w:sz w:val="30"/>
          <w:szCs w:val="30"/>
        </w:rPr>
      </w:pPr>
      <w:r>
        <w:rPr>
          <w:rFonts w:hint="eastAsia"/>
          <w:sz w:val="30"/>
          <w:szCs w:val="30"/>
        </w:rPr>
        <w:t>表</w:t>
      </w:r>
      <w:r>
        <w:rPr>
          <w:rFonts w:hint="eastAsia"/>
          <w:sz w:val="30"/>
          <w:szCs w:val="30"/>
          <w:lang w:val="en-US" w:eastAsia="zh-CN"/>
        </w:rPr>
        <w:t>11</w:t>
      </w:r>
      <w:r>
        <w:rPr>
          <w:rFonts w:hint="eastAsia"/>
          <w:sz w:val="30"/>
          <w:szCs w:val="30"/>
        </w:rPr>
        <w:t>：</w:t>
      </w:r>
    </w:p>
    <w:p>
      <w:pPr>
        <w:rPr>
          <w:rFonts w:hint="eastAsia"/>
          <w:sz w:val="30"/>
          <w:szCs w:val="30"/>
        </w:rPr>
      </w:pPr>
      <w:r>
        <w:drawing>
          <wp:inline distT="0" distB="0" distL="114300" distR="114300">
            <wp:extent cx="5273675" cy="1851660"/>
            <wp:effectExtent l="0" t="0" r="3175" b="15240"/>
            <wp:docPr id="35"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2"/>
                    <pic:cNvPicPr>
                      <a:picLocks noChangeAspect="1"/>
                    </pic:cNvPicPr>
                  </pic:nvPicPr>
                  <pic:blipFill>
                    <a:blip r:embed="rId16"/>
                    <a:stretch>
                      <a:fillRect/>
                    </a:stretch>
                  </pic:blipFill>
                  <pic:spPr>
                    <a:xfrm>
                      <a:off x="0" y="0"/>
                      <a:ext cx="5273675" cy="1851660"/>
                    </a:xfrm>
                    <a:prstGeom prst="rect">
                      <a:avLst/>
                    </a:prstGeom>
                    <a:noFill/>
                    <a:ln>
                      <a:noFill/>
                    </a:ln>
                  </pic:spPr>
                </pic:pic>
              </a:graphicData>
            </a:graphic>
          </wp:inline>
        </w:drawing>
      </w:r>
    </w:p>
    <w:p>
      <w:pPr>
        <w:rPr>
          <w:rFonts w:hint="eastAsia"/>
          <w:sz w:val="30"/>
          <w:szCs w:val="30"/>
        </w:rPr>
      </w:pPr>
    </w:p>
    <w:p>
      <w:pPr>
        <w:rPr>
          <w:rFonts w:hint="eastAsia"/>
          <w:sz w:val="30"/>
          <w:szCs w:val="30"/>
        </w:rPr>
      </w:pPr>
    </w:p>
    <w:p>
      <w:pPr>
        <w:rPr>
          <w:rFonts w:hint="eastAsia"/>
          <w:sz w:val="30"/>
          <w:szCs w:val="30"/>
        </w:rPr>
      </w:pPr>
      <w:r>
        <w:rPr>
          <w:rFonts w:hint="eastAsia"/>
          <w:sz w:val="30"/>
          <w:szCs w:val="30"/>
        </w:rPr>
        <w:t>表</w:t>
      </w:r>
      <w:r>
        <w:rPr>
          <w:rFonts w:hint="eastAsia"/>
          <w:sz w:val="30"/>
          <w:szCs w:val="30"/>
          <w:lang w:val="en-US" w:eastAsia="zh-CN"/>
        </w:rPr>
        <w:t>12</w:t>
      </w:r>
      <w:r>
        <w:rPr>
          <w:rFonts w:hint="eastAsia"/>
          <w:sz w:val="30"/>
          <w:szCs w:val="30"/>
        </w:rPr>
        <w:t>：</w:t>
      </w:r>
    </w:p>
    <w:p>
      <w:r>
        <w:drawing>
          <wp:inline distT="0" distB="0" distL="114300" distR="114300">
            <wp:extent cx="5276215" cy="3145155"/>
            <wp:effectExtent l="0" t="0" r="635" b="17145"/>
            <wp:docPr id="34"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1"/>
                    <pic:cNvPicPr>
                      <a:picLocks noChangeAspect="1"/>
                    </pic:cNvPicPr>
                  </pic:nvPicPr>
                  <pic:blipFill>
                    <a:blip r:embed="rId17"/>
                    <a:stretch>
                      <a:fillRect/>
                    </a:stretch>
                  </pic:blipFill>
                  <pic:spPr>
                    <a:xfrm>
                      <a:off x="0" y="0"/>
                      <a:ext cx="5276215" cy="3145155"/>
                    </a:xfrm>
                    <a:prstGeom prst="rect">
                      <a:avLst/>
                    </a:prstGeom>
                    <a:noFill/>
                    <a:ln>
                      <a:noFill/>
                    </a:ln>
                  </pic:spPr>
                </pic:pic>
              </a:graphicData>
            </a:graphic>
          </wp:inline>
        </w:drawing>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sz w:val="30"/>
          <w:szCs w:val="30"/>
        </w:rPr>
      </w:pPr>
      <w:r>
        <w:rPr>
          <w:rFonts w:hint="eastAsia"/>
          <w:sz w:val="30"/>
          <w:szCs w:val="30"/>
        </w:rPr>
        <w:t>表</w:t>
      </w:r>
      <w:r>
        <w:rPr>
          <w:rFonts w:hint="eastAsia"/>
          <w:sz w:val="30"/>
          <w:szCs w:val="30"/>
          <w:lang w:val="en-US" w:eastAsia="zh-CN"/>
        </w:rPr>
        <w:t>13</w:t>
      </w:r>
      <w:r>
        <w:rPr>
          <w:rFonts w:hint="eastAsia"/>
          <w:sz w:val="30"/>
          <w:szCs w:val="30"/>
        </w:rPr>
        <w:t>：</w:t>
      </w:r>
    </w:p>
    <w:p>
      <w:pPr>
        <w:rPr>
          <w:rFonts w:hint="eastAsia"/>
          <w:sz w:val="30"/>
          <w:szCs w:val="30"/>
        </w:rPr>
      </w:pPr>
      <w:r>
        <w:drawing>
          <wp:inline distT="0" distB="0" distL="114300" distR="114300">
            <wp:extent cx="5273675" cy="7860665"/>
            <wp:effectExtent l="0" t="0" r="3175" b="698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8"/>
                    <a:stretch>
                      <a:fillRect/>
                    </a:stretch>
                  </pic:blipFill>
                  <pic:spPr>
                    <a:xfrm>
                      <a:off x="0" y="0"/>
                      <a:ext cx="5273675" cy="7860665"/>
                    </a:xfrm>
                    <a:prstGeom prst="rect">
                      <a:avLst/>
                    </a:prstGeom>
                    <a:noFill/>
                    <a:ln>
                      <a:noFill/>
                    </a:ln>
                  </pic:spPr>
                </pic:pic>
              </a:graphicData>
            </a:graphic>
          </wp:inline>
        </w:drawing>
      </w:r>
    </w:p>
    <w:p>
      <w:pPr>
        <w:rPr>
          <w:rFonts w:hint="default" w:eastAsia="宋体"/>
          <w:lang w:val="en-US" w:eastAsia="zh-CN"/>
        </w:rPr>
      </w:pPr>
    </w:p>
    <w:sectPr>
      <w:footerReference r:id="rId4" w:type="default"/>
      <w:pgSz w:w="11906" w:h="16838"/>
      <w:pgMar w:top="1440" w:right="1797" w:bottom="1440" w:left="1797"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14935" cy="131445"/>
              <wp:effectExtent l="0" t="0" r="0" b="0"/>
              <wp:wrapNone/>
              <wp:docPr id="2"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ffectLst/>
                    </wps:spPr>
                    <wps:txbx>
                      <w:txbxContent>
                        <w:p>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val="en-US" w:eastAsia="zh-CN"/>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0.35pt;width:9.05pt;mso-position-horizontal:center;mso-position-horizontal-relative:margin;mso-wrap-style:none;z-index:251657216;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D&#10;5X5J0AAAAAMBAAAPAAAAAAAAAAEAIAAAACIAAABkcnMvZG93bnJldi54bWxQSwECFAAUAAAACACH&#10;TuJAyXG2z/MBAADCAwAADgAAAAAAAAABACAAAAAfAQAAZHJzL2Uyb0RvYy54bWxQSwUGAAAAAAYA&#10;BgBZAQAAhAUAAAAA&#10;">
              <v:fill on="f" focussize="0,0"/>
              <v:stroke on="f"/>
              <v:imagedata o:title=""/>
              <o:lock v:ext="edit" aspectratio="f"/>
              <v:textbox inset="0mm,0mm,0mm,0mm" style="mso-fit-shape-to-text:t;">
                <w:txbxContent>
                  <w:p>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val="en-US" w:eastAsia="zh-CN"/>
                      </w:rP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pPr>
                            <w:pStyle w:val="3"/>
                          </w:pPr>
                          <w:r>
                            <w:fldChar w:fldCharType="begin"/>
                          </w:r>
                          <w:r>
                            <w:instrText xml:space="preserve"> PAGE  \* MERGEFORMAT </w:instrText>
                          </w:r>
                          <w:r>
                            <w:fldChar w:fldCharType="separate"/>
                          </w:r>
                          <w:r>
                            <w:t>18</w:t>
                          </w:r>
                          <w: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0.35pt;width:9.05pt;mso-position-horizontal:center;mso-position-horizontal-relative:margin;mso-wrap-style:none;z-index:251658240;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D5X5J0AAA&#10;AAMBAAAPAAAAAAAAAAEAIAAAACIAAABkcnMvZG93bnJldi54bWxQSwECFAAUAAAACACHTuJAB1gF&#10;Hu0BAAC0AwAADgAAAAAAAAABACAAAAAfAQAAZHJzL2Uyb0RvYy54bWxQSwUGAAAAAAYABgBZAQAA&#10;fgU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F6B3A"/>
    <w:multiLevelType w:val="singleLevel"/>
    <w:tmpl w:val="2CFF6B3A"/>
    <w:lvl w:ilvl="0" w:tentative="0">
      <w:start w:val="6"/>
      <w:numFmt w:val="chineseCounting"/>
      <w:suff w:val="nothing"/>
      <w:lvlText w:val="（%1）"/>
      <w:lvlJc w:val="left"/>
      <w:rPr>
        <w:rFonts w:hint="eastAsia"/>
      </w:rPr>
    </w:lvl>
  </w:abstractNum>
  <w:abstractNum w:abstractNumId="1">
    <w:nsid w:val="53D368A0"/>
    <w:multiLevelType w:val="singleLevel"/>
    <w:tmpl w:val="53D368A0"/>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906"/>
    <w:rsid w:val="00007C24"/>
    <w:rsid w:val="000127D5"/>
    <w:rsid w:val="00012C75"/>
    <w:rsid w:val="000136BE"/>
    <w:rsid w:val="00047D07"/>
    <w:rsid w:val="00057466"/>
    <w:rsid w:val="000652D6"/>
    <w:rsid w:val="0008607A"/>
    <w:rsid w:val="000A5EEC"/>
    <w:rsid w:val="000A7324"/>
    <w:rsid w:val="000B74A0"/>
    <w:rsid w:val="000F2040"/>
    <w:rsid w:val="0010609A"/>
    <w:rsid w:val="001271D3"/>
    <w:rsid w:val="00146346"/>
    <w:rsid w:val="00147B08"/>
    <w:rsid w:val="00147EC5"/>
    <w:rsid w:val="001551B0"/>
    <w:rsid w:val="0019605E"/>
    <w:rsid w:val="001A655D"/>
    <w:rsid w:val="00202702"/>
    <w:rsid w:val="00215DAD"/>
    <w:rsid w:val="00224674"/>
    <w:rsid w:val="00245906"/>
    <w:rsid w:val="00250B26"/>
    <w:rsid w:val="00253381"/>
    <w:rsid w:val="002724E6"/>
    <w:rsid w:val="002926E0"/>
    <w:rsid w:val="002D72DF"/>
    <w:rsid w:val="002E5662"/>
    <w:rsid w:val="00313853"/>
    <w:rsid w:val="00316F73"/>
    <w:rsid w:val="00351C91"/>
    <w:rsid w:val="00352C06"/>
    <w:rsid w:val="0037059A"/>
    <w:rsid w:val="003767CD"/>
    <w:rsid w:val="003852F8"/>
    <w:rsid w:val="003875B9"/>
    <w:rsid w:val="003936A7"/>
    <w:rsid w:val="003B59FF"/>
    <w:rsid w:val="003B7425"/>
    <w:rsid w:val="004021A2"/>
    <w:rsid w:val="004133B2"/>
    <w:rsid w:val="00413AE9"/>
    <w:rsid w:val="00417D86"/>
    <w:rsid w:val="00474B50"/>
    <w:rsid w:val="004A5351"/>
    <w:rsid w:val="004C1CF3"/>
    <w:rsid w:val="004D2CF0"/>
    <w:rsid w:val="004E19BB"/>
    <w:rsid w:val="004E70A9"/>
    <w:rsid w:val="00506D26"/>
    <w:rsid w:val="005162D7"/>
    <w:rsid w:val="00516F58"/>
    <w:rsid w:val="00554DED"/>
    <w:rsid w:val="00566179"/>
    <w:rsid w:val="00592CBF"/>
    <w:rsid w:val="00595827"/>
    <w:rsid w:val="005A3D2F"/>
    <w:rsid w:val="005A6E64"/>
    <w:rsid w:val="005C2885"/>
    <w:rsid w:val="005E57C4"/>
    <w:rsid w:val="005F1C79"/>
    <w:rsid w:val="005F64F8"/>
    <w:rsid w:val="00607061"/>
    <w:rsid w:val="006126F1"/>
    <w:rsid w:val="00617F37"/>
    <w:rsid w:val="00620A0B"/>
    <w:rsid w:val="00673D02"/>
    <w:rsid w:val="0067689B"/>
    <w:rsid w:val="00693049"/>
    <w:rsid w:val="006D5C83"/>
    <w:rsid w:val="006E1369"/>
    <w:rsid w:val="006F4E5C"/>
    <w:rsid w:val="0073150D"/>
    <w:rsid w:val="00733198"/>
    <w:rsid w:val="0075642F"/>
    <w:rsid w:val="00765C91"/>
    <w:rsid w:val="0078280F"/>
    <w:rsid w:val="00784436"/>
    <w:rsid w:val="007923E7"/>
    <w:rsid w:val="00795482"/>
    <w:rsid w:val="007A2706"/>
    <w:rsid w:val="007B6E1F"/>
    <w:rsid w:val="007C7CA2"/>
    <w:rsid w:val="007E4606"/>
    <w:rsid w:val="007F5781"/>
    <w:rsid w:val="00801E9F"/>
    <w:rsid w:val="00805687"/>
    <w:rsid w:val="00805B7C"/>
    <w:rsid w:val="00815857"/>
    <w:rsid w:val="00821136"/>
    <w:rsid w:val="00865D9E"/>
    <w:rsid w:val="00871DEC"/>
    <w:rsid w:val="00873118"/>
    <w:rsid w:val="00887A13"/>
    <w:rsid w:val="00895836"/>
    <w:rsid w:val="0089788F"/>
    <w:rsid w:val="008C01C7"/>
    <w:rsid w:val="008E27A5"/>
    <w:rsid w:val="008F6281"/>
    <w:rsid w:val="00912AC0"/>
    <w:rsid w:val="00920CC4"/>
    <w:rsid w:val="0093610E"/>
    <w:rsid w:val="0094734B"/>
    <w:rsid w:val="00966FA5"/>
    <w:rsid w:val="009736A1"/>
    <w:rsid w:val="009850A6"/>
    <w:rsid w:val="009C15BA"/>
    <w:rsid w:val="009C2D60"/>
    <w:rsid w:val="009D0066"/>
    <w:rsid w:val="009D17FD"/>
    <w:rsid w:val="009F39B9"/>
    <w:rsid w:val="00A06690"/>
    <w:rsid w:val="00A07A8F"/>
    <w:rsid w:val="00A3518A"/>
    <w:rsid w:val="00A4728B"/>
    <w:rsid w:val="00A646A7"/>
    <w:rsid w:val="00A86ADB"/>
    <w:rsid w:val="00A915B8"/>
    <w:rsid w:val="00A979EA"/>
    <w:rsid w:val="00AD368F"/>
    <w:rsid w:val="00AE107B"/>
    <w:rsid w:val="00B039BB"/>
    <w:rsid w:val="00B1743C"/>
    <w:rsid w:val="00B2213F"/>
    <w:rsid w:val="00B24D75"/>
    <w:rsid w:val="00B46696"/>
    <w:rsid w:val="00B4697A"/>
    <w:rsid w:val="00B81E61"/>
    <w:rsid w:val="00B911D1"/>
    <w:rsid w:val="00BB3468"/>
    <w:rsid w:val="00BB6D1E"/>
    <w:rsid w:val="00BB7136"/>
    <w:rsid w:val="00BD5A58"/>
    <w:rsid w:val="00BF2BAE"/>
    <w:rsid w:val="00C02726"/>
    <w:rsid w:val="00C34D77"/>
    <w:rsid w:val="00C365E8"/>
    <w:rsid w:val="00C4499E"/>
    <w:rsid w:val="00C47D4B"/>
    <w:rsid w:val="00C6170F"/>
    <w:rsid w:val="00C6289B"/>
    <w:rsid w:val="00C66681"/>
    <w:rsid w:val="00CB4960"/>
    <w:rsid w:val="00CB7B04"/>
    <w:rsid w:val="00CD7414"/>
    <w:rsid w:val="00CE4723"/>
    <w:rsid w:val="00CF6842"/>
    <w:rsid w:val="00D116D0"/>
    <w:rsid w:val="00D15556"/>
    <w:rsid w:val="00D20370"/>
    <w:rsid w:val="00D2548C"/>
    <w:rsid w:val="00D254CD"/>
    <w:rsid w:val="00D42681"/>
    <w:rsid w:val="00D50EB6"/>
    <w:rsid w:val="00DA1FA5"/>
    <w:rsid w:val="00DA2A25"/>
    <w:rsid w:val="00DA3F71"/>
    <w:rsid w:val="00DB24E5"/>
    <w:rsid w:val="00DD1C2E"/>
    <w:rsid w:val="00DE0112"/>
    <w:rsid w:val="00DF0872"/>
    <w:rsid w:val="00E04C68"/>
    <w:rsid w:val="00E04CC6"/>
    <w:rsid w:val="00E34D4D"/>
    <w:rsid w:val="00E53BA6"/>
    <w:rsid w:val="00EA3403"/>
    <w:rsid w:val="00EC5F35"/>
    <w:rsid w:val="00ED1457"/>
    <w:rsid w:val="00EF1CA4"/>
    <w:rsid w:val="00F02FEA"/>
    <w:rsid w:val="00F25D6C"/>
    <w:rsid w:val="00F27B13"/>
    <w:rsid w:val="00F3456D"/>
    <w:rsid w:val="00F43BCA"/>
    <w:rsid w:val="00F90680"/>
    <w:rsid w:val="00FD65AB"/>
    <w:rsid w:val="00FD6EF6"/>
    <w:rsid w:val="00FF4DAD"/>
    <w:rsid w:val="01DD6A68"/>
    <w:rsid w:val="01FE0744"/>
    <w:rsid w:val="023244C4"/>
    <w:rsid w:val="03C26D81"/>
    <w:rsid w:val="0411630A"/>
    <w:rsid w:val="06424C4C"/>
    <w:rsid w:val="06586C5F"/>
    <w:rsid w:val="06661F8B"/>
    <w:rsid w:val="06841840"/>
    <w:rsid w:val="0833107E"/>
    <w:rsid w:val="08A475FF"/>
    <w:rsid w:val="0AB30A76"/>
    <w:rsid w:val="0BF85C1E"/>
    <w:rsid w:val="10070CFB"/>
    <w:rsid w:val="10605BDF"/>
    <w:rsid w:val="10C1714F"/>
    <w:rsid w:val="149A144E"/>
    <w:rsid w:val="18F36E70"/>
    <w:rsid w:val="19F24C4B"/>
    <w:rsid w:val="1AC02C76"/>
    <w:rsid w:val="1B16608F"/>
    <w:rsid w:val="1DE725D0"/>
    <w:rsid w:val="1E5C42E0"/>
    <w:rsid w:val="1E9106BA"/>
    <w:rsid w:val="1E92035B"/>
    <w:rsid w:val="1FF329FF"/>
    <w:rsid w:val="20A10157"/>
    <w:rsid w:val="216D24D8"/>
    <w:rsid w:val="27093CA2"/>
    <w:rsid w:val="275058C3"/>
    <w:rsid w:val="27D24F0A"/>
    <w:rsid w:val="2BB307D4"/>
    <w:rsid w:val="2BDF50DE"/>
    <w:rsid w:val="2F5F1375"/>
    <w:rsid w:val="30B7094A"/>
    <w:rsid w:val="30D11A25"/>
    <w:rsid w:val="32F756E7"/>
    <w:rsid w:val="342417B7"/>
    <w:rsid w:val="38121E5A"/>
    <w:rsid w:val="38F20829"/>
    <w:rsid w:val="39E72376"/>
    <w:rsid w:val="3A3E58BA"/>
    <w:rsid w:val="3B0A393B"/>
    <w:rsid w:val="3C507628"/>
    <w:rsid w:val="3C8241B6"/>
    <w:rsid w:val="3FF037DC"/>
    <w:rsid w:val="412E567F"/>
    <w:rsid w:val="416E54EA"/>
    <w:rsid w:val="42AD5B92"/>
    <w:rsid w:val="42C6189B"/>
    <w:rsid w:val="42EC7478"/>
    <w:rsid w:val="44357D52"/>
    <w:rsid w:val="45304D44"/>
    <w:rsid w:val="454950F6"/>
    <w:rsid w:val="470F53DE"/>
    <w:rsid w:val="488D1AB3"/>
    <w:rsid w:val="4C2632BB"/>
    <w:rsid w:val="4C79444A"/>
    <w:rsid w:val="4D4271B8"/>
    <w:rsid w:val="4DA85EBC"/>
    <w:rsid w:val="4E664D80"/>
    <w:rsid w:val="4EF01125"/>
    <w:rsid w:val="4F1239D8"/>
    <w:rsid w:val="52F86B62"/>
    <w:rsid w:val="53EE684F"/>
    <w:rsid w:val="53FE7BE7"/>
    <w:rsid w:val="55066EAE"/>
    <w:rsid w:val="55D9222B"/>
    <w:rsid w:val="565B26E9"/>
    <w:rsid w:val="586C08B5"/>
    <w:rsid w:val="59DA5A2C"/>
    <w:rsid w:val="5B8204C6"/>
    <w:rsid w:val="5BAA78F8"/>
    <w:rsid w:val="5BC832E9"/>
    <w:rsid w:val="6167728E"/>
    <w:rsid w:val="617B79C8"/>
    <w:rsid w:val="620F128A"/>
    <w:rsid w:val="628332B5"/>
    <w:rsid w:val="62D82604"/>
    <w:rsid w:val="63485318"/>
    <w:rsid w:val="634A1D48"/>
    <w:rsid w:val="63D44A2C"/>
    <w:rsid w:val="6465627E"/>
    <w:rsid w:val="66170043"/>
    <w:rsid w:val="665E64C0"/>
    <w:rsid w:val="67122343"/>
    <w:rsid w:val="68671F60"/>
    <w:rsid w:val="6ADC5644"/>
    <w:rsid w:val="6B1A34AB"/>
    <w:rsid w:val="6B1B36B2"/>
    <w:rsid w:val="6C7975DE"/>
    <w:rsid w:val="6DF36FAC"/>
    <w:rsid w:val="6E842955"/>
    <w:rsid w:val="70A8378F"/>
    <w:rsid w:val="72652081"/>
    <w:rsid w:val="73345234"/>
    <w:rsid w:val="75E12B8E"/>
    <w:rsid w:val="77A76F61"/>
    <w:rsid w:val="78503130"/>
    <w:rsid w:val="79194EEC"/>
    <w:rsid w:val="79597CC5"/>
    <w:rsid w:val="79817368"/>
    <w:rsid w:val="7AFE3D61"/>
    <w:rsid w:val="7B2D250C"/>
    <w:rsid w:val="7B5C558E"/>
    <w:rsid w:val="7C09538E"/>
    <w:rsid w:val="7CA04D2F"/>
    <w:rsid w:val="7CE611F4"/>
    <w:rsid w:val="7E0C0E55"/>
    <w:rsid w:val="7FF10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link w:val="7"/>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Char1"/>
    <w:basedOn w:val="1"/>
    <w:link w:val="6"/>
    <w:semiHidden/>
    <w:qFormat/>
    <w:uiPriority w:val="0"/>
    <w:rPr>
      <w:rFonts w:ascii="仿宋_GB2312" w:eastAsia="仿宋_GB2312"/>
      <w:b/>
      <w:sz w:val="32"/>
      <w:szCs w:val="32"/>
    </w:rPr>
  </w:style>
  <w:style w:type="character" w:customStyle="1" w:styleId="8">
    <w:name w:val="font81"/>
    <w:qFormat/>
    <w:uiPriority w:val="0"/>
    <w:rPr>
      <w:rFonts w:hint="eastAsia" w:ascii="宋体" w:hAnsi="宋体" w:eastAsia="宋体" w:cs="宋体"/>
      <w:b/>
      <w:color w:val="000000"/>
      <w:sz w:val="20"/>
      <w:szCs w:val="20"/>
      <w:u w:val="none"/>
    </w:rPr>
  </w:style>
  <w:style w:type="character" w:customStyle="1" w:styleId="9">
    <w:name w:val="批注框文本 Char"/>
    <w:link w:val="2"/>
    <w:qFormat/>
    <w:uiPriority w:val="0"/>
    <w:rPr>
      <w:kern w:val="2"/>
      <w:sz w:val="18"/>
      <w:szCs w:val="18"/>
    </w:rPr>
  </w:style>
  <w:style w:type="character" w:customStyle="1" w:styleId="10">
    <w:name w:val="font91"/>
    <w:qFormat/>
    <w:uiPriority w:val="0"/>
    <w:rPr>
      <w:rFonts w:hint="eastAsia" w:ascii="宋体" w:hAnsi="宋体" w:eastAsia="宋体" w:cs="宋体"/>
      <w:b/>
      <w:color w:val="000000"/>
      <w:sz w:val="32"/>
      <w:szCs w:val="32"/>
      <w:u w:val="none"/>
    </w:rPr>
  </w:style>
  <w:style w:type="character" w:customStyle="1" w:styleId="11">
    <w:name w:val="页眉 Char"/>
    <w:link w:val="4"/>
    <w:qFormat/>
    <w:uiPriority w:val="0"/>
    <w:rPr>
      <w:kern w:val="2"/>
      <w:sz w:val="18"/>
      <w:szCs w:val="18"/>
    </w:rPr>
  </w:style>
  <w:style w:type="character" w:customStyle="1" w:styleId="12">
    <w:name w:val="页脚 Char"/>
    <w:link w:val="3"/>
    <w:qFormat/>
    <w:uiPriority w:val="0"/>
    <w:rPr>
      <w:kern w:val="2"/>
      <w:sz w:val="18"/>
      <w:szCs w:val="18"/>
    </w:rPr>
  </w:style>
  <w:style w:type="character" w:customStyle="1" w:styleId="13">
    <w:name w:val="font31"/>
    <w:qFormat/>
    <w:uiPriority w:val="0"/>
    <w:rPr>
      <w:rFonts w:hint="eastAsia" w:ascii="宋体" w:hAnsi="宋体" w:eastAsia="宋体" w:cs="宋体"/>
      <w:b/>
      <w:color w:val="000000"/>
      <w:sz w:val="20"/>
      <w:szCs w:val="20"/>
      <w:u w:val="none"/>
    </w:rPr>
  </w:style>
  <w:style w:type="character" w:customStyle="1" w:styleId="14">
    <w:name w:val="font71"/>
    <w:qFormat/>
    <w:uiPriority w:val="0"/>
    <w:rPr>
      <w:rFonts w:hint="eastAsia" w:ascii="宋体" w:hAnsi="宋体" w:eastAsia="宋体" w:cs="宋体"/>
      <w:color w:val="000000"/>
      <w:sz w:val="20"/>
      <w:szCs w:val="20"/>
      <w:u w:val="none"/>
    </w:rPr>
  </w:style>
  <w:style w:type="paragraph" w:customStyle="1" w:styleId="15">
    <w:name w:val="Default"/>
    <w:basedOn w:val="1"/>
    <w:qFormat/>
    <w:uiPriority w:val="0"/>
    <w:pPr>
      <w:keepNext w:val="0"/>
      <w:keepLines w:val="0"/>
      <w:widowControl w:val="0"/>
      <w:suppressLineNumbers w:val="0"/>
      <w:autoSpaceDE w:val="0"/>
      <w:autoSpaceDN w:val="0"/>
      <w:adjustRightInd w:val="0"/>
      <w:spacing w:before="0" w:beforeAutospacing="0" w:after="0" w:afterAutospacing="0"/>
      <w:ind w:left="0" w:right="0"/>
      <w:jc w:val="left"/>
    </w:pPr>
    <w:rPr>
      <w:rFonts w:hint="eastAsia" w:ascii="仿宋_GB2312" w:hAnsi="仿宋_GB2312" w:eastAsia="宋体" w:cs="仿宋_GB2312"/>
      <w:color w:val="000000"/>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18</Pages>
  <Words>706</Words>
  <Characters>4028</Characters>
  <Lines>33</Lines>
  <Paragraphs>9</Paragraphs>
  <TotalTime>56</TotalTime>
  <ScaleCrop>false</ScaleCrop>
  <LinksUpToDate>false</LinksUpToDate>
  <CharactersWithSpaces>4725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2023-08-21T02:59:00Z</dcterms:created>
  <dc:creator>石彦珍</dc:creator>
  <cp:lastModifiedBy>Administrator</cp:lastModifiedBy>
  <cp:lastPrinted>2022-08-24T06:19:00Z</cp:lastPrinted>
  <dcterms:modified xsi:type="dcterms:W3CDTF">2023-08-31T00:48:13Z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5F48FCC1A9204711B05FD68E157E9AE0</vt:lpwstr>
  </property>
</Properties>
</file>