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D4" w:rsidRDefault="00F746D4" w:rsidP="00F746D4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北京市西城区生态环境局</w:t>
      </w:r>
    </w:p>
    <w:p w:rsidR="00F746D4" w:rsidRDefault="00F746D4" w:rsidP="00F746D4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2022年度部门决算公开说明</w:t>
      </w:r>
    </w:p>
    <w:p w:rsidR="00F746D4" w:rsidRDefault="00F746D4" w:rsidP="00F746D4">
      <w:pPr>
        <w:snapToGrid w:val="0"/>
        <w:ind w:firstLineChars="200" w:firstLine="64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一、部门职责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西城区生态环境局是西城区人民政府环境保护行政主管部门，对本辖区的环境保护工作实施统一监督管理。其主要职能是：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1、负责建立健全本区生态环境基本制度。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2、负责本区重大生态环境问题的统筹协调和监督管理。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3、负责监督管理本区污染减排目标的落实。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4、负责提出本区生态环境领域固定资产投资方向、规模建议。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5、负责本区环境污染防治的监督管理。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6、指导协调和监督本区生态环境保护修复工作。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7、负责本区辐射安全的监督管理。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8、负责本区生态环境准入的监督管理。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9、负责本区生态环境监测和信息发布工作。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10、开展本区应对气候变化工作。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11、组织开展本区生态环境保护督察工作。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12、组织、指导和协调本区生态环境保护宣传教育工作。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13、负责组织开展生态环境监督执法。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14、负责指导、监督检查本区生态环境工作。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15、按照“管行业必须管安全、管业务必须管安全、管生产经营必须管安全”的要求，承担相关安全生产工作职责。</w:t>
      </w:r>
    </w:p>
    <w:p w:rsidR="00F746D4" w:rsidRDefault="00F746D4" w:rsidP="00F746D4">
      <w:pPr>
        <w:snapToGrid w:val="0"/>
        <w:ind w:firstLineChars="200" w:firstLine="640"/>
        <w:rPr>
          <w:rFonts w:ascii="华文中宋" w:eastAsia="华文中宋" w:hAnsi="华文中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16、完成区委、区政府交办的其他任务。 </w:t>
      </w:r>
    </w:p>
    <w:p w:rsidR="00F746D4" w:rsidRDefault="00F746D4" w:rsidP="00F746D4">
      <w:pPr>
        <w:numPr>
          <w:ilvl w:val="0"/>
          <w:numId w:val="1"/>
        </w:num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机构设置</w:t>
      </w:r>
    </w:p>
    <w:p w:rsidR="00F746D4" w:rsidRDefault="00F746D4" w:rsidP="00F746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北京市西城区生态环境局是区政府组成部门，内设科室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如下：局长、副局长、办公室、综合科、行政审批科（法制科）、大气环境管理科、污染源管理科、环境安全管理科（安全生产办公室、区环境污染突发事件应急办公室）、督察科、人事财务科、离退休干部科、机关党委、北京市西城区生态环境综合执法大队、北京市西城区环境保护监测站、北京市西城区环保宣传教育科技中心、北京市西城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煤改电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管理中心。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华文中宋" w:eastAsia="华文中宋" w:hAnsi="华文中宋" w:cs="华文中宋"/>
          <w:sz w:val="32"/>
          <w:szCs w:val="32"/>
        </w:rPr>
      </w:pPr>
      <w:bookmarkStart w:id="0" w:name="YS060102"/>
      <w:r>
        <w:rPr>
          <w:rFonts w:ascii="华文中宋" w:eastAsia="华文中宋" w:hAnsi="华文中宋" w:cs="华文中宋" w:hint="eastAsia"/>
          <w:sz w:val="32"/>
          <w:szCs w:val="32"/>
        </w:rPr>
        <w:t>三、预决算收支增减变化</w:t>
      </w:r>
    </w:p>
    <w:bookmarkEnd w:id="0"/>
    <w:p w:rsidR="00F746D4" w:rsidRPr="00605773" w:rsidRDefault="00F746D4" w:rsidP="00F746D4">
      <w:pPr>
        <w:spacing w:line="560" w:lineRule="exact"/>
        <w:ind w:firstLine="600"/>
        <w:rPr>
          <w:rFonts w:ascii="仿宋_GB2312" w:eastAsia="仿宋_GB2312" w:hAnsi="Batang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北京市西城区生态环境局</w:t>
      </w:r>
      <w:r w:rsidR="00E114C8">
        <w:rPr>
          <w:rFonts w:ascii="仿宋_GB2312" w:eastAsia="仿宋_GB2312" w:hAnsi="Batang" w:hint="eastAsia"/>
          <w:sz w:val="32"/>
          <w:szCs w:val="32"/>
        </w:rPr>
        <w:t>2022年</w:t>
      </w:r>
      <w:r w:rsidRPr="00605773">
        <w:rPr>
          <w:rFonts w:ascii="仿宋_GB2312" w:eastAsia="仿宋_GB2312" w:hAnsi="Batang" w:hint="eastAsia"/>
          <w:sz w:val="32"/>
          <w:szCs w:val="32"/>
        </w:rPr>
        <w:t>总支出安排</w:t>
      </w:r>
      <w:r w:rsidRPr="006967A2">
        <w:rPr>
          <w:rFonts w:ascii="仿宋_GB2312" w:eastAsia="仿宋_GB2312" w:hAnsi="Batang"/>
          <w:sz w:val="32"/>
          <w:szCs w:val="32"/>
        </w:rPr>
        <w:t>24,807.8</w:t>
      </w:r>
      <w:r>
        <w:rPr>
          <w:rFonts w:ascii="仿宋_GB2312" w:eastAsia="仿宋_GB2312" w:hAnsi="Batang" w:hint="eastAsia"/>
          <w:sz w:val="32"/>
          <w:szCs w:val="32"/>
        </w:rPr>
        <w:t>7</w:t>
      </w:r>
      <w:r w:rsidRPr="00605773">
        <w:rPr>
          <w:rFonts w:ascii="仿宋_GB2312" w:eastAsia="仿宋_GB2312" w:hAnsi="Batang" w:hint="eastAsia"/>
          <w:sz w:val="32"/>
          <w:szCs w:val="32"/>
        </w:rPr>
        <w:t>万元。其中：预算内资金安排</w:t>
      </w:r>
      <w:r>
        <w:rPr>
          <w:rFonts w:ascii="仿宋_GB2312" w:eastAsia="仿宋_GB2312" w:hAnsi="Batang" w:hint="eastAsia"/>
          <w:sz w:val="32"/>
          <w:szCs w:val="32"/>
        </w:rPr>
        <w:t>14</w:t>
      </w:r>
      <w:r w:rsidRPr="006967A2">
        <w:rPr>
          <w:rFonts w:ascii="仿宋_GB2312" w:eastAsia="仿宋_GB2312" w:hAnsi="Batang"/>
          <w:sz w:val="32"/>
          <w:szCs w:val="32"/>
        </w:rPr>
        <w:t>,</w:t>
      </w:r>
      <w:r>
        <w:rPr>
          <w:rFonts w:ascii="仿宋_GB2312" w:eastAsia="仿宋_GB2312" w:hAnsi="Batang" w:hint="eastAsia"/>
          <w:sz w:val="32"/>
          <w:szCs w:val="32"/>
        </w:rPr>
        <w:t>698.87</w:t>
      </w:r>
      <w:r w:rsidRPr="00605773">
        <w:rPr>
          <w:rFonts w:ascii="仿宋_GB2312" w:eastAsia="仿宋_GB2312" w:hAnsi="Batang" w:hint="eastAsia"/>
          <w:sz w:val="32"/>
          <w:szCs w:val="32"/>
        </w:rPr>
        <w:t>万元，财政专户资金安排</w:t>
      </w:r>
      <w:r>
        <w:rPr>
          <w:rFonts w:ascii="仿宋_GB2312" w:eastAsia="仿宋_GB2312" w:hAnsi="Batang" w:hint="eastAsia"/>
          <w:sz w:val="32"/>
          <w:szCs w:val="32"/>
        </w:rPr>
        <w:t>0</w:t>
      </w:r>
      <w:r w:rsidRPr="00605773">
        <w:rPr>
          <w:rFonts w:ascii="仿宋_GB2312" w:eastAsia="仿宋_GB2312" w:hAnsi="Batang" w:hint="eastAsia"/>
          <w:sz w:val="32"/>
          <w:szCs w:val="32"/>
        </w:rPr>
        <w:t>万元，其他资金安排</w:t>
      </w:r>
      <w:r>
        <w:rPr>
          <w:rFonts w:ascii="仿宋_GB2312" w:eastAsia="仿宋_GB2312" w:hAnsi="Batang" w:hint="eastAsia"/>
          <w:sz w:val="32"/>
          <w:szCs w:val="32"/>
        </w:rPr>
        <w:t>0</w:t>
      </w:r>
      <w:r w:rsidRPr="00605773">
        <w:rPr>
          <w:rFonts w:ascii="仿宋_GB2312" w:eastAsia="仿宋_GB2312" w:hAnsi="Batang" w:hint="eastAsia"/>
          <w:sz w:val="32"/>
          <w:szCs w:val="32"/>
        </w:rPr>
        <w:t>万元，市级提前下达专项转移支付项目资金安排</w:t>
      </w:r>
      <w:r>
        <w:rPr>
          <w:rFonts w:ascii="仿宋_GB2312" w:eastAsia="仿宋_GB2312" w:hAnsi="Batang" w:hint="eastAsia"/>
          <w:sz w:val="32"/>
          <w:szCs w:val="32"/>
        </w:rPr>
        <w:t>10,109</w:t>
      </w:r>
      <w:r w:rsidRPr="00605773">
        <w:rPr>
          <w:rFonts w:ascii="仿宋_GB2312" w:eastAsia="仿宋_GB2312" w:hAnsi="Batang" w:hint="eastAsia"/>
          <w:sz w:val="32"/>
          <w:szCs w:val="32"/>
        </w:rPr>
        <w:t>万元。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</w:rPr>
        <w:t>2022年</w:t>
      </w:r>
      <w:proofErr w:type="gramStart"/>
      <w:r>
        <w:rPr>
          <w:rFonts w:ascii="仿宋_GB2312" w:eastAsia="仿宋_GB2312" w:hint="eastAsia"/>
          <w:sz w:val="32"/>
        </w:rPr>
        <w:t>末决</w:t>
      </w:r>
      <w:proofErr w:type="gramEnd"/>
      <w:r>
        <w:rPr>
          <w:rFonts w:ascii="仿宋_GB2312" w:eastAsia="仿宋_GB2312" w:hint="eastAsia"/>
          <w:sz w:val="32"/>
        </w:rPr>
        <w:t>算总支出安排15167.6万元，减少了9640.27万元。</w:t>
      </w:r>
      <w:r>
        <w:rPr>
          <w:rFonts w:ascii="仿宋_GB2312" w:eastAsia="仿宋_GB2312" w:hAnsi="仿宋" w:hint="eastAsia"/>
          <w:sz w:val="32"/>
          <w:szCs w:val="32"/>
        </w:rPr>
        <w:t>预决算差异较大的主要为大气科目，预算批复了10000万元2022年提前下达的市级污染防治专项转移支付资金，后分配给我单位在内的相关单位。</w:t>
      </w:r>
    </w:p>
    <w:tbl>
      <w:tblPr>
        <w:tblW w:w="8715" w:type="dxa"/>
        <w:tblInd w:w="93" w:type="dxa"/>
        <w:tblLook w:val="0000" w:firstRow="0" w:lastRow="0" w:firstColumn="0" w:lastColumn="0" w:noHBand="0" w:noVBand="0"/>
      </w:tblPr>
      <w:tblGrid>
        <w:gridCol w:w="1440"/>
        <w:gridCol w:w="2595"/>
        <w:gridCol w:w="1515"/>
        <w:gridCol w:w="1515"/>
        <w:gridCol w:w="1650"/>
      </w:tblGrid>
      <w:tr w:rsidR="00F746D4" w:rsidTr="005D4164">
        <w:trPr>
          <w:trHeight w:val="5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功能科目代码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功能科目名称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预算金额（元）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决算金额（元）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差额（元）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2050803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培训支出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130917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-130917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2080501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行政单位离退休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926292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851126.92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-75165.08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2080502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事业单位离退休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83204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78924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-4280</w:t>
            </w:r>
          </w:p>
        </w:tc>
      </w:tr>
      <w:tr w:rsidR="00F746D4" w:rsidTr="005D4164">
        <w:trPr>
          <w:trHeight w:val="5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2080505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机关事业单位基本养老保险缴费支出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3925523.2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3595203.99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-330319.21</w:t>
            </w:r>
          </w:p>
        </w:tc>
      </w:tr>
      <w:tr w:rsidR="00F746D4" w:rsidTr="005D4164">
        <w:trPr>
          <w:trHeight w:val="5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2080506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机关事业单位职业年金缴费支出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1962761.6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1786330.96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-176430.64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2080801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死亡抚恤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483168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483168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2101101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行政单位医疗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2216381.96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2855688.05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639306.09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2101102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事业单位医疗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973105.64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973105.64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2110101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行政运行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32329315.34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35566101.39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3236786.05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2110102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一般行政管理事务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10443545.45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9682358.19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-761187.26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2110104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生态环境保护宣传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664530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562133.91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-102396.09</w:t>
            </w:r>
          </w:p>
        </w:tc>
      </w:tr>
      <w:tr w:rsidR="00F746D4" w:rsidTr="005D4164">
        <w:trPr>
          <w:trHeight w:val="5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2110105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环境保护法规、规划及标准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324240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324240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2110107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生态环境保护行政许可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925750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924350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-1400</w:t>
            </w:r>
          </w:p>
        </w:tc>
      </w:tr>
      <w:tr w:rsidR="00F746D4" w:rsidTr="005D4164">
        <w:trPr>
          <w:trHeight w:val="5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2110299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其他环境监测与监察支出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7170805.9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6985115.36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-185690.54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2110301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大气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169923162.5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69917754.08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-100005408.4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2110302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水体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768036.02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753389.55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-14646.47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2110307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土壤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-1500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2111102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生态环境执法监察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8705000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8545800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-159200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2111103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减排专项支出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2210201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住房公积金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3295994.4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3906144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610149.6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2210202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提租补贴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F746D4" w:rsidTr="005D4164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2210203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购房补贴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3084708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3661116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6D4" w:rsidRDefault="00F746D4" w:rsidP="005D416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576408</w:t>
            </w:r>
          </w:p>
        </w:tc>
      </w:tr>
    </w:tbl>
    <w:p w:rsidR="00F746D4" w:rsidRDefault="00F746D4" w:rsidP="00F746D4">
      <w:pPr>
        <w:rPr>
          <w:rFonts w:ascii="仿宋" w:eastAsia="仿宋" w:hAnsi="仿宋" w:cs="仿宋"/>
          <w:sz w:val="32"/>
          <w:szCs w:val="32"/>
        </w:rPr>
      </w:pPr>
    </w:p>
    <w:p w:rsidR="00F746D4" w:rsidRDefault="00F746D4" w:rsidP="00F746D4">
      <w:pPr>
        <w:numPr>
          <w:ilvl w:val="0"/>
          <w:numId w:val="2"/>
        </w:numPr>
        <w:snapToGrid w:val="0"/>
        <w:spacing w:line="520" w:lineRule="exact"/>
        <w:ind w:leftChars="304" w:left="638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机关运行经费安排</w:t>
      </w:r>
    </w:p>
    <w:p w:rsidR="00F746D4" w:rsidRDefault="00F746D4" w:rsidP="00F746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2022年机关运行经费1876062.91元，其中办公费</w:t>
      </w:r>
    </w:p>
    <w:p w:rsidR="00F746D4" w:rsidRDefault="00F746D4" w:rsidP="00F746D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134843.36元，水费14269元，电费134883.62元，邮电费5750.96元，维修（护）费34684元，劳务费11600元，委托业务费2500元，工会经费440125.84元，福利费457319.04元，公务用车运行维护费16158.76元，其他交通费用5920元，税金近附加费用447066.48元，其他商品和服务支出170941.85元。 </w:t>
      </w:r>
    </w:p>
    <w:p w:rsidR="00F746D4" w:rsidRDefault="00F746D4" w:rsidP="00F746D4">
      <w:pPr>
        <w:snapToGrid w:val="0"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华文中宋" w:eastAsia="华文中宋" w:hAnsi="华文中宋" w:cs="华文中宋" w:hint="eastAsia"/>
          <w:sz w:val="32"/>
          <w:szCs w:val="32"/>
        </w:rPr>
        <w:t xml:space="preserve"> 五、一般公共预算财政拨款“三公”经费支出情况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202</w:t>
      </w:r>
      <w:r w:rsidR="00246363">
        <w:rPr>
          <w:rFonts w:ascii="仿宋_GB2312" w:eastAsia="仿宋_GB2312" w:hAnsi="仿宋" w:cs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年“</w:t>
      </w:r>
      <w:r>
        <w:rPr>
          <w:rFonts w:ascii="仿宋_GB2312" w:eastAsia="仿宋_GB2312" w:hAnsi="仿宋" w:cs="仿宋"/>
          <w:color w:val="000000"/>
          <w:sz w:val="32"/>
          <w:szCs w:val="32"/>
        </w:rPr>
        <w:t>三公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”</w:t>
      </w:r>
      <w:r>
        <w:rPr>
          <w:rFonts w:ascii="仿宋_GB2312" w:eastAsia="仿宋_GB2312" w:hAnsi="仿宋" w:cs="仿宋"/>
          <w:color w:val="000000"/>
          <w:sz w:val="32"/>
          <w:szCs w:val="32"/>
        </w:rPr>
        <w:t>经费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预算</w:t>
      </w:r>
      <w:r>
        <w:rPr>
          <w:rFonts w:ascii="仿宋_GB2312" w:eastAsia="仿宋_GB2312" w:hAnsi="仿宋" w:cs="仿宋"/>
          <w:color w:val="000000"/>
          <w:sz w:val="32"/>
          <w:szCs w:val="32"/>
        </w:rPr>
        <w:t>数</w:t>
      </w:r>
      <w:r w:rsidR="00246363">
        <w:rPr>
          <w:rFonts w:ascii="仿宋_GB2312" w:eastAsia="仿宋_GB2312" w:hAnsi="仿宋" w:cs="仿宋" w:hint="eastAsia"/>
          <w:color w:val="000000"/>
          <w:sz w:val="32"/>
          <w:szCs w:val="32"/>
        </w:rPr>
        <w:t>349500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元</w:t>
      </w:r>
      <w:r>
        <w:rPr>
          <w:rFonts w:ascii="仿宋_GB2312" w:eastAsia="仿宋_GB2312" w:hAnsi="仿宋" w:cs="仿宋"/>
          <w:color w:val="000000"/>
          <w:sz w:val="32"/>
          <w:szCs w:val="32"/>
        </w:rPr>
        <w:t>，</w:t>
      </w:r>
      <w:r w:rsidR="00246363">
        <w:rPr>
          <w:rFonts w:ascii="仿宋_GB2312" w:eastAsia="仿宋_GB2312" w:hAnsi="仿宋" w:cs="仿宋" w:hint="eastAsia"/>
          <w:color w:val="000000"/>
          <w:sz w:val="32"/>
          <w:szCs w:val="32"/>
        </w:rPr>
        <w:t>2022年决算数246801.82元，2022年决算比预算减少102698.18元。2021年决算数438493.48元，2022年决算比2021年决算数减少191691.66元。</w:t>
      </w:r>
    </w:p>
    <w:tbl>
      <w:tblPr>
        <w:tblW w:w="7632" w:type="dxa"/>
        <w:tblInd w:w="108" w:type="dxa"/>
        <w:tblLook w:val="0000" w:firstRow="0" w:lastRow="0" w:firstColumn="0" w:lastColumn="0" w:noHBand="0" w:noVBand="0"/>
      </w:tblPr>
      <w:tblGrid>
        <w:gridCol w:w="2500"/>
        <w:gridCol w:w="890"/>
        <w:gridCol w:w="1416"/>
        <w:gridCol w:w="1296"/>
        <w:gridCol w:w="1530"/>
      </w:tblGrid>
      <w:tr w:rsidR="00246363" w:rsidTr="00E476CA">
        <w:trPr>
          <w:trHeight w:val="300"/>
        </w:trPr>
        <w:tc>
          <w:tcPr>
            <w:tcW w:w="7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一般公共预算“三公”经费支出情况表</w:t>
            </w:r>
          </w:p>
        </w:tc>
      </w:tr>
      <w:tr w:rsidR="00246363" w:rsidTr="00E476CA">
        <w:trPr>
          <w:trHeight w:val="84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行次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2022年初预算批复数（元）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2022年决算数（元）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2021年决算数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</w:tr>
      <w:tr w:rsidR="00246363" w:rsidTr="00E476C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349500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246801.82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438493.48</w:t>
            </w:r>
          </w:p>
        </w:tc>
      </w:tr>
      <w:tr w:rsidR="00246363" w:rsidTr="00E476C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因公出国（境）费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246363" w:rsidTr="00E476C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公务用车购置费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226800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363" w:rsidRDefault="00246363" w:rsidP="00E476C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406680</w:t>
            </w:r>
          </w:p>
        </w:tc>
      </w:tr>
      <w:tr w:rsidR="00246363" w:rsidTr="00E476C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公务用车运行维护费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20001.82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31813.48</w:t>
            </w:r>
          </w:p>
        </w:tc>
      </w:tr>
      <w:tr w:rsidR="00246363" w:rsidTr="00E476C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公务接待费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363" w:rsidRDefault="00246363" w:rsidP="00E476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46363" w:rsidRDefault="00246363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六、政府采购执行情况说明</w:t>
      </w:r>
    </w:p>
    <w:p w:rsidR="00F746D4" w:rsidRDefault="00F746D4" w:rsidP="00F746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B064A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年政府采购合计支出</w:t>
      </w:r>
      <w:r w:rsidR="00B064A3">
        <w:rPr>
          <w:rFonts w:ascii="仿宋" w:eastAsia="仿宋" w:hAnsi="仿宋" w:cs="仿宋" w:hint="eastAsia"/>
          <w:sz w:val="32"/>
          <w:szCs w:val="32"/>
        </w:rPr>
        <w:t>34642143.36</w:t>
      </w:r>
      <w:r>
        <w:rPr>
          <w:rFonts w:ascii="仿宋" w:eastAsia="仿宋" w:hAnsi="仿宋" w:cs="仿宋" w:hint="eastAsia"/>
          <w:sz w:val="32"/>
          <w:szCs w:val="32"/>
        </w:rPr>
        <w:t>元，其中采购货物</w:t>
      </w:r>
      <w:r w:rsidR="00E114C8">
        <w:rPr>
          <w:rFonts w:ascii="仿宋" w:eastAsia="仿宋" w:hAnsi="仿宋" w:cs="仿宋" w:hint="eastAsia"/>
          <w:sz w:val="32"/>
          <w:szCs w:val="32"/>
        </w:rPr>
        <w:t>支</w:t>
      </w:r>
      <w:r>
        <w:rPr>
          <w:rFonts w:ascii="仿宋" w:eastAsia="仿宋" w:hAnsi="仿宋" w:cs="仿宋" w:hint="eastAsia"/>
          <w:sz w:val="32"/>
          <w:szCs w:val="32"/>
        </w:rPr>
        <w:t>出</w:t>
      </w:r>
      <w:r w:rsidR="00B064A3">
        <w:rPr>
          <w:rFonts w:ascii="仿宋" w:eastAsia="仿宋" w:hAnsi="仿宋" w:cs="仿宋" w:hint="eastAsia"/>
          <w:sz w:val="32"/>
          <w:szCs w:val="32"/>
        </w:rPr>
        <w:t>2191650</w:t>
      </w:r>
      <w:r>
        <w:rPr>
          <w:rFonts w:ascii="仿宋" w:eastAsia="仿宋" w:hAnsi="仿宋" w:cs="仿宋" w:hint="eastAsia"/>
          <w:sz w:val="32"/>
          <w:szCs w:val="32"/>
        </w:rPr>
        <w:t>元，采购</w:t>
      </w: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>服务支出</w:t>
      </w:r>
      <w:r w:rsidR="00B064A3">
        <w:rPr>
          <w:rFonts w:ascii="仿宋" w:eastAsia="仿宋" w:hAnsi="仿宋" w:cs="仿宋" w:hint="eastAsia"/>
          <w:sz w:val="32"/>
          <w:szCs w:val="32"/>
        </w:rPr>
        <w:t>32450493.36</w:t>
      </w:r>
      <w:r>
        <w:rPr>
          <w:rFonts w:ascii="仿宋" w:eastAsia="仿宋" w:hAnsi="仿宋" w:cs="仿宋" w:hint="eastAsia"/>
          <w:sz w:val="32"/>
          <w:szCs w:val="32"/>
        </w:rPr>
        <w:t>元。政府采购授予中小企业合同金额</w:t>
      </w:r>
      <w:r w:rsidR="00B064A3">
        <w:rPr>
          <w:rFonts w:ascii="仿宋" w:eastAsia="仿宋" w:hAnsi="仿宋" w:cs="仿宋" w:hint="eastAsia"/>
          <w:sz w:val="32"/>
          <w:szCs w:val="32"/>
        </w:rPr>
        <w:t>30956513.81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F746D4" w:rsidRDefault="00F746D4" w:rsidP="00F746D4">
      <w:pPr>
        <w:ind w:firstLineChars="200" w:firstLine="640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七、政府购买服务情况说明</w:t>
      </w:r>
    </w:p>
    <w:p w:rsidR="00F746D4" w:rsidRDefault="00F746D4" w:rsidP="00F746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24636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年政府购买服务涉及项目</w:t>
      </w:r>
      <w:r w:rsidR="00246363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个，总金额</w:t>
      </w:r>
      <w:r w:rsidR="00246363">
        <w:rPr>
          <w:rFonts w:ascii="仿宋" w:eastAsia="仿宋" w:hAnsi="仿宋" w:cs="仿宋" w:hint="eastAsia"/>
          <w:sz w:val="32"/>
          <w:szCs w:val="32"/>
        </w:rPr>
        <w:t>3245.05</w:t>
      </w:r>
      <w:r>
        <w:rPr>
          <w:rFonts w:ascii="仿宋" w:eastAsia="仿宋" w:hAnsi="仿宋" w:cs="仿宋" w:hint="eastAsia"/>
          <w:sz w:val="32"/>
          <w:szCs w:val="32"/>
        </w:rPr>
        <w:t>万元。其中</w:t>
      </w:r>
      <w:r w:rsidR="00246363">
        <w:rPr>
          <w:rFonts w:ascii="仿宋" w:eastAsia="仿宋" w:hAnsi="仿宋" w:cs="仿宋" w:hint="eastAsia"/>
          <w:sz w:val="32"/>
          <w:szCs w:val="32"/>
        </w:rPr>
        <w:t>生态保护</w:t>
      </w:r>
      <w:r w:rsidR="00E114C8">
        <w:rPr>
          <w:rFonts w:ascii="仿宋" w:eastAsia="仿宋" w:hAnsi="仿宋" w:cs="仿宋" w:hint="eastAsia"/>
          <w:sz w:val="32"/>
          <w:szCs w:val="32"/>
        </w:rPr>
        <w:t>和</w:t>
      </w:r>
      <w:r w:rsidR="00246363">
        <w:rPr>
          <w:rFonts w:ascii="仿宋" w:eastAsia="仿宋" w:hAnsi="仿宋" w:cs="仿宋" w:hint="eastAsia"/>
          <w:sz w:val="32"/>
          <w:szCs w:val="32"/>
        </w:rPr>
        <w:t>环境治理服务2892.89万元，公共信息与宣传服务17.21万元，技术性公共服务269.18万元，法律服务8.25万元，课题研究和社会调查服务32.42万元，信息化服务14.8</w:t>
      </w:r>
      <w:r w:rsidR="00071E1B">
        <w:rPr>
          <w:rFonts w:ascii="仿宋" w:eastAsia="仿宋" w:hAnsi="仿宋" w:cs="仿宋" w:hint="eastAsia"/>
          <w:sz w:val="32"/>
          <w:szCs w:val="32"/>
        </w:rPr>
        <w:t>万元。政府购买服务的资金</w:t>
      </w:r>
      <w:r>
        <w:rPr>
          <w:rFonts w:ascii="仿宋" w:eastAsia="仿宋" w:hAnsi="仿宋" w:cs="仿宋" w:hint="eastAsia"/>
          <w:sz w:val="32"/>
          <w:szCs w:val="32"/>
        </w:rPr>
        <w:t>主要用于和生态环保职能有关的服务中。</w:t>
      </w:r>
    </w:p>
    <w:p w:rsidR="00F746D4" w:rsidRDefault="00F746D4" w:rsidP="00F746D4">
      <w:pPr>
        <w:ind w:firstLineChars="200" w:firstLine="640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八、国有资产占用情况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C15AB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年末，我局资产合计</w:t>
      </w:r>
      <w:r w:rsidR="00896FF7">
        <w:rPr>
          <w:rFonts w:ascii="仿宋" w:eastAsia="仿宋" w:hAnsi="仿宋" w:cs="仿宋" w:hint="eastAsia"/>
          <w:sz w:val="32"/>
          <w:szCs w:val="32"/>
        </w:rPr>
        <w:t>1291187576.09</w:t>
      </w:r>
      <w:r>
        <w:rPr>
          <w:rFonts w:ascii="仿宋" w:eastAsia="仿宋" w:hAnsi="仿宋" w:cs="仿宋" w:hint="eastAsia"/>
          <w:sz w:val="32"/>
          <w:szCs w:val="32"/>
        </w:rPr>
        <w:t>元，其中流动资产</w:t>
      </w:r>
      <w:r w:rsidR="00896FF7">
        <w:rPr>
          <w:rFonts w:ascii="仿宋" w:eastAsia="仿宋" w:hAnsi="仿宋" w:cs="仿宋" w:hint="eastAsia"/>
          <w:sz w:val="32"/>
          <w:szCs w:val="32"/>
        </w:rPr>
        <w:t>4697334.37</w:t>
      </w:r>
      <w:r>
        <w:rPr>
          <w:rFonts w:ascii="仿宋" w:eastAsia="仿宋" w:hAnsi="仿宋" w:cs="仿宋" w:hint="eastAsia"/>
          <w:sz w:val="32"/>
          <w:szCs w:val="32"/>
        </w:rPr>
        <w:t>元，非流动资产</w:t>
      </w:r>
      <w:r w:rsidR="00896FF7">
        <w:rPr>
          <w:rFonts w:ascii="仿宋" w:eastAsia="仿宋" w:hAnsi="仿宋" w:cs="仿宋" w:hint="eastAsia"/>
          <w:sz w:val="32"/>
          <w:szCs w:val="32"/>
        </w:rPr>
        <w:t>1286490241.72</w:t>
      </w:r>
      <w:r>
        <w:rPr>
          <w:rFonts w:ascii="仿宋" w:eastAsia="仿宋" w:hAnsi="仿宋" w:cs="仿宋" w:hint="eastAsia"/>
          <w:sz w:val="32"/>
          <w:szCs w:val="32"/>
        </w:rPr>
        <w:t>元。非流动资产中固定资产原值</w:t>
      </w:r>
      <w:r w:rsidR="00896FF7">
        <w:rPr>
          <w:rFonts w:ascii="仿宋" w:eastAsia="仿宋" w:hAnsi="仿宋" w:cs="仿宋" w:hint="eastAsia"/>
          <w:sz w:val="32"/>
          <w:szCs w:val="32"/>
        </w:rPr>
        <w:t>57552247.74</w:t>
      </w:r>
      <w:r>
        <w:rPr>
          <w:rFonts w:ascii="仿宋" w:eastAsia="仿宋" w:hAnsi="仿宋" w:cs="仿宋" w:hint="eastAsia"/>
          <w:sz w:val="32"/>
          <w:szCs w:val="32"/>
        </w:rPr>
        <w:t>元（净值</w:t>
      </w:r>
      <w:r w:rsidR="00896FF7">
        <w:rPr>
          <w:rFonts w:ascii="仿宋" w:eastAsia="仿宋" w:hAnsi="仿宋" w:cs="仿宋" w:hint="eastAsia"/>
          <w:sz w:val="32"/>
          <w:szCs w:val="32"/>
        </w:rPr>
        <w:t>23695808.42</w:t>
      </w:r>
      <w:r>
        <w:rPr>
          <w:rFonts w:ascii="仿宋" w:eastAsia="仿宋" w:hAnsi="仿宋" w:cs="仿宋" w:hint="eastAsia"/>
          <w:sz w:val="32"/>
          <w:szCs w:val="32"/>
        </w:rPr>
        <w:t>元）、无形资产原值</w:t>
      </w:r>
      <w:r w:rsidR="00896FF7">
        <w:rPr>
          <w:rFonts w:ascii="仿宋" w:eastAsia="仿宋" w:hAnsi="仿宋" w:cs="仿宋" w:hint="eastAsia"/>
          <w:sz w:val="32"/>
          <w:szCs w:val="32"/>
        </w:rPr>
        <w:t>8365036.11</w:t>
      </w:r>
      <w:r>
        <w:rPr>
          <w:rFonts w:ascii="仿宋" w:eastAsia="仿宋" w:hAnsi="仿宋" w:cs="仿宋" w:hint="eastAsia"/>
          <w:sz w:val="32"/>
          <w:szCs w:val="32"/>
        </w:rPr>
        <w:t>元（净值</w:t>
      </w:r>
      <w:r w:rsidR="00896FF7">
        <w:rPr>
          <w:rFonts w:ascii="仿宋" w:eastAsia="仿宋" w:hAnsi="仿宋" w:cs="仿宋" w:hint="eastAsia"/>
          <w:sz w:val="32"/>
          <w:szCs w:val="32"/>
        </w:rPr>
        <w:t>1398603.49</w:t>
      </w:r>
      <w:r>
        <w:rPr>
          <w:rFonts w:ascii="仿宋" w:eastAsia="仿宋" w:hAnsi="仿宋" w:cs="仿宋" w:hint="eastAsia"/>
          <w:sz w:val="32"/>
          <w:szCs w:val="32"/>
        </w:rPr>
        <w:t>元）、在建工程1261395829.81元。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九、重点绩效评价结果及说明</w:t>
      </w:r>
    </w:p>
    <w:p w:rsidR="00F746D4" w:rsidRDefault="003262EB" w:rsidP="00F746D4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见附件1、</w:t>
      </w:r>
      <w:r w:rsidRPr="003262EB">
        <w:rPr>
          <w:rFonts w:ascii="仿宋_GB2312" w:eastAsia="仿宋_GB2312" w:hAnsi="仿宋" w:hint="eastAsia"/>
          <w:sz w:val="32"/>
          <w:szCs w:val="32"/>
        </w:rPr>
        <w:t>2022年度西城区生态环境局</w:t>
      </w:r>
      <w:r>
        <w:rPr>
          <w:rFonts w:ascii="仿宋_GB2312" w:eastAsia="仿宋_GB2312" w:hAnsi="仿宋" w:hint="eastAsia"/>
          <w:sz w:val="32"/>
          <w:szCs w:val="32"/>
        </w:rPr>
        <w:t>支出</w:t>
      </w:r>
      <w:r w:rsidRPr="003262EB">
        <w:rPr>
          <w:rFonts w:ascii="仿宋_GB2312" w:eastAsia="仿宋_GB2312" w:hAnsi="仿宋" w:hint="eastAsia"/>
          <w:sz w:val="32"/>
          <w:szCs w:val="32"/>
        </w:rPr>
        <w:t>自评结果汇总表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十、专业名词解释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三公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</w:t>
      </w:r>
      <w:proofErr w:type="gramStart"/>
      <w:r>
        <w:rPr>
          <w:rFonts w:ascii="仿宋_GB2312" w:eastAsia="仿宋_GB2312"/>
          <w:sz w:val="32"/>
          <w:szCs w:val="32"/>
        </w:rPr>
        <w:t>含车辆</w:t>
      </w:r>
      <w:proofErr w:type="gramEnd"/>
      <w:r>
        <w:rPr>
          <w:rFonts w:ascii="仿宋_GB2312" w:eastAsia="仿宋_GB2312"/>
          <w:sz w:val="32"/>
          <w:szCs w:val="32"/>
        </w:rPr>
        <w:t>购置税）及单位按规定保留的公务用车燃料费、维修费、过桥过路费、保险费、安全奖励费用等支出；公务接待费指单位按规定开支的各类公务接待（含外宾接待）费用。</w:t>
      </w:r>
    </w:p>
    <w:p w:rsidR="00F746D4" w:rsidRDefault="00F746D4" w:rsidP="00F746D4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机关运行经费：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</w:t>
      </w:r>
      <w:r>
        <w:rPr>
          <w:rFonts w:ascii="仿宋_GB2312" w:eastAsia="仿宋_GB2312" w:hint="eastAsia"/>
          <w:sz w:val="32"/>
          <w:szCs w:val="32"/>
        </w:rPr>
        <w:t>用。</w:t>
      </w:r>
    </w:p>
    <w:p w:rsidR="00F746D4" w:rsidRDefault="00F746D4" w:rsidP="00F746D4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F746D4" w:rsidRDefault="00F746D4" w:rsidP="00F746D4">
      <w:pPr>
        <w:spacing w:line="360" w:lineRule="auto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北京市西城区生态环境局</w:t>
      </w:r>
    </w:p>
    <w:p w:rsidR="00F746D4" w:rsidRDefault="00F746D4" w:rsidP="00F746D4">
      <w:pPr>
        <w:widowControl/>
        <w:tabs>
          <w:tab w:val="left" w:pos="463"/>
        </w:tabs>
        <w:ind w:firstLineChars="200" w:firstLine="640"/>
        <w:textAlignment w:val="center"/>
        <w:rPr>
          <w:color w:val="0000FF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                         2023.8.26</w:t>
      </w:r>
    </w:p>
    <w:p w:rsidR="00F746D4" w:rsidRDefault="00F746D4" w:rsidP="00F746D4">
      <w:pPr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F746D4" w:rsidRDefault="00F746D4" w:rsidP="00F746D4">
      <w:pPr>
        <w:snapToGrid w:val="0"/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F746D4" w:rsidRDefault="00F746D4" w:rsidP="00F746D4">
      <w:pPr>
        <w:rPr>
          <w:rFonts w:ascii="仿宋" w:eastAsia="仿宋" w:hAnsi="仿宋" w:cs="仿宋"/>
          <w:sz w:val="32"/>
          <w:szCs w:val="32"/>
        </w:rPr>
      </w:pPr>
    </w:p>
    <w:p w:rsidR="00F746D4" w:rsidRDefault="00F746D4" w:rsidP="00F746D4">
      <w:pPr>
        <w:snapToGrid w:val="0"/>
        <w:ind w:left="630"/>
        <w:rPr>
          <w:rFonts w:ascii="华文中宋" w:eastAsia="华文中宋" w:hAnsi="华文中宋"/>
          <w:sz w:val="36"/>
          <w:szCs w:val="36"/>
        </w:rPr>
      </w:pPr>
    </w:p>
    <w:p w:rsidR="00F746D4" w:rsidRDefault="00F746D4" w:rsidP="00F746D4"/>
    <w:p w:rsidR="006544EF" w:rsidRDefault="006D66FD"/>
    <w:sectPr w:rsidR="006544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FD" w:rsidRDefault="006D66FD" w:rsidP="00F746D4">
      <w:r>
        <w:separator/>
      </w:r>
    </w:p>
  </w:endnote>
  <w:endnote w:type="continuationSeparator" w:id="0">
    <w:p w:rsidR="006D66FD" w:rsidRDefault="006D66FD" w:rsidP="00F7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FD" w:rsidRDefault="006D66FD" w:rsidP="00F746D4">
      <w:r>
        <w:separator/>
      </w:r>
    </w:p>
  </w:footnote>
  <w:footnote w:type="continuationSeparator" w:id="0">
    <w:p w:rsidR="006D66FD" w:rsidRDefault="006D66FD" w:rsidP="00F7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3EAB"/>
    <w:multiLevelType w:val="singleLevel"/>
    <w:tmpl w:val="22463EAB"/>
    <w:lvl w:ilvl="0">
      <w:start w:val="1"/>
      <w:numFmt w:val="chineseCounting"/>
      <w:suff w:val="nothing"/>
      <w:lvlText w:val="%1、"/>
      <w:lvlJc w:val="left"/>
      <w:pPr>
        <w:ind w:left="840"/>
      </w:pPr>
      <w:rPr>
        <w:rFonts w:hint="eastAsia"/>
      </w:rPr>
    </w:lvl>
  </w:abstractNum>
  <w:abstractNum w:abstractNumId="1">
    <w:nsid w:val="47372926"/>
    <w:multiLevelType w:val="singleLevel"/>
    <w:tmpl w:val="47372926"/>
    <w:lvl w:ilvl="0">
      <w:start w:val="1"/>
      <w:numFmt w:val="decimal"/>
      <w:suff w:val="space"/>
      <w:lvlText w:val="%1、"/>
      <w:lvlJc w:val="left"/>
    </w:lvl>
  </w:abstractNum>
  <w:abstractNum w:abstractNumId="2">
    <w:nsid w:val="7C9B5288"/>
    <w:multiLevelType w:val="singleLevel"/>
    <w:tmpl w:val="7C9B528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DB"/>
    <w:rsid w:val="00004964"/>
    <w:rsid w:val="00071E1B"/>
    <w:rsid w:val="000A4088"/>
    <w:rsid w:val="000F27D9"/>
    <w:rsid w:val="001A0132"/>
    <w:rsid w:val="00246363"/>
    <w:rsid w:val="003262EB"/>
    <w:rsid w:val="00560AE0"/>
    <w:rsid w:val="00630C7C"/>
    <w:rsid w:val="006D66FD"/>
    <w:rsid w:val="00896FF7"/>
    <w:rsid w:val="009E3D88"/>
    <w:rsid w:val="00A37BDB"/>
    <w:rsid w:val="00B064A3"/>
    <w:rsid w:val="00C15AB3"/>
    <w:rsid w:val="00C331DC"/>
    <w:rsid w:val="00DB2A1C"/>
    <w:rsid w:val="00E114C8"/>
    <w:rsid w:val="00F7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6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13</cp:revision>
  <cp:lastPrinted>2023-09-01T02:21:00Z</cp:lastPrinted>
  <dcterms:created xsi:type="dcterms:W3CDTF">2023-08-31T02:26:00Z</dcterms:created>
  <dcterms:modified xsi:type="dcterms:W3CDTF">2023-09-01T06:31:00Z</dcterms:modified>
</cp:coreProperties>
</file>