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jc w:val="center"/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西城区审计局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jc w:val="center"/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2023年</w:t>
      </w: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  <w:lang w:eastAsia="zh-CN"/>
        </w:rPr>
        <w:t>行政</w:t>
      </w: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检查计划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rPr>
          <w:rFonts w:ascii="仿宋" w:hAnsi="仿宋" w:eastAsia="仿宋" w:cs="仿宋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</w:pP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检查主体：北京市西城区审计局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检查方式：就地审计、报送审计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</w:rPr>
        <w:t>管理对象基数:按照区人大常委会对审计工作的要求及区委审计委员会会议精神，结合我区审计工作实际，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聚焦财政财务收支真实合法效益审计主责主业，加大对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重大政策、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重大项目、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重点民生资金、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国企国资、公共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权力运行的监督力度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，并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进行有重点、有步骤的审计检查。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480" w:lineRule="atLeast"/>
        <w:ind w:left="0" w:right="0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检查比例：通过预算执行审计、经济责任审计、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自然资源资产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审计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、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专项审计、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固定资产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投资审计，一级预算单位审计检查达到100％全覆盖。</w:t>
      </w:r>
    </w:p>
    <w:p>
      <w:pPr>
        <w:widowControl/>
        <w:spacing w:after="150" w:line="480" w:lineRule="atLeas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检查项目（检查内容）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聚焦财政财务收支真实合法效益审计主责主业，持续推进审计全覆盖，形成常态化、动态化的震慑。增强审计监督的针对性和有效性，加大对</w:t>
      </w:r>
      <w:r>
        <w:rPr>
          <w:rFonts w:hint="eastAsia" w:ascii="仿宋_GB2312" w:eastAsia="仿宋_GB2312"/>
          <w:sz w:val="32"/>
          <w:szCs w:val="32"/>
        </w:rPr>
        <w:t>重大政策、</w:t>
      </w:r>
      <w:r>
        <w:rPr>
          <w:rFonts w:hint="eastAsia" w:ascii="仿宋_GB2312" w:eastAsia="仿宋_GB2312"/>
          <w:sz w:val="32"/>
          <w:szCs w:val="32"/>
          <w:lang w:eastAsia="zh-CN"/>
        </w:rPr>
        <w:t>重大项目、</w:t>
      </w:r>
      <w:r>
        <w:rPr>
          <w:rFonts w:hint="eastAsia" w:ascii="仿宋_GB2312" w:eastAsia="仿宋_GB2312"/>
          <w:sz w:val="32"/>
          <w:szCs w:val="32"/>
        </w:rPr>
        <w:t>重点民生资金、</w:t>
      </w:r>
      <w:r>
        <w:rPr>
          <w:rFonts w:hint="eastAsia" w:ascii="仿宋_GB2312" w:eastAsia="仿宋_GB2312"/>
          <w:sz w:val="32"/>
          <w:szCs w:val="32"/>
          <w:lang w:eastAsia="zh-CN"/>
        </w:rPr>
        <w:t>国企国资、公共</w:t>
      </w:r>
      <w:r>
        <w:rPr>
          <w:rFonts w:hint="eastAsia" w:ascii="仿宋_GB2312" w:eastAsia="仿宋_GB2312"/>
          <w:sz w:val="32"/>
          <w:szCs w:val="32"/>
        </w:rPr>
        <w:t>权力运行的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监督力度，</w:t>
      </w:r>
      <w:r>
        <w:rPr>
          <w:rFonts w:hint="eastAsia" w:ascii="仿宋_GB2312" w:eastAsia="仿宋_GB2312"/>
          <w:sz w:val="32"/>
          <w:szCs w:val="32"/>
          <w:lang w:eastAsia="zh-CN"/>
        </w:rPr>
        <w:t>揭露风险隐患和制约改革发展的痛点堵点，着力构建“查防治”一体的审计监督机制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强化与纪检监察、区委巡察、人大监督的协作配合，加强对内部审计的指导和监督，促进审计成果运用，形成</w:t>
      </w:r>
      <w:r>
        <w:rPr>
          <w:rFonts w:hint="eastAsia" w:ascii="仿宋_GB2312" w:eastAsia="仿宋_GB2312"/>
          <w:sz w:val="32"/>
          <w:szCs w:val="32"/>
        </w:rPr>
        <w:t>监督合力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全年计划安排审计项目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个，其中：预算执行审计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项，经济责任审计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自然资源资产审计1项，</w:t>
      </w:r>
      <w:r>
        <w:rPr>
          <w:rFonts w:hint="eastAsia" w:ascii="仿宋_GB2312" w:eastAsia="仿宋_GB2312"/>
          <w:sz w:val="32"/>
          <w:szCs w:val="32"/>
        </w:rPr>
        <w:t>专项审计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项，固定资产投资审计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07BD"/>
    <w:rsid w:val="02990FD0"/>
    <w:rsid w:val="0BCF52F0"/>
    <w:rsid w:val="100E52E5"/>
    <w:rsid w:val="112345D7"/>
    <w:rsid w:val="123A6B73"/>
    <w:rsid w:val="1AC616CC"/>
    <w:rsid w:val="260407BD"/>
    <w:rsid w:val="30C2090D"/>
    <w:rsid w:val="41ED2F07"/>
    <w:rsid w:val="436D63FE"/>
    <w:rsid w:val="48847404"/>
    <w:rsid w:val="4A7C2D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2023-03-07T01:23:00Z</dcterms:created>
  <dc:creator>谢云</dc:creator>
  <cp:lastModifiedBy>赵曦</cp:lastModifiedBy>
  <dcterms:modified xsi:type="dcterms:W3CDTF">2023-10-26T05:06:01Z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