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西城区政府</w:t>
      </w:r>
      <w:bookmarkStart w:id="0" w:name="_GoBack"/>
      <w:r>
        <w:rPr>
          <w:rFonts w:ascii="方正小标宋简体" w:hAnsi="方正小标宋简体" w:eastAsia="方正小标宋简体" w:cs="方正小标宋简体"/>
          <w:i w:val="0"/>
          <w:iCs w:val="0"/>
          <w:caps w:val="0"/>
          <w:color w:val="000000"/>
          <w:spacing w:val="0"/>
          <w:sz w:val="36"/>
          <w:szCs w:val="36"/>
        </w:rPr>
        <w:t>部门行政职权运行通用责任清单</w:t>
      </w:r>
      <w:bookmarkEnd w:id="0"/>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DB33394"/>
    <w:rsid w:val="1E0B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庆巴姆</cp:lastModifiedBy>
  <dcterms:modified xsi:type="dcterms:W3CDTF">2023-11-14T07:20:32Z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92A45CF85368489DA543E7B7D57703FF</vt:lpwstr>
  </property>
</Properties>
</file>