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Cs w:val="24"/>
        </w:rPr>
      </w:pPr>
    </w:p>
    <w:p>
      <w:pPr>
        <w:ind w:left="0" w:leftChars="0" w:firstLine="0" w:firstLineChars="0"/>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lang w:val="en-US" w:eastAsia="zh-CN"/>
        </w:rPr>
        <w:t>北京市西城区住房和城市建设委员会</w:t>
      </w:r>
      <w:r>
        <w:rPr>
          <w:rFonts w:hint="eastAsia" w:ascii="方正公文小标宋" w:hAnsi="方正公文小标宋" w:eastAsia="方正公文小标宋" w:cs="方正公文小标宋"/>
          <w:sz w:val="36"/>
          <w:szCs w:val="36"/>
          <w:lang w:val="en-US" w:eastAsia="zh-CN"/>
        </w:rPr>
        <w:br w:type="textWrapping"/>
      </w:r>
      <w:r>
        <w:rPr>
          <w:rFonts w:hint="eastAsia" w:ascii="方正公文小标宋" w:hAnsi="方正公文小标宋" w:eastAsia="方正公文小标宋" w:cs="方正公文小标宋"/>
          <w:sz w:val="36"/>
          <w:szCs w:val="36"/>
          <w:lang w:val="en-US" w:eastAsia="zh-CN"/>
        </w:rPr>
        <w:t>行政职权运行通用责任清单</w:t>
      </w:r>
      <w:bookmarkStart w:id="0" w:name="_GoBack"/>
      <w:bookmarkEnd w:id="0"/>
    </w:p>
    <w:tbl>
      <w:tblPr>
        <w:tblStyle w:val="17"/>
        <w:tblpPr w:leftFromText="180" w:rightFromText="180" w:vertAnchor="text" w:tblpX="93" w:tblpY="1"/>
        <w:tblOverlap w:val="never"/>
        <w:tblW w:w="83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1314"/>
        <w:gridCol w:w="6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9" w:hRule="atLeast"/>
        </w:trPr>
        <w:tc>
          <w:tcPr>
            <w:tcW w:w="8340"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pStyle w:val="22"/>
              <w:bidi w:val="0"/>
            </w:pPr>
            <w:r>
              <w:rPr>
                <w:rFonts w:hint="eastAsia"/>
                <w:lang w:val="en-US" w:eastAsia="zh-CN"/>
              </w:rPr>
              <w:t>一、行政许可类行政职权运行通用责任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（一）受理</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接收申请人提交的材料。若申请人提交的申请材料不齐全、不符合法定形式，应当一次性告知申请人必须补正的全部内容。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受理或者不予受理行政许可申请，应当出具加盖行政机关专用印章和注明日期的书面凭证。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依法说明不受理行政许可申请或者不予行政许可的理由。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（二）审查</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申请人提交的申请材料齐全、符合法定形式，能够当场作出决定的，当场作出书面的行政许可决定。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根据法定条件和程序，需要对申请材料的实质内容进行核实的，行政机关应当指派2名以上工作人员进行核查。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需依法举行听证的应当依法举行听证。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7</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bidi w:val="0"/>
              <w:rPr>
                <w:rFonts w:hint="eastAsia"/>
              </w:rPr>
            </w:pPr>
            <w:r>
              <w:rPr>
                <w:rFonts w:hint="eastAsia"/>
                <w:lang w:val="en-US" w:eastAsia="zh-CN"/>
              </w:rPr>
              <w:t>（三）决定</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对符合法定条件的申请人应当在法定职权范围和期限内尽快作出准予行政许可的决定。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8</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依法根据招标、拍卖结果或者考试成绩择优作出准予行政许可的决定。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9</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依法作出不予行政许可的书面决定的，应当说明理由，并告知申请人享有依法申请行政复议或者提起行政诉讼的权利。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10</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按法定项目和标准予以收费。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11</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作出的准予行政许可决定，应当予以公开，公众有权查阅。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12</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bidi w:val="0"/>
              <w:rPr>
                <w:rFonts w:hint="eastAsia"/>
              </w:rPr>
            </w:pPr>
            <w:r>
              <w:rPr>
                <w:rFonts w:hint="eastAsia"/>
                <w:lang w:val="en-US" w:eastAsia="zh-CN"/>
              </w:rPr>
              <w:t>（四）送达</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送达行政执法文书应当有送达回证，受送达人在送达回证上的签收日期为送达日期。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（五）事后监管</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建立健全监督制度，通过核查反映被许可人从事行政许可事项活动情况的有关材料，履行监督责任。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建立随机抽查制度，对被许可人生产经营的产品依法进行抽样检查、检验、检测，对其生产经营场所依法进行实地检查。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根据法律、行政法规的规定，对直接关系公共安全、人身健康、生命财产安全的重要设备、设施进行定期检验。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17</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实施监督检查时，应当将监督检查的情况和处理结果予以记录，由监督检查人员签字后归档。公众有权查阅监督检查记录。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18</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实施监督检查，不得妨碍被许可人正常的生产经营活动，不得索取或收受被许可人的财物，不得谋取其他利益。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二、行政处罚类行政职权运行通用责任清单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（一）立案</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对符合立案条件的案件及时立案。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2</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（二）调查</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出示执法身份证件，表明执法身份。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应当有2名以上（含2名）行政执法人员共同参加调查取证。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4</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依法调查和保存证据。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适用简易程序的，当场制作行政处罚决定书并当场交付，在事后难以执行及特殊情况下应当当场收缴罚款。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适用简易程序的，执法人员当场作出的行政处罚决定应当报所属行政机关备案。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0"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7</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（三）审查</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审理案件调查报告，对案件违法事实、证据、调查取证程序、法律适用、处罚种类和幅度、当事人陈述和申辩理由等方面进行审查，提出处理意见（主要证据不足时，以适当的方式补充调查）。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8</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构成犯罪的，移送司法机关依法追究刑事责任。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9</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（四）告知</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在作出行政处罚前，应告知当事人作出行政处罚决定的事实、理由及依据，并告知当事人依法享有的权利。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10</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依法告知当事人有举行听证的权利，当事人要求听证的，应当依法组织听证。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（五）决定</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充分听取当事人的意见，对当事人提出的事实、理由和证据，应当进行复核；当事人提出的事实、理由或者证据成立的，应当采纳，不得因当事人申辩而加重处罚。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对情节复杂或者重大违法行为给予较重的行政处罚，应当集体讨论决定。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依法决定给予行政处罚，制作行政处罚决定书，并在处罚决定书中告知对处罚决定不服的可以依法申请行政复议或者提起行政诉讼。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14</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（六）送达</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行政处罚决定书应当在宣告后当场交付当事人；当事人不在场的，行政机关应当在7日内依照民事诉讼法的有关规定，将行政处罚决定书送达当事人。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17</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（七）执行</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使用法定部门制发的罚款、没收财物单据进行罚款、没收财物等处罚。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18</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19</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三、行政确认类行政职权运行通用责任清单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（一）受理</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对符合确认条件的，当场受理。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对不符合受理条件的，应当书面告知办理人不予办理行政确认的理由和依据。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（二）确认</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在法定期限（承诺期限）内完成确认。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严格按照流程图规定进行研究确认，不得提高确认标准、扩大确认范围等。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按照一定的技术规范要求以书面形式作出决定，并发放确认文书。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7</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不符合确认要求的不予确认，并说明理由。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8</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bidi w:val="0"/>
              <w:rPr>
                <w:rFonts w:hint="eastAsia"/>
              </w:rPr>
            </w:pPr>
            <w:r>
              <w:rPr>
                <w:rFonts w:hint="eastAsia"/>
                <w:lang w:val="en-US" w:eastAsia="zh-CN"/>
              </w:rPr>
              <w:t>（三）送达</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9</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（四）事后监管</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四、行政强制类（行政强制措施）行政职权运行</w:t>
            </w:r>
            <w:r>
              <w:rPr>
                <w:lang w:val="en-US" w:eastAsia="zh-CN"/>
              </w:rPr>
              <w:t xml:space="preserve"> 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（一）决定</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实施前应当先报告，经批准后作出实施行政强制措施的决定。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批准实施行政强制措施应当符合法定条件。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3</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（二）执行</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由2名以上具备资格的行政执法人员实施，其他人员不得实施。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4</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行政执法人员应当现场出示执法身份证件。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实施行政强制措施时应当通知当事人到场，并告知当事人采取行政强制措施的理由、依据以及当事人依法享有的权利、救济途径。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充分听取当事人的意见，对当事人提出的事实、理由和证据，应当进行复核，当事人提出的事实、理由或者证据成立的，应当采纳。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0"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7</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8</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实施限制公民人身自由的行政强制措施，应当场告知或者实施行政强制措施后立即通知当事人家属实施行政强制措施的行政机关、地点和期限。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9</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对依法应当没收或法律、行政法规规定应当销毁的，应当依法予以没收或销毁。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10</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情况紧急，需要当场实施行政强制措施的，行政执法人员应当在24小时内向行政机关负责人报告，并补办批准手续。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（三）解除</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对符合解除行政强制措施条件的，应当依法解除行政强制措施。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对构成犯罪的，依法、及时移送司法机关。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13</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（四）事后监管</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五、行政强制类（行政强制执行）行政职权运行</w:t>
            </w:r>
            <w:r>
              <w:rPr>
                <w:lang w:val="en-US" w:eastAsia="zh-CN"/>
              </w:rPr>
              <w:t xml:space="preserve"> 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（一）催告</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行政机关作出强制执行决定前，应当事先书面催告当事人履行义务。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催告期间，对有证据证明有转移或者隐匿财物迹象的，可以作出立即强制执行决定。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（二）决定</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充分听取当事人的意见，对当事人提出的事实、理由和证据，应当进行记录、复核。当事人提出的事实、理由或者证据成立的，应当采纳。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经催告，当事人逾期仍不履行行政决定，且无正当理由的，应当作出书面强制执行决定。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行政强制执行决定书催告书应当直接送达当事人。当事人拒绝接收或者无法直接送达当事人的，依照民事诉讼法的有关规定送达。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7</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（三）执行</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依法实施行政强制执行。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8</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不得在夜间或者法定节假日实施行政强制执行，情况紧急的除外；不得对居民生活采取停止供水、供电、供热、供燃气等方式迫使当事人履行相关行政决定。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0"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9</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对违法的建筑物、构筑物、设施等需要强制拆除的，应当予以公告，限期当事人自行拆除。当事人在法定期限内不申请行政复议或者提起行政诉讼，又不拆除的，可依法强制拆除。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10</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划拨的存款、汇款以及拍卖和依法处理所得的款项应当上缴国库或者划入财政专户，不得以任何形式截留、私分或者变相私分。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（四）事后监管</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六、行政征收类（税费类）行政职权运行通用责任清单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（一）受理</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一次性告知申报人需提交的申报材料及办理流程。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（二）审核</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对申报材料依法及时进行审核。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3</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（三）决定</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依法出具纳税或缴费凭证。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4</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当事人缴纳超过应缴纳的税费，应当退还。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不得截留、私分或擅自开支征收款。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（四）事后监管</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开展检查，及时稽查，加强日常监管。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七、行政征收类（实物类）行政职权运行通用责任清单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（一）制定方案</w:t>
            </w:r>
          </w:p>
        </w:tc>
        <w:tc>
          <w:tcPr>
            <w:tcW w:w="64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Style w:val="22"/>
              <w:bidi w:val="0"/>
              <w:jc w:val="left"/>
              <w:rPr>
                <w:rFonts w:hint="default"/>
              </w:rPr>
            </w:pPr>
            <w:r>
              <w:rPr>
                <w:lang w:val="en-US" w:eastAsia="zh-CN"/>
              </w:rPr>
              <w:t>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2</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（二）决定</w:t>
            </w:r>
          </w:p>
        </w:tc>
        <w:tc>
          <w:tcPr>
            <w:tcW w:w="64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Style w:val="22"/>
              <w:bidi w:val="0"/>
              <w:jc w:val="left"/>
              <w:rPr>
                <w:rFonts w:hint="default"/>
              </w:rPr>
            </w:pPr>
            <w:r>
              <w:rPr>
                <w:lang w:val="en-US" w:eastAsia="zh-CN"/>
              </w:rPr>
              <w:t>应当在社会稳定风险评估基础上作出征收决定。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Style w:val="22"/>
              <w:bidi w:val="0"/>
              <w:jc w:val="left"/>
              <w:rPr>
                <w:rFonts w:hint="default"/>
              </w:rPr>
            </w:pPr>
            <w:r>
              <w:rPr>
                <w:lang w:val="en-US" w:eastAsia="zh-CN"/>
              </w:rPr>
              <w:t>应当及时公告征收决定。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（三）实施</w:t>
            </w:r>
          </w:p>
        </w:tc>
        <w:tc>
          <w:tcPr>
            <w:tcW w:w="64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Style w:val="22"/>
              <w:bidi w:val="0"/>
              <w:jc w:val="left"/>
              <w:rPr>
                <w:rFonts w:hint="default"/>
              </w:rPr>
            </w:pPr>
            <w:r>
              <w:rPr>
                <w:lang w:val="en-US" w:eastAsia="zh-CN"/>
              </w:rPr>
              <w:t>依据征收决定进行征收。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Style w:val="22"/>
              <w:bidi w:val="0"/>
              <w:jc w:val="left"/>
              <w:rPr>
                <w:rFonts w:hint="default"/>
              </w:rPr>
            </w:pPr>
            <w:r>
              <w:rPr>
                <w:lang w:val="en-US" w:eastAsia="zh-CN"/>
              </w:rPr>
              <w:t>根据补偿安置方案进行补偿、安置。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6</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（四）事后监管</w:t>
            </w:r>
          </w:p>
        </w:tc>
        <w:tc>
          <w:tcPr>
            <w:tcW w:w="64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Style w:val="22"/>
              <w:bidi w:val="0"/>
              <w:jc w:val="left"/>
              <w:rPr>
                <w:rFonts w:hint="default"/>
              </w:rPr>
            </w:pPr>
            <w:r>
              <w:rPr>
                <w:lang w:val="en-US" w:eastAsia="zh-CN"/>
              </w:rPr>
              <w:t>应当依法建立征收补偿档案。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7</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Style w:val="22"/>
              <w:bidi w:val="0"/>
              <w:jc w:val="left"/>
              <w:rPr>
                <w:rFonts w:hint="default"/>
              </w:rPr>
            </w:pPr>
            <w:r>
              <w:rPr>
                <w:lang w:val="en-US" w:eastAsia="zh-CN"/>
              </w:rPr>
              <w:t>对征收补偿费用管理和使用情况进行监督。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八、行政裁决类行政职权运行通用责任清单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（一）受理</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对符合受理条件的，应当制作受理通知书，并送达申请人。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对不符合受理条件的，应当书面告知申请人不予受理的理由和依据。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（二）审理</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在法定期限内进行审理。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通知争议申请人及对方当事人，并要求对方当事人在规定的期限内提交相关材料。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对争议的事实、证据材料进行审查，针对疑问情况或经当事人请求，举行公开听证，由当事人双方当面陈述案情，进行辩论、举证、质证，以查明案情。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7</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审理时对确有必要的应当进行实地调查。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8</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（三）裁决</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根据事实和法律、法规作出裁决，制作并向双方当事人送达裁决书。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9</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（四）执行</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裁决生效后，争议当事人应当自觉履行。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九、行政给付行政职权运行通用责任清单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（一）受理</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对符合受理条件的，应当受理，并制作受理通知书；对不符合受理条件的不予受理，并书面告知申请人不予受理的理由和依据。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3</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（二）审查</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在法定期限（承诺期限）内完成审查。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（三）决定</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对于符合条件的，作出给于给付的决定，明确给付标准以及后续办事事宜，并通知申请人前来领取。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对不符合给付条件的，书面告知申请人不予给付的理由和依据。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（四）给付</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按照规定标准予以给付。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7</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（五）事后监管</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开展检查，加强日常监管。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十、行政奖励类行政职权运行通用责任清单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（一）制定方案</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依法科学制定奖励方案，明确奖励条件、程序等内容。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2</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（二）审核公示</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对符合条件的推荐对象进行审核审定，并进行公示。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依法、及时调查核实举报投诉涉及问题。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（三）实施奖励</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依法、及时按程序报批决定奖励的等级和金额。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及时通知当事人领取奖励。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十一、行政检查类行政职权运行通用责任清单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（一）制定方案</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实施检查前应当依法制定含有正当理由、事项和内容的检查方案。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同一行政机关的多个内设机构和下属机构对同一当事人不同事项的行政检查，能够合并检查的应当合并检查。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上下级行政机关应当按照级别管辖和地域管辖相结合的原则合理划分检查范围，避免重复检查。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（二）实施检查</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依照检查方案规定的时限、范围开展检查。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实施检查时应当出示执法身份证件、检查方案。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依法查阅资料、查看现场、听取当事人陈述申辩并取证。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7</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实施检查应当不影响当事人的正常生产经营活动与生活。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8</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依法告知当事人检查中发现的违法行为及处理意见，对不服处理意见的，可以依法申请行政复议或提起行政诉讼。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9</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对检查中发现的违法行为应当予以制止和纠正。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10</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实施行政检查中不得乱收费、乱罚款、乱摊派，严禁吃、拿、卡、要。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11</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不得放弃、推诿、拖延、拒绝履行检查职责。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 w:hRule="atLeast"/>
        </w:trPr>
        <w:tc>
          <w:tcPr>
            <w:tcW w:w="580" w:type="dxa"/>
            <w:tcBorders>
              <w:top w:val="single" w:color="000000" w:sz="4" w:space="0"/>
              <w:left w:val="single" w:color="000000" w:sz="8" w:space="0"/>
              <w:bottom w:val="single" w:color="000000" w:sz="8" w:space="0"/>
              <w:right w:val="single" w:color="000000" w:sz="4" w:space="0"/>
            </w:tcBorders>
            <w:shd w:val="clear" w:color="auto" w:fill="auto"/>
            <w:vAlign w:val="center"/>
          </w:tcPr>
          <w:p>
            <w:pPr>
              <w:pStyle w:val="22"/>
              <w:bidi w:val="0"/>
              <w:rPr>
                <w:rFonts w:hint="default"/>
              </w:rPr>
            </w:pPr>
            <w:r>
              <w:rPr>
                <w:rFonts w:hint="default"/>
                <w:lang w:val="en-US" w:eastAsia="zh-CN"/>
              </w:rPr>
              <w:t>12</w:t>
            </w:r>
          </w:p>
        </w:tc>
        <w:tc>
          <w:tcPr>
            <w:tcW w:w="1314" w:type="dxa"/>
            <w:tcBorders>
              <w:top w:val="single" w:color="000000" w:sz="4" w:space="0"/>
              <w:left w:val="single" w:color="000000" w:sz="4" w:space="0"/>
              <w:bottom w:val="single" w:color="000000" w:sz="8" w:space="0"/>
              <w:right w:val="single" w:color="000000" w:sz="4" w:space="0"/>
            </w:tcBorders>
            <w:shd w:val="clear" w:color="auto" w:fill="auto"/>
            <w:vAlign w:val="center"/>
          </w:tcPr>
          <w:p>
            <w:pPr>
              <w:pStyle w:val="22"/>
              <w:bidi w:val="0"/>
              <w:rPr>
                <w:rFonts w:hint="eastAsia"/>
              </w:rPr>
            </w:pPr>
            <w:r>
              <w:rPr>
                <w:rFonts w:hint="eastAsia"/>
                <w:lang w:val="en-US" w:eastAsia="zh-CN"/>
              </w:rPr>
              <w:t>（三）事后监管</w:t>
            </w:r>
          </w:p>
        </w:tc>
        <w:tc>
          <w:tcPr>
            <w:tcW w:w="6446" w:type="dxa"/>
            <w:tcBorders>
              <w:top w:val="single" w:color="000000" w:sz="4" w:space="0"/>
              <w:left w:val="single" w:color="000000" w:sz="4" w:space="0"/>
              <w:bottom w:val="single" w:color="000000" w:sz="8" w:space="0"/>
              <w:right w:val="single" w:color="000000" w:sz="8" w:space="0"/>
            </w:tcBorders>
            <w:shd w:val="clear" w:color="auto" w:fill="auto"/>
            <w:vAlign w:val="center"/>
          </w:tcPr>
          <w:p>
            <w:pPr>
              <w:pStyle w:val="22"/>
              <w:bidi w:val="0"/>
              <w:jc w:val="left"/>
              <w:rPr>
                <w:rFonts w:hint="default"/>
              </w:rPr>
            </w:pPr>
            <w:r>
              <w:rPr>
                <w:lang w:val="en-US" w:eastAsia="zh-CN"/>
              </w:rPr>
              <w:t>对检查情况进行汇总、分类、归档备查，并跟踪监测。</w:t>
            </w:r>
          </w:p>
        </w:tc>
      </w:tr>
    </w:tbl>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DEFAC"/>
    <w:multiLevelType w:val="multilevel"/>
    <w:tmpl w:val="A45DEFAC"/>
    <w:lvl w:ilvl="0" w:tentative="0">
      <w:start w:val="1"/>
      <w:numFmt w:val="chineseCounting"/>
      <w:pStyle w:val="2"/>
      <w:suff w:val="nothing"/>
      <w:lvlText w:val="%1、"/>
      <w:lvlJc w:val="left"/>
      <w:pPr>
        <w:ind w:left="420" w:leftChars="0" w:hanging="420" w:firstLineChars="0"/>
      </w:pPr>
      <w:rPr>
        <w:rFonts w:hint="eastAsia"/>
      </w:rPr>
    </w:lvl>
    <w:lvl w:ilvl="1" w:tentative="0">
      <w:start w:val="1"/>
      <w:numFmt w:val="chineseCounting"/>
      <w:pStyle w:val="3"/>
      <w:suff w:val="nothing"/>
      <w:lvlText w:val="（%2）"/>
      <w:lvlJc w:val="left"/>
      <w:pPr>
        <w:ind w:left="0" w:leftChars="0" w:firstLine="0" w:firstLineChars="0"/>
      </w:pPr>
      <w:rPr>
        <w:rFonts w:hint="eastAsia"/>
      </w:rPr>
    </w:lvl>
    <w:lvl w:ilvl="2" w:tentative="0">
      <w:start w:val="1"/>
      <w:numFmt w:val="decimal"/>
      <w:suff w:val="nothing"/>
      <w:lvlText w:val="%3．"/>
      <w:lvlJc w:val="left"/>
      <w:pPr>
        <w:ind w:left="0" w:leftChars="0" w:firstLine="400" w:firstLineChars="0"/>
      </w:pPr>
      <w:rPr>
        <w:rFonts w:hint="eastAsia"/>
      </w:rPr>
    </w:lvl>
    <w:lvl w:ilvl="3" w:tentative="0">
      <w:start w:val="1"/>
      <w:numFmt w:val="decimal"/>
      <w:pStyle w:val="5"/>
      <w:suff w:val="nothing"/>
      <w:lvlText w:val="（%4）"/>
      <w:lvlJc w:val="left"/>
      <w:pPr>
        <w:ind w:left="0" w:leftChars="0" w:firstLine="402" w:firstLineChars="0"/>
      </w:pPr>
      <w:rPr>
        <w:rFonts w:hint="eastAsia"/>
      </w:rPr>
    </w:lvl>
    <w:lvl w:ilvl="4" w:tentative="0">
      <w:start w:val="1"/>
      <w:numFmt w:val="decimalEnclosedCircleChinese"/>
      <w:pStyle w:val="6"/>
      <w:suff w:val="nothing"/>
      <w:lvlText w:val="%5"/>
      <w:lvlJc w:val="left"/>
      <w:pPr>
        <w:ind w:left="0" w:leftChars="0" w:firstLine="402" w:firstLineChars="0"/>
      </w:pPr>
      <w:rPr>
        <w:rFonts w:hint="eastAsia"/>
      </w:rPr>
    </w:lvl>
    <w:lvl w:ilvl="5" w:tentative="0">
      <w:start w:val="1"/>
      <w:numFmt w:val="decimal"/>
      <w:pStyle w:val="7"/>
      <w:suff w:val="nothing"/>
      <w:lvlText w:val="%6）"/>
      <w:lvlJc w:val="left"/>
      <w:pPr>
        <w:ind w:left="0" w:leftChars="0" w:firstLine="402" w:firstLineChars="0"/>
      </w:pPr>
      <w:rPr>
        <w:rFonts w:hint="eastAsia"/>
      </w:rPr>
    </w:lvl>
    <w:lvl w:ilvl="6" w:tentative="0">
      <w:start w:val="1"/>
      <w:numFmt w:val="lowerLetter"/>
      <w:pStyle w:val="8"/>
      <w:suff w:val="nothing"/>
      <w:lvlText w:val="%7．"/>
      <w:lvlJc w:val="left"/>
      <w:pPr>
        <w:ind w:left="0" w:leftChars="0" w:firstLine="402" w:firstLineChars="0"/>
      </w:pPr>
      <w:rPr>
        <w:rFonts w:hint="eastAsia"/>
      </w:rPr>
    </w:lvl>
    <w:lvl w:ilvl="7" w:tentative="0">
      <w:start w:val="1"/>
      <w:numFmt w:val="lowerLetter"/>
      <w:pStyle w:val="9"/>
      <w:suff w:val="nothing"/>
      <w:lvlText w:val="%8）"/>
      <w:lvlJc w:val="left"/>
      <w:pPr>
        <w:ind w:left="0" w:leftChars="0" w:firstLine="402" w:firstLineChars="0"/>
      </w:pPr>
      <w:rPr>
        <w:rFonts w:hint="eastAsia"/>
      </w:rPr>
    </w:lvl>
    <w:lvl w:ilvl="8" w:tentative="0">
      <w:start w:val="1"/>
      <w:numFmt w:val="lowerRoman"/>
      <w:pStyle w:val="10"/>
      <w:suff w:val="nothing"/>
      <w:lvlText w:val="%9 "/>
      <w:lvlJc w:val="left"/>
      <w:pPr>
        <w:ind w:left="0" w:leftChars="0" w:firstLine="402" w:firstLineChars="0"/>
      </w:pPr>
      <w:rPr>
        <w:rFonts w:hint="eastAsia"/>
      </w:rPr>
    </w:lvl>
  </w:abstractNum>
  <w:abstractNum w:abstractNumId="1">
    <w:nsid w:val="5DE9A9A5"/>
    <w:multiLevelType w:val="singleLevel"/>
    <w:tmpl w:val="5DE9A9A5"/>
    <w:lvl w:ilvl="0" w:tentative="0">
      <w:start w:val="1"/>
      <w:numFmt w:val="decimal"/>
      <w:suff w:val="nothing"/>
      <w:lvlText w:val="（%1）"/>
      <w:lvlJc w:val="left"/>
      <w:pPr>
        <w:ind w:left="0" w:leftChars="0" w:firstLine="397" w:firstLineChars="0"/>
      </w:pPr>
      <w:rPr>
        <w:rFonts w:hint="default"/>
      </w:rPr>
    </w:lvl>
  </w:abstractNum>
  <w:abstractNum w:abstractNumId="2">
    <w:nsid w:val="7A689EB2"/>
    <w:multiLevelType w:val="multilevel"/>
    <w:tmpl w:val="7A689EB2"/>
    <w:lvl w:ilvl="0" w:tentative="0">
      <w:start w:val="1"/>
      <w:numFmt w:val="chineseCounting"/>
      <w:suff w:val="nothing"/>
      <w:lvlText w:val="%1、"/>
      <w:lvlJc w:val="left"/>
      <w:pPr>
        <w:tabs>
          <w:tab w:val="left" w:pos="0"/>
        </w:tabs>
        <w:ind w:left="420" w:hanging="42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457A5"/>
    <w:rsid w:val="006C059E"/>
    <w:rsid w:val="00A67066"/>
    <w:rsid w:val="0106596C"/>
    <w:rsid w:val="01375A96"/>
    <w:rsid w:val="01764033"/>
    <w:rsid w:val="01D3355B"/>
    <w:rsid w:val="01D44CBD"/>
    <w:rsid w:val="041E5DAE"/>
    <w:rsid w:val="05EC4D95"/>
    <w:rsid w:val="06040DD1"/>
    <w:rsid w:val="073E0BB2"/>
    <w:rsid w:val="08E00E81"/>
    <w:rsid w:val="0927440F"/>
    <w:rsid w:val="098971EA"/>
    <w:rsid w:val="0B7D77B8"/>
    <w:rsid w:val="0C2A7692"/>
    <w:rsid w:val="0DC8119A"/>
    <w:rsid w:val="0E1719A2"/>
    <w:rsid w:val="0E201D93"/>
    <w:rsid w:val="0F300F5F"/>
    <w:rsid w:val="1090648A"/>
    <w:rsid w:val="111D2EEC"/>
    <w:rsid w:val="11530201"/>
    <w:rsid w:val="115676A9"/>
    <w:rsid w:val="119E7AA0"/>
    <w:rsid w:val="11EF23EE"/>
    <w:rsid w:val="1202308A"/>
    <w:rsid w:val="120A6EA9"/>
    <w:rsid w:val="12283FC9"/>
    <w:rsid w:val="122951A4"/>
    <w:rsid w:val="133B4014"/>
    <w:rsid w:val="14612913"/>
    <w:rsid w:val="14704FA1"/>
    <w:rsid w:val="14A027A8"/>
    <w:rsid w:val="158A4DC6"/>
    <w:rsid w:val="15AC3295"/>
    <w:rsid w:val="16802E6F"/>
    <w:rsid w:val="17675C95"/>
    <w:rsid w:val="19433AC9"/>
    <w:rsid w:val="19453B2C"/>
    <w:rsid w:val="19FE0EB0"/>
    <w:rsid w:val="1ABE0905"/>
    <w:rsid w:val="1BDA26F4"/>
    <w:rsid w:val="1BFA017E"/>
    <w:rsid w:val="1CC73AA8"/>
    <w:rsid w:val="1D5F0B1F"/>
    <w:rsid w:val="1F140855"/>
    <w:rsid w:val="21ED3623"/>
    <w:rsid w:val="21F457A5"/>
    <w:rsid w:val="22B015E4"/>
    <w:rsid w:val="23C43E18"/>
    <w:rsid w:val="23F83CB6"/>
    <w:rsid w:val="24291AAF"/>
    <w:rsid w:val="249F2183"/>
    <w:rsid w:val="252D3B87"/>
    <w:rsid w:val="25387067"/>
    <w:rsid w:val="25396B0B"/>
    <w:rsid w:val="25411DDC"/>
    <w:rsid w:val="255F354F"/>
    <w:rsid w:val="258F5796"/>
    <w:rsid w:val="25ED69B8"/>
    <w:rsid w:val="267D1241"/>
    <w:rsid w:val="270615BC"/>
    <w:rsid w:val="27A564DF"/>
    <w:rsid w:val="292F4107"/>
    <w:rsid w:val="2947167B"/>
    <w:rsid w:val="2B043572"/>
    <w:rsid w:val="2B3A4256"/>
    <w:rsid w:val="2B485B9C"/>
    <w:rsid w:val="2C9E5340"/>
    <w:rsid w:val="2D267BC2"/>
    <w:rsid w:val="2D7723BC"/>
    <w:rsid w:val="2DC50672"/>
    <w:rsid w:val="2FE930FB"/>
    <w:rsid w:val="305706A3"/>
    <w:rsid w:val="30B62520"/>
    <w:rsid w:val="30BA6962"/>
    <w:rsid w:val="31D546B5"/>
    <w:rsid w:val="32593926"/>
    <w:rsid w:val="32BE261F"/>
    <w:rsid w:val="343F09A4"/>
    <w:rsid w:val="34F321C5"/>
    <w:rsid w:val="3512450F"/>
    <w:rsid w:val="351C2721"/>
    <w:rsid w:val="35E770EB"/>
    <w:rsid w:val="36976100"/>
    <w:rsid w:val="36CE20A4"/>
    <w:rsid w:val="370C1EE9"/>
    <w:rsid w:val="37245806"/>
    <w:rsid w:val="37384F84"/>
    <w:rsid w:val="374863F4"/>
    <w:rsid w:val="380621DC"/>
    <w:rsid w:val="38EA65DF"/>
    <w:rsid w:val="39741A3F"/>
    <w:rsid w:val="3A5947E5"/>
    <w:rsid w:val="3BDA79A3"/>
    <w:rsid w:val="3C01754C"/>
    <w:rsid w:val="3CCC39F0"/>
    <w:rsid w:val="3D994274"/>
    <w:rsid w:val="3DA33E6B"/>
    <w:rsid w:val="3ECB2CFE"/>
    <w:rsid w:val="3F934DF0"/>
    <w:rsid w:val="3FAF4661"/>
    <w:rsid w:val="40523C00"/>
    <w:rsid w:val="41545161"/>
    <w:rsid w:val="41667422"/>
    <w:rsid w:val="423A693F"/>
    <w:rsid w:val="44BD45CF"/>
    <w:rsid w:val="455855B3"/>
    <w:rsid w:val="46654CD1"/>
    <w:rsid w:val="46D8081F"/>
    <w:rsid w:val="47476DE0"/>
    <w:rsid w:val="47E50547"/>
    <w:rsid w:val="4AC21D37"/>
    <w:rsid w:val="4AE377D5"/>
    <w:rsid w:val="4D00639F"/>
    <w:rsid w:val="4D3127D5"/>
    <w:rsid w:val="4D4F0D58"/>
    <w:rsid w:val="4DDE4471"/>
    <w:rsid w:val="4ED53913"/>
    <w:rsid w:val="4F706B87"/>
    <w:rsid w:val="504D6FE3"/>
    <w:rsid w:val="5069008A"/>
    <w:rsid w:val="508C6714"/>
    <w:rsid w:val="50D3501C"/>
    <w:rsid w:val="50E46C09"/>
    <w:rsid w:val="51005C9F"/>
    <w:rsid w:val="51377F40"/>
    <w:rsid w:val="51461B3D"/>
    <w:rsid w:val="516D3B91"/>
    <w:rsid w:val="51A542DB"/>
    <w:rsid w:val="55EA6C98"/>
    <w:rsid w:val="581E6191"/>
    <w:rsid w:val="5820113C"/>
    <w:rsid w:val="58400796"/>
    <w:rsid w:val="58441F62"/>
    <w:rsid w:val="58636FBC"/>
    <w:rsid w:val="58C90DC0"/>
    <w:rsid w:val="59653256"/>
    <w:rsid w:val="59C0507F"/>
    <w:rsid w:val="5A3D1226"/>
    <w:rsid w:val="5A693276"/>
    <w:rsid w:val="5A955D6A"/>
    <w:rsid w:val="5BED420D"/>
    <w:rsid w:val="5CA4668F"/>
    <w:rsid w:val="5CBA0E99"/>
    <w:rsid w:val="5E4F71A5"/>
    <w:rsid w:val="5E560501"/>
    <w:rsid w:val="6008423B"/>
    <w:rsid w:val="6017390F"/>
    <w:rsid w:val="602E1D55"/>
    <w:rsid w:val="61195FB6"/>
    <w:rsid w:val="612161F0"/>
    <w:rsid w:val="61335512"/>
    <w:rsid w:val="616721D0"/>
    <w:rsid w:val="616A6B94"/>
    <w:rsid w:val="61F51E09"/>
    <w:rsid w:val="620703A7"/>
    <w:rsid w:val="63010376"/>
    <w:rsid w:val="630A374D"/>
    <w:rsid w:val="63377D77"/>
    <w:rsid w:val="64482610"/>
    <w:rsid w:val="64961328"/>
    <w:rsid w:val="650E0312"/>
    <w:rsid w:val="66420CA5"/>
    <w:rsid w:val="67705E7C"/>
    <w:rsid w:val="67B6375C"/>
    <w:rsid w:val="684951F1"/>
    <w:rsid w:val="691171FA"/>
    <w:rsid w:val="69F270FF"/>
    <w:rsid w:val="6B936B27"/>
    <w:rsid w:val="6BAC678D"/>
    <w:rsid w:val="6BC4308E"/>
    <w:rsid w:val="6E3D71BC"/>
    <w:rsid w:val="6E6C7F1E"/>
    <w:rsid w:val="6F5445D3"/>
    <w:rsid w:val="71041CD9"/>
    <w:rsid w:val="74B12320"/>
    <w:rsid w:val="75013DCA"/>
    <w:rsid w:val="75EA7A16"/>
    <w:rsid w:val="76446BEB"/>
    <w:rsid w:val="777F2A8E"/>
    <w:rsid w:val="77871C2E"/>
    <w:rsid w:val="784723FD"/>
    <w:rsid w:val="78904AB9"/>
    <w:rsid w:val="7892782B"/>
    <w:rsid w:val="78FE3F59"/>
    <w:rsid w:val="79401AC7"/>
    <w:rsid w:val="79E66DD1"/>
    <w:rsid w:val="7A2F0BCA"/>
    <w:rsid w:val="7AFE58EF"/>
    <w:rsid w:val="7B2B15F3"/>
    <w:rsid w:val="7BCB43C4"/>
    <w:rsid w:val="7CCB68BD"/>
    <w:rsid w:val="7CEB3EB1"/>
    <w:rsid w:val="7DA0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Calibri" w:hAnsi="Calibri" w:eastAsia="仿宋" w:cs="Times New Roman"/>
      <w:kern w:val="2"/>
      <w:sz w:val="32"/>
      <w:szCs w:val="22"/>
      <w:lang w:val="en-US" w:eastAsia="zh-CN" w:bidi="ar-SA"/>
    </w:rPr>
  </w:style>
  <w:style w:type="paragraph" w:styleId="2">
    <w:name w:val="heading 1"/>
    <w:basedOn w:val="1"/>
    <w:next w:val="1"/>
    <w:link w:val="27"/>
    <w:qFormat/>
    <w:uiPriority w:val="0"/>
    <w:pPr>
      <w:keepNext/>
      <w:keepLines w:val="0"/>
      <w:numPr>
        <w:ilvl w:val="0"/>
        <w:numId w:val="1"/>
      </w:numPr>
      <w:tabs>
        <w:tab w:val="left" w:pos="0"/>
      </w:tabs>
      <w:spacing w:beforeLines="0" w:beforeAutospacing="0" w:afterLines="0" w:afterAutospacing="0" w:line="360" w:lineRule="auto"/>
      <w:ind w:left="420" w:hanging="420" w:firstLineChars="0"/>
      <w:outlineLvl w:val="0"/>
    </w:pPr>
    <w:rPr>
      <w:rFonts w:ascii="Calibri" w:hAnsi="Calibri" w:eastAsia="黑体" w:cs="Times New Roman"/>
      <w:b/>
      <w:kern w:val="44"/>
    </w:rPr>
  </w:style>
  <w:style w:type="paragraph" w:styleId="3">
    <w:name w:val="heading 2"/>
    <w:basedOn w:val="1"/>
    <w:next w:val="1"/>
    <w:link w:val="29"/>
    <w:unhideWhenUsed/>
    <w:qFormat/>
    <w:uiPriority w:val="0"/>
    <w:pPr>
      <w:keepNext/>
      <w:keepLines w:val="0"/>
      <w:numPr>
        <w:ilvl w:val="1"/>
        <w:numId w:val="1"/>
      </w:numPr>
      <w:spacing w:before="140" w:beforeLines="0" w:beforeAutospacing="0" w:after="20" w:afterLines="0" w:afterAutospacing="0" w:line="240" w:lineRule="auto"/>
      <w:ind w:left="0" w:firstLine="0" w:firstLineChars="0"/>
      <w:outlineLvl w:val="1"/>
    </w:pPr>
    <w:rPr>
      <w:rFonts w:ascii="Arial" w:hAnsi="Arial" w:eastAsia="楷体" w:cs="Times New Roman"/>
      <w:b/>
    </w:rPr>
  </w:style>
  <w:style w:type="paragraph" w:styleId="4">
    <w:name w:val="heading 3"/>
    <w:basedOn w:val="1"/>
    <w:next w:val="1"/>
    <w:link w:val="28"/>
    <w:unhideWhenUsed/>
    <w:qFormat/>
    <w:uiPriority w:val="0"/>
    <w:pPr>
      <w:keepNext/>
      <w:keepLines w:val="0"/>
      <w:numPr>
        <w:ilvl w:val="2"/>
        <w:numId w:val="2"/>
      </w:numPr>
      <w:spacing w:before="160" w:beforeLines="0" w:beforeAutospacing="0" w:after="50" w:afterAutospacing="0" w:line="372" w:lineRule="auto"/>
      <w:ind w:left="0" w:firstLine="400" w:firstLineChars="0"/>
      <w:outlineLvl w:val="2"/>
    </w:pPr>
    <w:rPr>
      <w:rFonts w:ascii="Calibri" w:hAnsi="Calibri"/>
    </w:rPr>
  </w:style>
  <w:style w:type="paragraph" w:styleId="5">
    <w:name w:val="heading 4"/>
    <w:basedOn w:val="1"/>
    <w:next w:val="1"/>
    <w:link w:val="30"/>
    <w:unhideWhenUsed/>
    <w:qFormat/>
    <w:uiPriority w:val="0"/>
    <w:pPr>
      <w:keepNext/>
      <w:keepLines w:val="0"/>
      <w:numPr>
        <w:ilvl w:val="3"/>
        <w:numId w:val="1"/>
      </w:numPr>
      <w:spacing w:before="40" w:beforeLines="0" w:beforeAutospacing="0" w:after="50" w:afterLines="0" w:afterAutospacing="0" w:line="360" w:lineRule="auto"/>
      <w:ind w:left="0" w:firstLine="403" w:firstLineChars="0"/>
      <w:outlineLvl w:val="3"/>
    </w:pPr>
    <w:rPr>
      <w:rFonts w:ascii="Arial" w:hAnsi="Arial" w:eastAsia="黑体" w:cs="Times New Roman"/>
      <w:sz w:val="28"/>
    </w:rPr>
  </w:style>
  <w:style w:type="paragraph" w:styleId="6">
    <w:name w:val="heading 5"/>
    <w:basedOn w:val="1"/>
    <w:next w:val="1"/>
    <w:link w:val="31"/>
    <w:unhideWhenUsed/>
    <w:qFormat/>
    <w:uiPriority w:val="0"/>
    <w:pPr>
      <w:keepNext/>
      <w:keepLines w:val="0"/>
      <w:numPr>
        <w:ilvl w:val="4"/>
        <w:numId w:val="1"/>
      </w:numPr>
      <w:spacing w:before="40" w:beforeLines="0" w:beforeAutospacing="0" w:after="50" w:afterLines="0" w:afterAutospacing="0" w:line="372" w:lineRule="auto"/>
      <w:ind w:left="0" w:firstLine="402" w:firstLineChars="0"/>
      <w:outlineLvl w:val="4"/>
    </w:p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8">
    <w:name w:val="Default Paragraph Font"/>
    <w:semiHidden/>
    <w:qFormat/>
    <w:uiPriority w:val="0"/>
    <w:rPr>
      <w:rFonts w:ascii="Calibri" w:hAnsi="Calibri" w:eastAsia="仿宋"/>
      <w:sz w:val="32"/>
    </w:rPr>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11">
    <w:name w:val="caption"/>
    <w:basedOn w:val="1"/>
    <w:next w:val="1"/>
    <w:unhideWhenUsed/>
    <w:qFormat/>
    <w:uiPriority w:val="0"/>
    <w:pPr>
      <w:ind w:firstLine="0" w:firstLineChars="0"/>
    </w:pPr>
    <w:rPr>
      <w:rFonts w:ascii="Arial" w:hAnsi="Arial" w:eastAsia="黑体"/>
      <w:sz w:val="20"/>
    </w:rPr>
  </w:style>
  <w:style w:type="paragraph" w:styleId="12">
    <w:name w:val="Body Text"/>
    <w:basedOn w:val="1"/>
    <w:uiPriority w:val="0"/>
    <w:pPr>
      <w:spacing w:after="120" w:afterLines="0" w:afterAutospacing="0"/>
    </w:pPr>
  </w:style>
  <w:style w:type="paragraph" w:styleId="13">
    <w:name w:val="table of figures"/>
    <w:basedOn w:val="1"/>
    <w:next w:val="1"/>
    <w:qFormat/>
    <w:uiPriority w:val="0"/>
    <w:pPr>
      <w:ind w:left="1523" w:leftChars="200" w:firstLine="0" w:firstLineChars="0"/>
    </w:pPr>
  </w:style>
  <w:style w:type="paragraph" w:styleId="14">
    <w:name w:val="Normal (Web)"/>
    <w:basedOn w:val="1"/>
    <w:uiPriority w:val="0"/>
    <w:pPr>
      <w:spacing w:before="0" w:beforeAutospacing="1" w:after="0" w:afterAutospacing="1"/>
      <w:ind w:left="0" w:right="0"/>
      <w:jc w:val="left"/>
    </w:pPr>
    <w:rPr>
      <w:kern w:val="0"/>
      <w:sz w:val="24"/>
      <w:lang w:val="en-US" w:eastAsia="zh-CN" w:bidi="ar"/>
    </w:rPr>
  </w:style>
  <w:style w:type="paragraph" w:styleId="15">
    <w:name w:val="index 1"/>
    <w:basedOn w:val="1"/>
    <w:next w:val="1"/>
    <w:qFormat/>
    <w:uiPriority w:val="0"/>
  </w:style>
  <w:style w:type="paragraph" w:styleId="16">
    <w:name w:val="Body Text First Indent"/>
    <w:basedOn w:val="12"/>
    <w:next w:val="1"/>
    <w:uiPriority w:val="0"/>
    <w:pPr>
      <w:ind w:firstLine="420" w:firstLineChars="100"/>
    </w:pPr>
  </w:style>
  <w:style w:type="paragraph" w:customStyle="1" w:styleId="19">
    <w:name w:val="文头"/>
    <w:basedOn w:val="1"/>
    <w:link w:val="32"/>
    <w:qFormat/>
    <w:uiPriority w:val="0"/>
    <w:pPr>
      <w:keepNext/>
      <w:spacing w:line="360" w:lineRule="auto"/>
      <w:ind w:firstLine="0" w:firstLineChars="0"/>
      <w:jc w:val="center"/>
    </w:pPr>
    <w:rPr>
      <w:rFonts w:eastAsia="宋体"/>
      <w:b/>
      <w:sz w:val="44"/>
    </w:rPr>
  </w:style>
  <w:style w:type="paragraph" w:customStyle="1" w:styleId="20">
    <w:name w:val="标题4"/>
    <w:basedOn w:val="4"/>
    <w:qFormat/>
    <w:uiPriority w:val="0"/>
    <w:pPr>
      <w:numPr>
        <w:numId w:val="3"/>
      </w:numPr>
    </w:pPr>
  </w:style>
  <w:style w:type="paragraph" w:customStyle="1" w:styleId="21">
    <w:name w:val="表格1"/>
    <w:basedOn w:val="1"/>
    <w:qFormat/>
    <w:uiPriority w:val="0"/>
    <w:pPr>
      <w:ind w:firstLine="0" w:firstLineChars="0"/>
    </w:pPr>
  </w:style>
  <w:style w:type="paragraph" w:customStyle="1" w:styleId="22">
    <w:name w:val="表格"/>
    <w:basedOn w:val="1"/>
    <w:qFormat/>
    <w:uiPriority w:val="0"/>
    <w:pPr>
      <w:keepNext/>
      <w:keepLines w:val="0"/>
      <w:spacing w:line="480" w:lineRule="exact"/>
      <w:ind w:firstLine="0" w:firstLineChars="0"/>
      <w:jc w:val="center"/>
    </w:pPr>
    <w:rPr>
      <w:rFonts w:ascii="Times New Roman" w:hAnsi="Times New Roman" w:cs="Times New Roman"/>
      <w:sz w:val="21"/>
    </w:rPr>
  </w:style>
  <w:style w:type="paragraph" w:customStyle="1" w:styleId="23">
    <w:name w:val="表头"/>
    <w:basedOn w:val="19"/>
    <w:qFormat/>
    <w:uiPriority w:val="0"/>
    <w:rPr>
      <w:rFonts w:eastAsia="黑体"/>
      <w:sz w:val="48"/>
    </w:rPr>
  </w:style>
  <w:style w:type="paragraph" w:customStyle="1" w:styleId="24">
    <w:name w:val="落款单位"/>
    <w:basedOn w:val="1"/>
    <w:qFormat/>
    <w:uiPriority w:val="0"/>
    <w:pPr>
      <w:tabs>
        <w:tab w:val="left" w:pos="3465"/>
      </w:tabs>
      <w:ind w:firstLine="5760" w:firstLineChars="1800"/>
    </w:pPr>
  </w:style>
  <w:style w:type="paragraph" w:customStyle="1" w:styleId="25">
    <w:name w:val="落款日期"/>
    <w:basedOn w:val="24"/>
    <w:qFormat/>
    <w:uiPriority w:val="0"/>
    <w:pPr>
      <w:ind w:firstLine="4960" w:firstLineChars="1550"/>
    </w:pPr>
  </w:style>
  <w:style w:type="paragraph" w:customStyle="1" w:styleId="26">
    <w:name w:val="文号"/>
    <w:basedOn w:val="1"/>
    <w:qFormat/>
    <w:uiPriority w:val="0"/>
    <w:pPr>
      <w:ind w:firstLine="0" w:firstLineChars="0"/>
      <w:jc w:val="center"/>
    </w:pPr>
  </w:style>
  <w:style w:type="character" w:customStyle="1" w:styleId="27">
    <w:name w:val="标题 1 Char"/>
    <w:link w:val="2"/>
    <w:qFormat/>
    <w:uiPriority w:val="0"/>
    <w:rPr>
      <w:rFonts w:ascii="Calibri" w:hAnsi="Calibri" w:eastAsia="黑体" w:cs="Times New Roman"/>
      <w:b/>
      <w:kern w:val="44"/>
    </w:rPr>
  </w:style>
  <w:style w:type="character" w:customStyle="1" w:styleId="28">
    <w:name w:val="标题 3 Char"/>
    <w:link w:val="4"/>
    <w:qFormat/>
    <w:uiPriority w:val="0"/>
    <w:rPr>
      <w:rFonts w:ascii="Calibri" w:hAnsi="Calibri" w:eastAsia="仿宋"/>
    </w:rPr>
  </w:style>
  <w:style w:type="character" w:customStyle="1" w:styleId="29">
    <w:name w:val="标题 2 Char"/>
    <w:link w:val="3"/>
    <w:qFormat/>
    <w:uiPriority w:val="0"/>
    <w:rPr>
      <w:rFonts w:ascii="Arial" w:hAnsi="Arial" w:eastAsia="楷体" w:cs="Times New Roman"/>
      <w:b/>
      <w:szCs w:val="32"/>
    </w:rPr>
  </w:style>
  <w:style w:type="character" w:customStyle="1" w:styleId="30">
    <w:name w:val="标题 4 Char"/>
    <w:basedOn w:val="18"/>
    <w:link w:val="5"/>
    <w:qFormat/>
    <w:uiPriority w:val="0"/>
    <w:rPr>
      <w:rFonts w:ascii="Arial" w:hAnsi="Arial" w:eastAsia="黑体" w:cs="Times New Roman"/>
      <w:sz w:val="28"/>
      <w:szCs w:val="24"/>
    </w:rPr>
  </w:style>
  <w:style w:type="character" w:customStyle="1" w:styleId="31">
    <w:name w:val="标题 5 Char"/>
    <w:link w:val="6"/>
    <w:qFormat/>
    <w:uiPriority w:val="0"/>
    <w:rPr>
      <w:rFonts w:ascii="Times New Roman" w:hAnsi="Times New Roman" w:eastAsia="仿宋" w:cs="Times New Roman"/>
      <w:sz w:val="32"/>
      <w:szCs w:val="24"/>
    </w:rPr>
  </w:style>
  <w:style w:type="character" w:customStyle="1" w:styleId="32">
    <w:name w:val="文头 Char"/>
    <w:link w:val="19"/>
    <w:uiPriority w:val="0"/>
    <w:rPr>
      <w:rFonts w:eastAsia="宋体"/>
      <w:b/>
      <w:sz w:val="44"/>
    </w:rPr>
  </w:style>
  <w:style w:type="paragraph" w:customStyle="1" w:styleId="33">
    <w:name w:val="表格2"/>
    <w:basedOn w:val="1"/>
    <w:uiPriority w:val="0"/>
    <w:pPr>
      <w:keepNext/>
      <w:spacing w:line="480" w:lineRule="exact"/>
      <w:ind w:firstLine="0" w:firstLineChars="0"/>
      <w:jc w:val="center"/>
    </w:pPr>
    <w:rPr>
      <w:rFonts w:hint="eastAsia" w:ascii="Times New Roman" w:hAnsi="Times New Roman" w:cs="Times New Roman"/>
      <w:sz w:val="21"/>
    </w:rPr>
  </w:style>
  <w:style w:type="paragraph" w:customStyle="1" w:styleId="34">
    <w:name w:val="黑体加粗"/>
    <w:basedOn w:val="1"/>
    <w:next w:val="1"/>
    <w:uiPriority w:val="0"/>
    <w:rPr>
      <w:rFonts w:eastAsia="黑体"/>
      <w:b/>
    </w:rPr>
  </w:style>
  <w:style w:type="character" w:customStyle="1" w:styleId="35">
    <w:name w:val="font01"/>
    <w:basedOn w:val="18"/>
    <w:uiPriority w:val="0"/>
    <w:rPr>
      <w:rFonts w:hint="eastAsia" w:ascii="仿宋" w:hAnsi="仿宋" w:eastAsia="仿宋" w:cs="仿宋"/>
      <w:color w:val="000000"/>
      <w:sz w:val="28"/>
      <w:szCs w:val="28"/>
      <w:u w:val="none"/>
    </w:rPr>
  </w:style>
  <w:style w:type="character" w:customStyle="1" w:styleId="36">
    <w:name w:val="font41"/>
    <w:basedOn w:val="18"/>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2021-09-08T06:24:00Z</dcterms:created>
  <dc:creator>萌萌妈</dc:creator>
  <cp:lastModifiedBy>Administrator</cp:lastModifiedBy>
  <dcterms:modified xsi:type="dcterms:W3CDTF">2023-11-22T01:49:28Z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293B95223BB347ADB81FC4371BB6371A</vt:lpwstr>
  </property>
</Properties>
</file>