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B3" w:rsidRPr="009C4DF5" w:rsidRDefault="009C4DF5" w:rsidP="009C4DF5">
      <w:pPr>
        <w:spacing w:line="880" w:lineRule="exact"/>
        <w:jc w:val="center"/>
        <w:rPr>
          <w:rFonts w:ascii="方正小标宋简体" w:eastAsia="方正小标宋简体"/>
          <w:color w:val="FF0000"/>
          <w:spacing w:val="36"/>
          <w:w w:val="60"/>
          <w:sz w:val="80"/>
          <w:szCs w:val="80"/>
        </w:rPr>
      </w:pPr>
      <w:r>
        <w:rPr>
          <w:rFonts w:ascii="方正小标宋简体" w:eastAsia="方正小标宋简体"/>
          <w:noProof/>
          <w:color w:val="FF0000"/>
          <w:spacing w:val="36"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-447675</wp:posOffset>
                </wp:positionV>
                <wp:extent cx="5615940" cy="9305925"/>
                <wp:effectExtent l="0" t="0" r="41910" b="4762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9305925"/>
                          <a:chOff x="1585" y="1393"/>
                          <a:chExt cx="8844" cy="13852"/>
                        </a:xfrm>
                      </wpg:grpSpPr>
                      <wps:wsp>
                        <wps:cNvPr id="3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5" y="1393"/>
                            <a:ext cx="8808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DF5" w:rsidRDefault="009C4DF5" w:rsidP="009C4DF5">
                              <w:pPr>
                                <w:jc w:val="distribute"/>
                                <w:rPr>
                                  <w:color w:val="EA5531"/>
                                  <w:w w:val="58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EA5531"/>
                                  <w:w w:val="58"/>
                                  <w:sz w:val="96"/>
                                  <w:szCs w:val="96"/>
                                </w:rPr>
                                <w:t>北京市西城区城市管理委员会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直线 18"/>
                        <wps:cNvCnPr>
                          <a:cxnSpLocks noChangeShapeType="1"/>
                        </wps:cNvCnPr>
                        <wps:spPr bwMode="auto">
                          <a:xfrm>
                            <a:off x="1585" y="2884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50800" cmpd="thickThin">
                            <a:solidFill>
                              <a:srgbClr val="EA55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线 19"/>
                        <wps:cNvCnPr>
                          <a:cxnSpLocks noChangeShapeType="1"/>
                        </wps:cNvCnPr>
                        <wps:spPr bwMode="auto">
                          <a:xfrm>
                            <a:off x="1585" y="15245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50800" cmpd="thinThick">
                            <a:solidFill>
                              <a:srgbClr val="EA55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0;margin-top:-35.25pt;width:442.2pt;height:732.75pt;z-index:-251657216" coordorigin="1585,1393" coordsize="8844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" o:spid="_x0000_s1027" type="#_x0000_t202" style="position:absolute;left:1585;top:1393;width:880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C4DF5" w:rsidRDefault="009C4DF5" w:rsidP="009C4DF5">
                        <w:pPr>
                          <w:jc w:val="distribute"/>
                          <w:rPr>
                            <w:color w:val="EA5531"/>
                            <w:w w:val="58"/>
                            <w:sz w:val="96"/>
                            <w:szCs w:val="9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EA5531"/>
                            <w:w w:val="58"/>
                            <w:sz w:val="96"/>
                            <w:szCs w:val="96"/>
                          </w:rPr>
                          <w:t>北京市西城区城市管理委员会</w:t>
                        </w:r>
                      </w:p>
                    </w:txbxContent>
                  </v:textbox>
                </v:shape>
                <v:line id="直线 18" o:spid="_x0000_s1028" style="position:absolute;visibility:visible;mso-wrap-style:square" from="1585,2884" to="10429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" strokecolor="#ea5531" strokeweight="4pt">
                  <v:stroke linestyle="thickThin"/>
                </v:line>
                <v:line id="直线 19" o:spid="_x0000_s1029" style="position:absolute;visibility:visible;mso-wrap-style:square" from="1585,15245" to="10429,1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" strokecolor="#ea5531" strokeweight="4pt">
                  <v:stroke linestyle="thinThick"/>
                </v:line>
              </v:group>
            </w:pict>
          </mc:Fallback>
        </mc:AlternateContent>
      </w:r>
    </w:p>
    <w:p w:rsidR="0039060A" w:rsidRDefault="003906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西城</w:t>
      </w:r>
      <w:r w:rsidR="00B40A0F">
        <w:rPr>
          <w:rFonts w:ascii="黑体" w:eastAsia="黑体" w:hAnsi="黑体" w:hint="eastAsia"/>
          <w:sz w:val="44"/>
          <w:szCs w:val="44"/>
        </w:rPr>
        <w:t>区城市管理</w:t>
      </w:r>
      <w:r>
        <w:rPr>
          <w:rFonts w:ascii="黑体" w:eastAsia="黑体" w:hAnsi="黑体" w:hint="eastAsia"/>
          <w:sz w:val="44"/>
          <w:szCs w:val="44"/>
        </w:rPr>
        <w:t>委员会</w:t>
      </w:r>
    </w:p>
    <w:p w:rsidR="00452FB3" w:rsidRDefault="00B40A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 w:rsidR="00F7405E"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年行政执法统计年报</w:t>
      </w:r>
    </w:p>
    <w:p w:rsidR="00452FB3" w:rsidRPr="0039060A" w:rsidRDefault="00452FB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52FB3" w:rsidRDefault="00B40A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7405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委行政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执法工作在区委、区政府和区司法局的指导和支持下，按照区新冠肺炎疫情防控整体部署，严格落实疫情防控责任，立足首都城市战略定位，围绕年初制定的行政执法工作目标和要点，认真履职，严格执法，加强城市管理行政执法工作力度，认真探索行政执法工作的新思路，努力创新工作机制，不断优化执法环境，拓宽行政执法领域，切实提高了行政执法的针对性和实效性。</w:t>
      </w:r>
    </w:p>
    <w:p w:rsidR="00452FB3" w:rsidRDefault="00B40A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现将202</w:t>
      </w:r>
      <w:r w:rsidR="00F7405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年行政执法工作情况汇报如下：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一、执法主体名称和数量情况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proofErr w:type="gramStart"/>
      <w:r>
        <w:rPr>
          <w:rFonts w:ascii="仿宋" w:eastAsia="仿宋" w:hAnsi="仿宋" w:hint="eastAsia"/>
          <w:sz w:val="32"/>
          <w:szCs w:val="32"/>
        </w:rPr>
        <w:t>委对外</w:t>
      </w:r>
      <w:proofErr w:type="gramEnd"/>
      <w:r>
        <w:rPr>
          <w:rFonts w:ascii="仿宋" w:eastAsia="仿宋" w:hAnsi="仿宋" w:hint="eastAsia"/>
          <w:sz w:val="32"/>
          <w:szCs w:val="32"/>
        </w:rPr>
        <w:t>执法主体名称为</w:t>
      </w:r>
      <w:r w:rsidR="00AD3635">
        <w:rPr>
          <w:rFonts w:ascii="仿宋" w:eastAsia="仿宋" w:hAnsi="仿宋" w:hint="eastAsia"/>
          <w:sz w:val="32"/>
          <w:szCs w:val="32"/>
        </w:rPr>
        <w:t>北京市</w:t>
      </w:r>
      <w:r>
        <w:rPr>
          <w:rFonts w:ascii="仿宋" w:eastAsia="仿宋" w:hAnsi="仿宋" w:hint="eastAsia"/>
          <w:sz w:val="32"/>
          <w:szCs w:val="32"/>
        </w:rPr>
        <w:t>西城区城市管理委员会</w:t>
      </w:r>
      <w:r w:rsidR="00AD3635">
        <w:rPr>
          <w:rFonts w:ascii="仿宋" w:eastAsia="仿宋" w:hAnsi="仿宋" w:hint="eastAsia"/>
          <w:sz w:val="32"/>
          <w:szCs w:val="32"/>
        </w:rPr>
        <w:t>、北京市</w:t>
      </w:r>
      <w:r w:rsidR="00AD3635">
        <w:rPr>
          <w:rFonts w:ascii="仿宋" w:eastAsia="仿宋" w:hAnsi="仿宋"/>
          <w:sz w:val="32"/>
          <w:szCs w:val="32"/>
        </w:rPr>
        <w:t>西城区水务局</w:t>
      </w:r>
      <w:r>
        <w:rPr>
          <w:rFonts w:ascii="仿宋" w:eastAsia="仿宋" w:hAnsi="仿宋" w:hint="eastAsia"/>
          <w:sz w:val="32"/>
          <w:szCs w:val="32"/>
        </w:rPr>
        <w:t>。</w:t>
      </w:r>
      <w:r w:rsidR="00AD3635">
        <w:rPr>
          <w:rFonts w:ascii="仿宋" w:eastAsia="仿宋" w:hAnsi="仿宋" w:hint="eastAsia"/>
          <w:sz w:val="32"/>
          <w:szCs w:val="32"/>
        </w:rPr>
        <w:t>执法主体数量</w:t>
      </w:r>
      <w:r w:rsidR="00AD3635">
        <w:rPr>
          <w:rFonts w:ascii="仿宋" w:eastAsia="仿宋" w:hAnsi="仿宋"/>
          <w:sz w:val="32"/>
          <w:szCs w:val="32"/>
        </w:rPr>
        <w:t>为</w:t>
      </w:r>
      <w:r w:rsidR="00AD3635">
        <w:rPr>
          <w:rFonts w:ascii="仿宋" w:eastAsia="仿宋" w:hAnsi="仿宋" w:hint="eastAsia"/>
          <w:sz w:val="32"/>
          <w:szCs w:val="32"/>
        </w:rPr>
        <w:t>2。</w:t>
      </w:r>
      <w:bookmarkStart w:id="0" w:name="_GoBack"/>
      <w:bookmarkEnd w:id="0"/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二、执法岗位设置及执法人员在岗情况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我委共设置城市管理执法业务承办岗4个，水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执法岗2个，执法监督岗位1个。执法人员</w:t>
      </w:r>
      <w:proofErr w:type="gramStart"/>
      <w:r>
        <w:rPr>
          <w:rFonts w:ascii="仿宋" w:eastAsia="仿宋" w:hAnsi="仿宋" w:hint="eastAsia"/>
          <w:sz w:val="32"/>
          <w:szCs w:val="32"/>
        </w:rPr>
        <w:t>在岗率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100%。 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三、执法力量投入情况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7405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我委开展了对城市道路养护、维修工程的质量进行监督检查、对水影响评价（水土保持）工作情况进行监管、对供水单位、用水单位和用水户节约用水情况进行监管、对户外广告的监督管理、对违反规定设置的户外广告设施进行纠正或者撤销、进入燃气燃烧器具安装、维修企业进行检</w:t>
      </w:r>
      <w:r>
        <w:rPr>
          <w:rFonts w:ascii="仿宋" w:eastAsia="仿宋" w:hAnsi="仿宋" w:hint="eastAsia"/>
          <w:sz w:val="32"/>
          <w:szCs w:val="32"/>
        </w:rPr>
        <w:lastRenderedPageBreak/>
        <w:t>查，同时开展了垃圾渣土运输、垃圾分类、路侧停车等执法检查专项行动，并协调相关部门、街道、社区力量，针对我区的城市管理领域实施多次检查行动，确保了我区城市管理事业发展有序、规范。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四、政务服务事项的办理情况。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D53D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年我委办理政务服务事项如下: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01、公共场所设置标语、宣传品批准（行政许可）：</w:t>
      </w:r>
      <w:r w:rsidR="008D53DA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02、临时占用城市道路许可事项（行政许可）：29件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03、临时挖掘城市道路许可事项（行政许可）：</w:t>
      </w:r>
      <w:r w:rsidR="008D53DA">
        <w:rPr>
          <w:rFonts w:ascii="仿宋" w:eastAsia="仿宋" w:hAnsi="仿宋" w:hint="eastAsia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04、燃气</w:t>
      </w:r>
      <w:r w:rsidR="008D53DA">
        <w:rPr>
          <w:rFonts w:ascii="仿宋" w:eastAsia="仿宋" w:hAnsi="仿宋" w:hint="eastAsia"/>
          <w:sz w:val="32"/>
          <w:szCs w:val="32"/>
        </w:rPr>
        <w:t>燃烧器具安装维修企业资质</w:t>
      </w:r>
      <w:r>
        <w:rPr>
          <w:rFonts w:ascii="仿宋" w:eastAsia="仿宋" w:hAnsi="仿宋" w:hint="eastAsia"/>
          <w:sz w:val="32"/>
          <w:szCs w:val="32"/>
        </w:rPr>
        <w:t>（行政许可）：</w:t>
      </w:r>
      <w:r w:rsidR="008D53D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05、建筑垃圾、土方、砂石运输车辆准运许可（行政许可）：</w:t>
      </w:r>
      <w:r w:rsidR="008D53DA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06、夜景照明方案审核行政许可（行政许可）：</w:t>
      </w:r>
      <w:r w:rsidR="008D53D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07、普通类景观照明建设方案审核（行政许可）：0件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08、西城区核定用水计划指标审批（中小</w:t>
      </w:r>
      <w:proofErr w:type="gramStart"/>
      <w:r>
        <w:rPr>
          <w:rFonts w:ascii="仿宋" w:eastAsia="仿宋" w:hAnsi="仿宋" w:hint="eastAsia"/>
          <w:sz w:val="32"/>
          <w:szCs w:val="32"/>
        </w:rPr>
        <w:t>微企业</w:t>
      </w:r>
      <w:proofErr w:type="gramEnd"/>
      <w:r>
        <w:rPr>
          <w:rFonts w:ascii="仿宋" w:eastAsia="仿宋" w:hAnsi="仿宋" w:hint="eastAsia"/>
          <w:sz w:val="32"/>
          <w:szCs w:val="32"/>
        </w:rPr>
        <w:t>简易审批）（行政许可）：</w:t>
      </w:r>
      <w:r w:rsidR="008D53DA">
        <w:rPr>
          <w:rFonts w:ascii="仿宋" w:eastAsia="仿宋" w:hAnsi="仿宋" w:hint="eastAsia"/>
          <w:sz w:val="32"/>
          <w:szCs w:val="32"/>
        </w:rPr>
        <w:t>206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09、施工</w:t>
      </w:r>
      <w:proofErr w:type="gramStart"/>
      <w:r>
        <w:rPr>
          <w:rFonts w:ascii="仿宋" w:eastAsia="仿宋" w:hAnsi="仿宋" w:hint="eastAsia"/>
          <w:sz w:val="32"/>
          <w:szCs w:val="32"/>
        </w:rPr>
        <w:t>性临时</w:t>
      </w:r>
      <w:proofErr w:type="gramEnd"/>
      <w:r>
        <w:rPr>
          <w:rFonts w:ascii="仿宋" w:eastAsia="仿宋" w:hAnsi="仿宋" w:hint="eastAsia"/>
          <w:sz w:val="32"/>
          <w:szCs w:val="32"/>
        </w:rPr>
        <w:t>用水行政许可（行政许可）：0件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D53DA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、设置建筑垃圾渣土消纳备案事项（其他行政权力）：</w:t>
      </w:r>
      <w:r w:rsidR="008D53DA">
        <w:rPr>
          <w:rFonts w:ascii="仿宋" w:eastAsia="仿宋" w:hAnsi="仿宋" w:hint="eastAsia"/>
          <w:sz w:val="32"/>
          <w:szCs w:val="32"/>
        </w:rPr>
        <w:t>1800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D53D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、对区级供热单位予以补贴（其他行政权力）：329件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D53D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、对供热单位进行备案（其他行政权力）：</w:t>
      </w:r>
      <w:r w:rsidR="008D53DA">
        <w:rPr>
          <w:rFonts w:ascii="仿宋" w:eastAsia="仿宋" w:hAnsi="仿宋" w:hint="eastAsia"/>
          <w:sz w:val="32"/>
          <w:szCs w:val="32"/>
        </w:rPr>
        <w:t>94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8D53D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、经营性停车场备案（其他行政权力）：2</w:t>
      </w:r>
      <w:r w:rsidR="008D53DA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五、执法检查计划执行情况。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D53D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年，我委结合市、区重点执法工作，制定年度执法</w:t>
      </w:r>
      <w:r>
        <w:rPr>
          <w:rFonts w:ascii="仿宋" w:eastAsia="仿宋" w:hAnsi="仿宋" w:hint="eastAsia"/>
          <w:sz w:val="32"/>
          <w:szCs w:val="32"/>
        </w:rPr>
        <w:lastRenderedPageBreak/>
        <w:t>检查计划，全年共进行行政执法检查</w:t>
      </w:r>
      <w:r w:rsidRPr="00B40A0F">
        <w:rPr>
          <w:rFonts w:ascii="仿宋" w:eastAsia="仿宋" w:hAnsi="仿宋" w:hint="eastAsia"/>
          <w:sz w:val="32"/>
          <w:szCs w:val="32"/>
        </w:rPr>
        <w:t>1473件，人均执法检查294.6件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六、行政处罚、行政强制等案件办理情况。</w:t>
      </w:r>
    </w:p>
    <w:p w:rsidR="00452FB3" w:rsidRDefault="00B40A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202</w:t>
      </w:r>
      <w:r w:rsidR="008D53D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年区我委</w:t>
      </w:r>
      <w:proofErr w:type="gramEnd"/>
      <w:r>
        <w:rPr>
          <w:rFonts w:ascii="仿宋" w:eastAsia="仿宋" w:hAnsi="仿宋" w:hint="eastAsia"/>
          <w:sz w:val="32"/>
          <w:szCs w:val="32"/>
        </w:rPr>
        <w:t>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重点针对区计划用水管理单位及洗车站点违法违规行为，实现洗车站点检查全覆盖；在执法过程中，我委执法人员均做到持证上岗、亮证执法，对处理处罚履行法定告知程序；无行政不作为和乱作为现象，无行政复议、行政诉讼事项发生。二是全面推行行政执法公示制度，按照“谁执法谁公示”的原则，通过强化事前公开、规范事中公示、加强事后公开等方式，借助西城政务网站、大厅公示栏、服务窗口等载体，依法及时向社会公开行政执法的基本信息和结果信息。三是全面推行执法全过程记录制度，通过完善文字记录、规范音像记录、严格记录归档、发挥记录作用等，对行政执法的启动、调查取证、审核决定、送达执行等全部过程进行记录，全面系统归档保存，做到执法全过程留痕和</w:t>
      </w:r>
      <w:proofErr w:type="gramStart"/>
      <w:r>
        <w:rPr>
          <w:rFonts w:ascii="仿宋" w:eastAsia="仿宋" w:hAnsi="仿宋" w:hint="eastAsia"/>
          <w:sz w:val="32"/>
          <w:szCs w:val="32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</w:rPr>
        <w:t>回溯管理。四是预防争议确保零纠错零败诉。着力推进行政执法严格规范公正文明，不断健全执法制度，完善执法秩序，创新执法方式，强化执法监督，全面提高综合执法效能，确保依法履行法治职责，切实维护行政执法相对人的合法权益，为推进法治政府建设及打造良好的营商环境奠定坚实基础。五是针对下放职权认真培训，由水</w:t>
      </w:r>
      <w:proofErr w:type="gramStart"/>
      <w:r>
        <w:rPr>
          <w:rFonts w:ascii="仿宋" w:eastAsia="仿宋" w:hAnsi="仿宋" w:hint="eastAsia"/>
          <w:sz w:val="32"/>
          <w:szCs w:val="32"/>
        </w:rPr>
        <w:t>政综合</w:t>
      </w:r>
      <w:proofErr w:type="gramEnd"/>
      <w:r>
        <w:rPr>
          <w:rFonts w:ascii="仿宋" w:eastAsia="仿宋" w:hAnsi="仿宋" w:hint="eastAsia"/>
          <w:sz w:val="32"/>
          <w:szCs w:val="32"/>
        </w:rPr>
        <w:t>执法总队、排水集团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分公司、区水务局副局长进行线上授课，组织各街道办事处完成12学时的水务职权下放专项执法培训工作。组织街道办事处落实了行政执法公示制度、执</w:t>
      </w:r>
      <w:r>
        <w:rPr>
          <w:rFonts w:ascii="仿宋" w:eastAsia="仿宋" w:hAnsi="仿宋" w:hint="eastAsia"/>
          <w:sz w:val="32"/>
          <w:szCs w:val="32"/>
        </w:rPr>
        <w:lastRenderedPageBreak/>
        <w:t>法全过程记录制度、重大执法决定法制审核制度，规范实施行政处罚量基准制度，指导街道城管队完成水务行政处罚。六是强化队伍建设，坚持强化指导与岗位练兵相结合，努力提高行政执法的精确性。全面提高执法人员素质，为切实提高执法人员的业务素质和执法水平，我们始终把相关法律法规的学习和法律培训作为一项重要工作来抓，在本年度先后集中组织学习了《行政处罚法》、《行政许可法》、《行政复议法》、《行政赔偿法》、《民法典》、《北京市节约用水办法》等法律、法规。</w:t>
      </w:r>
    </w:p>
    <w:p w:rsidR="00452FB3" w:rsidRDefault="00B40A0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七、投诉、举报案件的受理和分类办理情况。</w:t>
      </w:r>
    </w:p>
    <w:p w:rsidR="00452FB3" w:rsidRDefault="00B40A0F" w:rsidP="00B40A0F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2021年，我委围绕解决群众“急难愁盼”问题，深化主动治理、未诉先办，加强分析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判，坚持日汇总、周调度、</w:t>
      </w:r>
      <w:proofErr w:type="gramStart"/>
      <w:r>
        <w:rPr>
          <w:rFonts w:ascii="仿宋" w:eastAsia="仿宋" w:hAnsi="仿宋" w:hint="eastAsia"/>
          <w:sz w:val="32"/>
          <w:szCs w:val="32"/>
        </w:rPr>
        <w:t>月分</w:t>
      </w:r>
      <w:proofErr w:type="gramEnd"/>
      <w:r>
        <w:rPr>
          <w:rFonts w:ascii="仿宋" w:eastAsia="仿宋" w:hAnsi="仿宋" w:hint="eastAsia"/>
          <w:sz w:val="32"/>
          <w:szCs w:val="32"/>
        </w:rPr>
        <w:t>析，未诉先办做好周期性诉求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判预警和应对处置工作。</w:t>
      </w:r>
      <w:proofErr w:type="gramStart"/>
      <w:r w:rsidRPr="00B40A0F">
        <w:rPr>
          <w:rFonts w:ascii="仿宋" w:eastAsia="仿宋" w:hAnsi="仿宋" w:hint="eastAsia"/>
          <w:sz w:val="32"/>
          <w:szCs w:val="32"/>
        </w:rPr>
        <w:t>全年我</w:t>
      </w:r>
      <w:proofErr w:type="gramEnd"/>
      <w:r w:rsidRPr="00B40A0F">
        <w:rPr>
          <w:rFonts w:ascii="仿宋" w:eastAsia="仿宋" w:hAnsi="仿宋" w:hint="eastAsia"/>
          <w:sz w:val="32"/>
          <w:szCs w:val="32"/>
        </w:rPr>
        <w:t>委共接到区中心转派工单4739件，其中受理2439件，退回2300件。市中心有效回访1061件，剔除539件，其中双是467件，</w:t>
      </w:r>
      <w:proofErr w:type="gramStart"/>
      <w:r w:rsidRPr="00B40A0F">
        <w:rPr>
          <w:rFonts w:ascii="仿宋" w:eastAsia="仿宋" w:hAnsi="仿宋" w:hint="eastAsia"/>
          <w:sz w:val="32"/>
          <w:szCs w:val="32"/>
        </w:rPr>
        <w:t>双否24件</w:t>
      </w:r>
      <w:proofErr w:type="gramEnd"/>
      <w:r w:rsidRPr="00B40A0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B40A0F">
        <w:rPr>
          <w:rFonts w:ascii="仿宋" w:eastAsia="仿宋" w:hAnsi="仿宋" w:hint="eastAsia"/>
          <w:sz w:val="32"/>
          <w:szCs w:val="32"/>
        </w:rPr>
        <w:t>单否31件</w:t>
      </w:r>
      <w:proofErr w:type="gramEnd"/>
      <w:r w:rsidRPr="00B40A0F">
        <w:rPr>
          <w:rFonts w:ascii="仿宋" w:eastAsia="仿宋" w:hAnsi="仿宋" w:hint="eastAsia"/>
          <w:sz w:val="32"/>
          <w:szCs w:val="32"/>
        </w:rPr>
        <w:t>。市回访解决率90.04%，满意率93.41%。我委受理案件中，交通管理类占74.09%；市政管理类占6.89%；环境整治类占4.76%；环境卫生类占4.31%；路灯照明类占4.06%；架空线入地类占2.21%；供暖管理类占1.93%；水务管理类占0.90%；能源协调类占0.82%；其他占0.04%。</w:t>
      </w:r>
    </w:p>
    <w:p w:rsidR="00452FB3" w:rsidRDefault="00B40A0F" w:rsidP="00B40A0F">
      <w:pPr>
        <w:ind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西城区城市管理委员会</w:t>
      </w:r>
    </w:p>
    <w:p w:rsidR="00452FB3" w:rsidRDefault="00B40A0F" w:rsidP="00B40A0F">
      <w:pPr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39060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年1月12日</w:t>
      </w:r>
    </w:p>
    <w:sectPr w:rsidR="0045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3D"/>
    <w:rsid w:val="000A6383"/>
    <w:rsid w:val="000B76CA"/>
    <w:rsid w:val="002F6B7C"/>
    <w:rsid w:val="00360598"/>
    <w:rsid w:val="0037141A"/>
    <w:rsid w:val="0039060A"/>
    <w:rsid w:val="00452FB3"/>
    <w:rsid w:val="004B5640"/>
    <w:rsid w:val="005718BC"/>
    <w:rsid w:val="006628B9"/>
    <w:rsid w:val="006A1732"/>
    <w:rsid w:val="006E433D"/>
    <w:rsid w:val="00766F26"/>
    <w:rsid w:val="008106F9"/>
    <w:rsid w:val="00822C92"/>
    <w:rsid w:val="008D53DA"/>
    <w:rsid w:val="009C4DF5"/>
    <w:rsid w:val="009E2886"/>
    <w:rsid w:val="00A03660"/>
    <w:rsid w:val="00A45D93"/>
    <w:rsid w:val="00AD3635"/>
    <w:rsid w:val="00B40A0F"/>
    <w:rsid w:val="00D864C9"/>
    <w:rsid w:val="00F7405E"/>
    <w:rsid w:val="00F91EA9"/>
    <w:rsid w:val="00FE2B52"/>
    <w:rsid w:val="0BFD13C0"/>
    <w:rsid w:val="0D4E2FA5"/>
    <w:rsid w:val="321F2C5E"/>
    <w:rsid w:val="371D201C"/>
    <w:rsid w:val="3C776906"/>
    <w:rsid w:val="3D291001"/>
    <w:rsid w:val="4B867651"/>
    <w:rsid w:val="5290006C"/>
    <w:rsid w:val="57A71560"/>
    <w:rsid w:val="57D20641"/>
    <w:rsid w:val="58B47F47"/>
    <w:rsid w:val="593F0CDD"/>
    <w:rsid w:val="5F6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E1A0"/>
  <w15:docId w15:val="{2D625032-12A2-4FE5-A8A2-23AD4B2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unhideWhenUsed/>
    <w:qFormat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327</Words>
  <Characters>1870</Characters>
  <Application>Microsoft Office Word</Application>
  <DocSecurity>0</DocSecurity>
  <Lines>15</Lines>
  <Paragraphs>4</Paragraphs>
  <ScaleCrop>false</ScaleCrop>
  <Company>MS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赵鹏程</cp:lastModifiedBy>
  <cp:revision>7</cp:revision>
  <cp:lastPrinted>2023-01-13T01:36:00Z</cp:lastPrinted>
  <dcterms:created xsi:type="dcterms:W3CDTF">2023-01-12T04:36:00Z</dcterms:created>
  <dcterms:modified xsi:type="dcterms:W3CDTF">2023-11-22T03:30:00Z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D42EAE88CECE462BA6C1E83F4B0C68A8</vt:lpwstr>
  </property>
</Properties>
</file>