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 xml:space="preserve"> 新街口街道办事处行政处罚免罚事项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清单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9"/>
        <w:tblW w:w="12774" w:type="dxa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裁量基准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C4600600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条第一款，第二十三条第一款第（一）项、第（二）项、第（三）项，及第二十四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第二款；处罚条款：第二十四条第二款，责令改正，并处200元以上1000元以下罚款。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擅自摆摊设点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乱堆物料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店外经营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违反条款：第三十五条第三款；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责令改正，并可处300元以上3000元以下的罚款.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在城市道路及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违反、处罚条款：第三十九第二款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责令停止使用，限期修复，并可处500元以上5000元以下罚款。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C4604900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随地吐痰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随地便溺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随地丢弃废弃物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违反条款：第五十二条第一款第（二）项；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乱倒污水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（垃圾）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违反、处罚条款：第五十三条第一款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责令限期改正，并可按照每只（头）处20元以上50元以下罚款。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违反条款：第三条第（一）项、第（二）项、第（三）项；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违反条款：第三条第一款、第二款；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处罚条款：第六条，责令改正，并处200元以上1000元以下罚款。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C4635200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无照经营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C4650900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违反条款：第二十三条；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违法设置固定式牌匾标识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违反条款：第三十条；第三十一条；第三十五条第二款；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  <w:t>（根据发生违法行为选择适用）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处罚条款：第四十九条第三款，以及《北京市市容环境卫生条例》第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条第一款，责令限期改正，逾期不改正的，予以强制拆除，并可处500元以上5000元以下罚款。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C4647800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违反条款：第二十六条第二款；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16" w:leftChars="200" w:firstLine="396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由生活垃圾分类管理责任人进行劝阻</w:t>
            </w:r>
            <w:r>
              <w:rPr>
                <w:rFonts w:hint="eastAsia" w:hAnsi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对单位：违反条款：第三十四条第一款第（二）项；处罚条款：第六十八条第一款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对个人：违反条款：第三十四条第一款第（二）项；处罚条款：第六十八条第二款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违反条款：第三十四条第二款；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违反条款：第三十六条第一款第（四）项；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违反条款：第十七条第（六）项；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公共场所标识单独使用外语的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违反条款：第十六条第一款；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由城市管理综合执法机构责令改正；拒不改正的，给予警告，并可处五千元以上一万元以下罚款。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应当设置、使用公共场所外语标识而未设置、使用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处罚条款：第三十一条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16" w:leftChars="200" w:firstLine="456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公共场所外语标识译写错误或者明显不当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违反条款：第十九条第一款；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处罚条款：第三十三条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08" w:firstLineChars="100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yellow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hanging="616" w:hanging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rtlGutter w:val="0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清单中未列明的其他执法事项，符合《中华人民共和国行政处罚法》规定的应当不予行政处罚或者酌定不予行政处罚情形的，按照《中华人民共和国行政处罚法》的规定依法执行</w:t>
      </w:r>
    </w:p>
    <w:p>
      <w:pPr>
        <w:widowControl/>
        <w:tabs>
          <w:tab w:val="left" w:pos="7513"/>
        </w:tabs>
        <w:spacing w:line="560" w:lineRule="exact"/>
        <w:jc w:val="left"/>
      </w:pPr>
    </w:p>
    <w:sectPr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280"/>
      <w:jc w:val="left"/>
      <w:rPr>
        <w:rFonts w:eastAsia="宋体"/>
        <w:sz w:val="18"/>
        <w:szCs w:val="18"/>
      </w:rPr>
    </w:pPr>
    <w:r>
      <w:rPr>
        <w:rStyle w:val="12"/>
        <w:rFonts w:ascii="Calibri" w:hAnsi="Calibri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2"/>
        <w:rFonts w:ascii="Calibri" w:hAnsi="Calibri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MTJjYTMxZDNiMDg3OWYyZTYyNmZiYzdiZDMyYjYifQ=="/>
    <w:docVar w:name="KGWebUrl" w:val="http://172.26.80.117:80/seeyon/officeservlet"/>
  </w:docVars>
  <w:rsids>
    <w:rsidRoot w:val="16E401CC"/>
    <w:rsid w:val="001A1FC5"/>
    <w:rsid w:val="00383B43"/>
    <w:rsid w:val="00847EAF"/>
    <w:rsid w:val="00C32795"/>
    <w:rsid w:val="01856881"/>
    <w:rsid w:val="064F0082"/>
    <w:rsid w:val="068F00E1"/>
    <w:rsid w:val="0B1F5E83"/>
    <w:rsid w:val="10BF0005"/>
    <w:rsid w:val="14123C2A"/>
    <w:rsid w:val="16E401CC"/>
    <w:rsid w:val="1AB04D0D"/>
    <w:rsid w:val="1BC752FA"/>
    <w:rsid w:val="1F5F4F7E"/>
    <w:rsid w:val="22491C56"/>
    <w:rsid w:val="29907C3F"/>
    <w:rsid w:val="2BE412CA"/>
    <w:rsid w:val="2BF77F01"/>
    <w:rsid w:val="2D827D1E"/>
    <w:rsid w:val="2DA03BFD"/>
    <w:rsid w:val="303005C8"/>
    <w:rsid w:val="34EC4C37"/>
    <w:rsid w:val="352B24C3"/>
    <w:rsid w:val="36FC9BE7"/>
    <w:rsid w:val="38A8133A"/>
    <w:rsid w:val="39DB03B0"/>
    <w:rsid w:val="3A325BDD"/>
    <w:rsid w:val="3C207A22"/>
    <w:rsid w:val="3D5E0C45"/>
    <w:rsid w:val="3E8527A2"/>
    <w:rsid w:val="412C782A"/>
    <w:rsid w:val="42277FF1"/>
    <w:rsid w:val="42BD3C4A"/>
    <w:rsid w:val="43772D70"/>
    <w:rsid w:val="445D3057"/>
    <w:rsid w:val="454C021D"/>
    <w:rsid w:val="45E55DAC"/>
    <w:rsid w:val="46CF1AB8"/>
    <w:rsid w:val="47A8519E"/>
    <w:rsid w:val="492905A3"/>
    <w:rsid w:val="49F8204D"/>
    <w:rsid w:val="4A015677"/>
    <w:rsid w:val="4DAF4C6A"/>
    <w:rsid w:val="514F07F2"/>
    <w:rsid w:val="5429480C"/>
    <w:rsid w:val="55D02E25"/>
    <w:rsid w:val="56461D11"/>
    <w:rsid w:val="581D2F60"/>
    <w:rsid w:val="599315A9"/>
    <w:rsid w:val="5AEB7ABE"/>
    <w:rsid w:val="5E0F1B60"/>
    <w:rsid w:val="613E2453"/>
    <w:rsid w:val="637F5A87"/>
    <w:rsid w:val="65B55A82"/>
    <w:rsid w:val="6D717C1E"/>
    <w:rsid w:val="6E59691F"/>
    <w:rsid w:val="7430760E"/>
    <w:rsid w:val="759F3666"/>
    <w:rsid w:val="75DB226C"/>
    <w:rsid w:val="761958C7"/>
    <w:rsid w:val="77842F43"/>
    <w:rsid w:val="78EE5834"/>
    <w:rsid w:val="79AC5FC4"/>
    <w:rsid w:val="7B1240D2"/>
    <w:rsid w:val="7C661737"/>
    <w:rsid w:val="7F69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Body Text Indent"/>
    <w:basedOn w:val="1"/>
    <w:qFormat/>
    <w:uiPriority w:val="0"/>
    <w:pPr>
      <w:ind w:left="284"/>
    </w:pPr>
    <w:rPr>
      <w:rFonts w:ascii="楷体_GB2312" w:eastAsia="楷体_GB2312"/>
      <w:sz w:val="84"/>
      <w:szCs w:val="20"/>
    </w:rPr>
  </w:style>
  <w:style w:type="paragraph" w:styleId="6">
    <w:name w:val="Date"/>
    <w:basedOn w:val="1"/>
    <w:next w:val="1"/>
    <w:unhideWhenUsed/>
    <w:qFormat/>
    <w:uiPriority w:val="0"/>
    <w:pPr>
      <w:ind w:left="100" w:leftChars="2500"/>
    </w:p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8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nhideWhenUsed/>
    <w:qFormat/>
    <w:uiPriority w:val="99"/>
  </w:style>
  <w:style w:type="paragraph" w:customStyle="1" w:styleId="13">
    <w:name w:val="大标题"/>
    <w:next w:val="1"/>
    <w:qFormat/>
    <w:uiPriority w:val="0"/>
    <w:pPr>
      <w:widowControl w:val="0"/>
      <w:spacing w:line="560" w:lineRule="exact"/>
      <w:jc w:val="center"/>
      <w:outlineLvl w:val="0"/>
    </w:pPr>
    <w:rPr>
      <w:rFonts w:ascii="方正小标宋简体" w:hAnsi="宋体" w:eastAsia="方正小标宋简体" w:cs="宋体"/>
      <w:snapToGrid w:val="0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10912</Words>
  <Characters>11364</Characters>
  <Lines>2</Lines>
  <Paragraphs>1</Paragraphs>
  <TotalTime>1</TotalTime>
  <ScaleCrop>false</ScaleCrop>
  <LinksUpToDate>false</LinksUpToDate>
  <CharactersWithSpaces>12072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2022-06-20T05:36:00Z</dcterms:created>
  <dc:creator>Administrator</dc:creator>
  <cp:lastModifiedBy>陈增</cp:lastModifiedBy>
  <dcterms:modified xsi:type="dcterms:W3CDTF">2023-11-23T02:48:06Z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8023C4787FBE427398B05B8949CBD825</vt:lpwstr>
  </property>
</Properties>
</file>