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0" w:name="_GoBack"/>
      <w:bookmarkEnd w:id="0"/>
      <w:r>
        <w:rPr>
          <w:rFonts w:hint="eastAsia" w:ascii="方正小标宋简体" w:hAnsi="方正小标宋简体" w:eastAsia="方正小标宋简体" w:cs="方正小标宋简体"/>
          <w:i w:val="0"/>
          <w:iCs w:val="0"/>
          <w:caps w:val="0"/>
          <w:color w:val="000000"/>
          <w:spacing w:val="0"/>
          <w:sz w:val="36"/>
          <w:szCs w:val="36"/>
          <w:lang w:eastAsia="zh-CN"/>
        </w:rPr>
        <w:t>行政职权</w:t>
      </w:r>
      <w:r>
        <w:rPr>
          <w:rFonts w:ascii="方正小标宋简体" w:hAnsi="方正小标宋简体" w:eastAsia="方正小标宋简体" w:cs="方正小标宋简体"/>
          <w:i w:val="0"/>
          <w:iCs w:val="0"/>
          <w:caps w:val="0"/>
          <w:color w:val="000000"/>
          <w:spacing w:val="0"/>
          <w:sz w:val="36"/>
          <w:szCs w:val="36"/>
        </w:rPr>
        <w:t>通用责任清单</w:t>
      </w:r>
    </w:p>
    <w:tbl>
      <w:tblPr>
        <w:tblStyle w:val="3"/>
        <w:tblW w:w="10500" w:type="dxa"/>
        <w:tblInd w:w="-96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39"/>
        <w:gridCol w:w="1625"/>
        <w:gridCol w:w="353"/>
        <w:gridCol w:w="78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5" w:hRule="atLeast"/>
        </w:trPr>
        <w:tc>
          <w:tcPr>
            <w:tcW w:w="10500" w:type="dxa"/>
            <w:gridSpan w:val="4"/>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lang w:eastAsia="zh-CN"/>
              </w:rPr>
              <w:t>一</w:t>
            </w:r>
            <w:r>
              <w:rPr>
                <w:rFonts w:hint="eastAsia" w:ascii="黑体" w:hAnsi="宋体" w:eastAsia="黑体" w:cs="黑体"/>
                <w:i w:val="0"/>
                <w:iCs w:val="0"/>
                <w:caps w:val="0"/>
                <w:color w:val="000000"/>
                <w:spacing w:val="0"/>
                <w:sz w:val="27"/>
                <w:szCs w:val="27"/>
              </w:rPr>
              <w:t>、行政处罚类行政职权运行通用责任清单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序号</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运行环节</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（一）立案</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对符合立案条件的案件及时立案。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2</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（二）调查</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出示执法身份证件，表明执法身份。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3</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应当有2名以上（含2名）行政执法人员共同参加调查取证。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4</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依法调查和保存证据。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5</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适用简易程序的，当场制作行政处罚决定书并当场交付，在事后难以执行及特殊情况下应当当场收缴罚款。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6</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适用简易程序的，执法人员当场作出的行政处罚决定应当报所属行政机关备案。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7</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（三）审查</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审理案件调查报告，对案件违法事实、证据、调查取证程序、法律适用、处罚种类和幅度、当事人陈述和申辩理由等方面进行审查，提出处理意见（主要证据不足时，以适当的方式补充调查）。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8</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构成犯罪的，移送司法机关依法追究刑事责任。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9</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（四）告知</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在作出行政处罚前，应告知当事人作出行政处罚决定的事实、理由及依据，并告知当事人依法享有的权利。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10</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依法告知当事人有举行听证的权利，当事人要求听证的，应当依法组织听证。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11</w:t>
            </w:r>
          </w:p>
        </w:tc>
        <w:tc>
          <w:tcPr>
            <w:tcW w:w="1978" w:type="dxa"/>
            <w:gridSpan w:val="2"/>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（五）决定</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充分听取当事人的意见，对当事人提出的事实、理由和证据，应当进行复核；当事人提出的事实、理由或者证据成立的，应当采纳，不得因当事人申辩而加重处罚。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12</w:t>
            </w:r>
          </w:p>
        </w:tc>
        <w:tc>
          <w:tcPr>
            <w:tcW w:w="1978" w:type="dxa"/>
            <w:gridSpan w:val="2"/>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对情节复杂或者重大违法行为给予较重的行政处罚，应当集体讨论决定。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13</w:t>
            </w:r>
          </w:p>
        </w:tc>
        <w:tc>
          <w:tcPr>
            <w:tcW w:w="1978" w:type="dxa"/>
            <w:gridSpan w:val="2"/>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依法决定给予行政处罚，制作行政处罚决定书，并在处罚决定书中告知对处罚决定不服的可以依法申请行政复议或者提起行政诉讼。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14</w:t>
            </w:r>
          </w:p>
        </w:tc>
        <w:tc>
          <w:tcPr>
            <w:tcW w:w="1978" w:type="dxa"/>
            <w:gridSpan w:val="2"/>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对当事人的同一个违法行为，不得给予两次以上罚款的行政处罚。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15</w:t>
            </w:r>
          </w:p>
        </w:tc>
        <w:tc>
          <w:tcPr>
            <w:tcW w:w="1978" w:type="dxa"/>
            <w:gridSpan w:val="2"/>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实施行政处罚时，应当责令当事人改正或者限期改正违法行为。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16</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（六）送达</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行政处罚决定书应当在宣告后当场交付当事人；当事人不在场的，行政机关应当在7日内依照民事诉讼法的有关规定，将行政处罚决定书送达当事人。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17</w:t>
            </w:r>
          </w:p>
        </w:tc>
        <w:tc>
          <w:tcPr>
            <w:tcW w:w="1978" w:type="dxa"/>
            <w:gridSpan w:val="2"/>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（七）执行</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使用法定部门制发的罚款、没收财物单据进行罚款、没收财物等处罚。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18</w:t>
            </w:r>
          </w:p>
        </w:tc>
        <w:tc>
          <w:tcPr>
            <w:tcW w:w="1978" w:type="dxa"/>
            <w:gridSpan w:val="2"/>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对当事人的同一个违法行为，不得给予两次以上罚款的行政处罚。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19</w:t>
            </w:r>
          </w:p>
        </w:tc>
        <w:tc>
          <w:tcPr>
            <w:tcW w:w="1978" w:type="dxa"/>
            <w:gridSpan w:val="2"/>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实施行政处罚时，应当责令当事人改正或者限期改正违法行为。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0500" w:type="dxa"/>
            <w:gridSpan w:val="4"/>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lang w:eastAsia="zh-CN"/>
              </w:rPr>
              <w:t>二</w:t>
            </w:r>
            <w:r>
              <w:rPr>
                <w:rFonts w:hint="eastAsia" w:ascii="黑体" w:hAnsi="宋体" w:eastAsia="黑体" w:cs="黑体"/>
                <w:i w:val="0"/>
                <w:iCs w:val="0"/>
                <w:caps w:val="0"/>
                <w:color w:val="000000"/>
                <w:spacing w:val="0"/>
                <w:sz w:val="27"/>
                <w:szCs w:val="27"/>
              </w:rPr>
              <w:t>、行政确认类行政职权运行通用责任清单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序号</w:t>
            </w:r>
          </w:p>
        </w:tc>
        <w:tc>
          <w:tcPr>
            <w:tcW w:w="16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运行环节</w:t>
            </w:r>
          </w:p>
        </w:tc>
        <w:tc>
          <w:tcPr>
            <w:tcW w:w="823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w:t>
            </w:r>
          </w:p>
        </w:tc>
        <w:tc>
          <w:tcPr>
            <w:tcW w:w="1625" w:type="dxa"/>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（一）受理</w:t>
            </w:r>
          </w:p>
        </w:tc>
        <w:tc>
          <w:tcPr>
            <w:tcW w:w="823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对符合确认条件的，当场受理。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2</w:t>
            </w:r>
          </w:p>
        </w:tc>
        <w:tc>
          <w:tcPr>
            <w:tcW w:w="1625" w:type="dxa"/>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823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申请材料不齐全或者不符合法定形式的，应当一次性告知申请人需要补正的全部内容和合理的补正期限。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3</w:t>
            </w:r>
          </w:p>
        </w:tc>
        <w:tc>
          <w:tcPr>
            <w:tcW w:w="1625" w:type="dxa"/>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823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对不符合受理条件的，应当书面告知办理人不予办理行政确认的理由和依据。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4</w:t>
            </w:r>
          </w:p>
        </w:tc>
        <w:tc>
          <w:tcPr>
            <w:tcW w:w="1625" w:type="dxa"/>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（二）确认</w:t>
            </w:r>
          </w:p>
        </w:tc>
        <w:tc>
          <w:tcPr>
            <w:tcW w:w="823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在法定期限（承诺期限）内完成确认。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5</w:t>
            </w:r>
          </w:p>
        </w:tc>
        <w:tc>
          <w:tcPr>
            <w:tcW w:w="1625" w:type="dxa"/>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823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严格按照流程图规定进行研究确认，不得提高确认标准、扩大确认范围等。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6</w:t>
            </w:r>
          </w:p>
        </w:tc>
        <w:tc>
          <w:tcPr>
            <w:tcW w:w="1625" w:type="dxa"/>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823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按照一定的技术规范要求以书面形式作出决定，并发放确认文书。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7</w:t>
            </w:r>
          </w:p>
        </w:tc>
        <w:tc>
          <w:tcPr>
            <w:tcW w:w="1625" w:type="dxa"/>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823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不符合确认要求的不予确认，并说明理由。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8</w:t>
            </w:r>
          </w:p>
        </w:tc>
        <w:tc>
          <w:tcPr>
            <w:tcW w:w="16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（三）送达</w:t>
            </w:r>
          </w:p>
        </w:tc>
        <w:tc>
          <w:tcPr>
            <w:tcW w:w="823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送达程序参照民事诉讼法有关规定执行。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9</w:t>
            </w:r>
          </w:p>
        </w:tc>
        <w:tc>
          <w:tcPr>
            <w:tcW w:w="16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（四）事后监管</w:t>
            </w:r>
          </w:p>
        </w:tc>
        <w:tc>
          <w:tcPr>
            <w:tcW w:w="823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建立健全事后监管制度，依法履行监督责任。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rPr>
        <w:tc>
          <w:tcPr>
            <w:tcW w:w="10500" w:type="dxa"/>
            <w:gridSpan w:val="4"/>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lang w:eastAsia="zh-CN"/>
              </w:rPr>
              <w:t>三</w:t>
            </w:r>
            <w:r>
              <w:rPr>
                <w:rFonts w:hint="eastAsia" w:ascii="黑体" w:hAnsi="宋体" w:eastAsia="黑体" w:cs="黑体"/>
                <w:i w:val="0"/>
                <w:iCs w:val="0"/>
                <w:caps w:val="0"/>
                <w:color w:val="000000"/>
                <w:spacing w:val="0"/>
                <w:sz w:val="27"/>
                <w:szCs w:val="27"/>
              </w:rPr>
              <w:t>、行政强制类（行政强制措施）行政职权运行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default" w:ascii="sans-serif" w:hAnsi="sans-serif" w:eastAsia="sans-serif" w:cs="sans-serif"/>
                <w:i w:val="0"/>
                <w:iCs w:val="0"/>
                <w:caps w:val="0"/>
                <w:color w:val="000000"/>
                <w:spacing w:val="0"/>
                <w:sz w:val="27"/>
                <w:szCs w:val="27"/>
              </w:rPr>
              <w:t>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序号</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运行环节</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（一）决定</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实施前应当先报告，经批准后作出实施行政强制措施的决定。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2</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批准实施行政强制措施应当符合法定条件。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3</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（二）执行</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由2名以上具备资格的行政执法人员实施，其他人员不得实施。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4</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行政执法人员应当现场出示执法身份证件。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5</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实施行政强制措施时应当通知当事人到场，并告知当事人采取行政强制措施的理由、依据以及当事人依法享有的权利、救济途径。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6</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充分听取当事人的意见，对当事人提出的事实、理由和证据，应当进行复核，当事人提出的事实、理由或者证据成立的，应当采纳。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1"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7</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制作现场笔录，现场笔录由当事人和行政执法人员签名或者盖章，当事人拒绝的，在笔录中予以注明。当事人不到场的，邀请见证人到场，由见证人和行政执法人员在现场笔录上签名或者盖章。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8</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实施限制公民人身自由的行政强制措施，应当场告知或者实施行政强制措施后立即通知当事人家属实施行政强制措施的行政机关、地点和期限。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9</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对依法应当没收或法律、行政法规规定应当销毁的，应当依法予以没收或销毁。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10</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情况紧急，需要当场实施行政强制措施的，行政执法人员应当在24小时内向行政机关负责人报告，并补办批准手续。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11</w:t>
            </w:r>
          </w:p>
        </w:tc>
        <w:tc>
          <w:tcPr>
            <w:tcW w:w="1978" w:type="dxa"/>
            <w:gridSpan w:val="2"/>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（三）解除</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对符合解除行政强制措施条件的，应当依法解除行政强制措施。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12</w:t>
            </w:r>
          </w:p>
        </w:tc>
        <w:tc>
          <w:tcPr>
            <w:tcW w:w="1978" w:type="dxa"/>
            <w:gridSpan w:val="2"/>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对构成犯罪的，依法、及时移送司法机关。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13</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（四）事后监管</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建立健全事后监管制度，依法履行监督责任。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0500" w:type="dxa"/>
            <w:gridSpan w:val="4"/>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lang w:eastAsia="zh-CN"/>
              </w:rPr>
              <w:t>四</w:t>
            </w:r>
            <w:r>
              <w:rPr>
                <w:rFonts w:hint="eastAsia" w:ascii="黑体" w:hAnsi="宋体" w:eastAsia="黑体" w:cs="黑体"/>
                <w:i w:val="0"/>
                <w:iCs w:val="0"/>
                <w:caps w:val="0"/>
                <w:color w:val="000000"/>
                <w:spacing w:val="0"/>
                <w:sz w:val="27"/>
                <w:szCs w:val="27"/>
              </w:rPr>
              <w:t>、行政强制类（行政强制执行）行政职权运行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rPr>
              <w:t>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序号</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运行环节</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（一）催告</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行政机关作出强制执行决定前，应当事先书面催告当事人履行义务。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2</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催告书应当直接送达当事人。当事人拒绝接收或者无法直接送达当事人的，依照民事诉讼法的有关规定送达。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3</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催告期间，对有证据证明有转移或者隐匿财物迹象的，可以作出立即强制执行决定。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4</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（二）决定</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充分听取当事人的意见，对当事人提出的事实、理由和证据，应当进行记录、复核。当事人提出的事实、理由或者证据成立的，应当采纳。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5</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经催告，当事人逾期仍不履行行政决定，且无正当理由的，应当作出书面强制执行决定。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6</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行政强制执行决定书催告书应当直接送达当事人。当事人拒绝接收或者无法直接送达当事人的，依照民事诉讼法的有关规定送达。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7</w:t>
            </w:r>
          </w:p>
        </w:tc>
        <w:tc>
          <w:tcPr>
            <w:tcW w:w="1978" w:type="dxa"/>
            <w:gridSpan w:val="2"/>
            <w:vMerge w:val="restart"/>
            <w:tcBorders>
              <w:top w:val="nil"/>
              <w:left w:val="nil"/>
              <w:bottom w:val="nil"/>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（三）执行</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依法实施行政强制执行。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8</w:t>
            </w:r>
          </w:p>
        </w:tc>
        <w:tc>
          <w:tcPr>
            <w:tcW w:w="1978" w:type="dxa"/>
            <w:gridSpan w:val="2"/>
            <w:vMerge w:val="continue"/>
            <w:tcBorders>
              <w:top w:val="nil"/>
              <w:left w:val="nil"/>
              <w:bottom w:val="nil"/>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不得在夜间或者法定节假日实施行政强制执行，情况紧急的除外；不得对居民生活采取停止供水、供电、供热、供燃气等方式迫使当事人履行相关行政决定。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9</w:t>
            </w:r>
          </w:p>
        </w:tc>
        <w:tc>
          <w:tcPr>
            <w:tcW w:w="1978" w:type="dxa"/>
            <w:gridSpan w:val="2"/>
            <w:vMerge w:val="continue"/>
            <w:tcBorders>
              <w:top w:val="nil"/>
              <w:left w:val="nil"/>
              <w:bottom w:val="nil"/>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对违法的建筑物、构筑物、设施等需要强制拆除的，应当予以公告，限期当事人自行拆除。当事人在法定期限内不申请行政复议或者提起行政诉讼，又不拆除的，可依法强制拆除。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10</w:t>
            </w:r>
          </w:p>
        </w:tc>
        <w:tc>
          <w:tcPr>
            <w:tcW w:w="1978" w:type="dxa"/>
            <w:gridSpan w:val="2"/>
            <w:vMerge w:val="continue"/>
            <w:tcBorders>
              <w:top w:val="nil"/>
              <w:left w:val="nil"/>
              <w:bottom w:val="nil"/>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划拨的存款、汇款以及拍卖和依法处理所得的款项应当上缴国库或者划入财政专户，不得以任何形式截留、私分或者变相私分。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11</w:t>
            </w:r>
          </w:p>
        </w:tc>
        <w:tc>
          <w:tcPr>
            <w:tcW w:w="1978" w:type="dxa"/>
            <w:gridSpan w:val="2"/>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（四）事后监管</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建立健全事后监管制度，依法履行监督责任。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10500" w:type="dxa"/>
            <w:gridSpan w:val="4"/>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lang w:eastAsia="zh-CN"/>
              </w:rPr>
              <w:t>五</w:t>
            </w:r>
            <w:r>
              <w:rPr>
                <w:rFonts w:hint="eastAsia" w:ascii="黑体" w:hAnsi="宋体" w:eastAsia="黑体" w:cs="黑体"/>
                <w:i w:val="0"/>
                <w:iCs w:val="0"/>
                <w:caps w:val="0"/>
                <w:color w:val="000000"/>
                <w:spacing w:val="0"/>
                <w:sz w:val="27"/>
                <w:szCs w:val="27"/>
              </w:rPr>
              <w:t>、行政征收类（税费类）行政职权运行通用责任清单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序号</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运行环节</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（一）受理</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一次性告知申报人需提交的申报材料及办理流程。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2</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（二）</w:t>
            </w:r>
            <w:r>
              <w:rPr>
                <w:rStyle w:val="5"/>
                <w:rFonts w:hint="eastAsia" w:ascii="仿宋_GB2312" w:hAnsi="sans-serif" w:eastAsia="仿宋_GB2312" w:cs="仿宋_GB2312"/>
                <w:i w:val="0"/>
                <w:iCs w:val="0"/>
                <w:caps w:val="0"/>
                <w:color w:val="000000"/>
                <w:spacing w:val="0"/>
                <w:sz w:val="24"/>
                <w:szCs w:val="24"/>
              </w:rPr>
              <w:t>审核</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对申报材料依法及时进行审核。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3</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（三）决定</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依法出具纳税或缴费凭证。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4</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当事人缴纳超过应缴纳的税费，应当退还。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5</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不得截留、私分或擅自开支征收款。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6</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（四）事后监管</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开展检查，及时稽查，加强日常监管。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0500" w:type="dxa"/>
            <w:gridSpan w:val="4"/>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lang w:eastAsia="zh-CN"/>
              </w:rPr>
              <w:t>六</w:t>
            </w:r>
            <w:r>
              <w:rPr>
                <w:rFonts w:hint="eastAsia" w:ascii="黑体" w:hAnsi="宋体" w:eastAsia="黑体" w:cs="黑体"/>
                <w:i w:val="0"/>
                <w:iCs w:val="0"/>
                <w:caps w:val="0"/>
                <w:color w:val="000000"/>
                <w:spacing w:val="0"/>
                <w:sz w:val="27"/>
                <w:szCs w:val="27"/>
              </w:rPr>
              <w:t>、行政征收类（实物类）行政职权运行通用责任清单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序号</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运行环节</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（一）制定方案</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拟定征收补偿方案。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2</w:t>
            </w:r>
          </w:p>
        </w:tc>
        <w:tc>
          <w:tcPr>
            <w:tcW w:w="1978" w:type="dxa"/>
            <w:gridSpan w:val="2"/>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（二）决定</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应当在社会稳定风险评估基础上作出征收决定。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3</w:t>
            </w:r>
          </w:p>
        </w:tc>
        <w:tc>
          <w:tcPr>
            <w:tcW w:w="1978" w:type="dxa"/>
            <w:gridSpan w:val="2"/>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应当及时公告征收决定。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4</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（三）实施</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依据征收决定进行征收。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5</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nil"/>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根据补偿安置方案进行补偿、安置。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6</w:t>
            </w:r>
          </w:p>
        </w:tc>
        <w:tc>
          <w:tcPr>
            <w:tcW w:w="1978" w:type="dxa"/>
            <w:gridSpan w:val="2"/>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（四）事后监管</w:t>
            </w:r>
          </w:p>
        </w:tc>
        <w:tc>
          <w:tcPr>
            <w:tcW w:w="7883"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应当依法建立征收补偿档案。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7</w:t>
            </w:r>
          </w:p>
        </w:tc>
        <w:tc>
          <w:tcPr>
            <w:tcW w:w="1978" w:type="dxa"/>
            <w:gridSpan w:val="2"/>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对征收补偿费用管理和使用情况进行监督。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10500" w:type="dxa"/>
            <w:gridSpan w:val="4"/>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lang w:eastAsia="zh-CN"/>
              </w:rPr>
              <w:t>七</w:t>
            </w:r>
            <w:r>
              <w:rPr>
                <w:rFonts w:hint="eastAsia" w:ascii="黑体" w:hAnsi="宋体" w:eastAsia="黑体" w:cs="黑体"/>
                <w:i w:val="0"/>
                <w:iCs w:val="0"/>
                <w:caps w:val="0"/>
                <w:color w:val="000000"/>
                <w:spacing w:val="0"/>
                <w:sz w:val="27"/>
                <w:szCs w:val="27"/>
              </w:rPr>
              <w:t>、行政裁决类行政职权运行通用责任清单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序号</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运行环节</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w:t>
            </w:r>
          </w:p>
        </w:tc>
        <w:tc>
          <w:tcPr>
            <w:tcW w:w="1978" w:type="dxa"/>
            <w:gridSpan w:val="2"/>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（一）受理</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对符合受理条件的，应当制作受理通知书，并送达申请人。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2</w:t>
            </w:r>
          </w:p>
        </w:tc>
        <w:tc>
          <w:tcPr>
            <w:tcW w:w="1978" w:type="dxa"/>
            <w:gridSpan w:val="2"/>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申请材料不齐全或者不符合法定形式的，应当一次性告知申请人需要补正的全部内容和合理的补正期限。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3</w:t>
            </w:r>
          </w:p>
        </w:tc>
        <w:tc>
          <w:tcPr>
            <w:tcW w:w="1978" w:type="dxa"/>
            <w:gridSpan w:val="2"/>
            <w:tcBorders>
              <w:top w:val="nil"/>
              <w:left w:val="nil"/>
              <w:bottom w:val="single" w:color="000000"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对不符合受理条件的，应当书面告知申请人不予受理的理由和依据。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4</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（二）审理</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在法定期限内进行审理。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5</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通知争议申请人及对方当事人，并要求对方当事人在规定的期限内提交相关材料。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6</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对争议的事实、证据材料进行审查，针对疑问情况或经当事人请求，举行公开听证，由当事人双方当面陈述案情，进行辩论、举证、质证，以查明案情。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7</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审理时对确有必要的应当进行实地调查。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8</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（三）裁决</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根据事实和法律、法规作出裁决，制作并向双方当事人送达裁决书。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9</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（四）执行</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裁决生效后，争议当事人应当自觉履行。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10500" w:type="dxa"/>
            <w:gridSpan w:val="4"/>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lang w:eastAsia="zh-CN"/>
              </w:rPr>
              <w:t>八</w:t>
            </w:r>
            <w:r>
              <w:rPr>
                <w:rFonts w:hint="eastAsia" w:ascii="黑体" w:hAnsi="宋体" w:eastAsia="黑体" w:cs="黑体"/>
                <w:i w:val="0"/>
                <w:iCs w:val="0"/>
                <w:caps w:val="0"/>
                <w:color w:val="000000"/>
                <w:spacing w:val="0"/>
                <w:sz w:val="27"/>
                <w:szCs w:val="27"/>
              </w:rPr>
              <w:t>、行政给付行政职权运行通用责任清单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序号</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运行环节</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w:t>
            </w:r>
          </w:p>
        </w:tc>
        <w:tc>
          <w:tcPr>
            <w:tcW w:w="1978" w:type="dxa"/>
            <w:gridSpan w:val="2"/>
            <w:vMerge w:val="restart"/>
            <w:tcBorders>
              <w:top w:val="nil"/>
              <w:left w:val="nil"/>
              <w:bottom w:val="nil"/>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（一）受理</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对符合受理条件的，应当受理，并制作受理通知书；对不符合受理条件的不予受理，并书面告知申请人不予受理的理由和依据。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2</w:t>
            </w:r>
          </w:p>
        </w:tc>
        <w:tc>
          <w:tcPr>
            <w:tcW w:w="1978" w:type="dxa"/>
            <w:gridSpan w:val="2"/>
            <w:vMerge w:val="continue"/>
            <w:tcBorders>
              <w:top w:val="nil"/>
              <w:left w:val="nil"/>
              <w:bottom w:val="nil"/>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申请材料不齐全或者不符合法定形式的，应当一次性告知申请人需要补正的全部内容和合理的补正期限。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3</w:t>
            </w:r>
          </w:p>
        </w:tc>
        <w:tc>
          <w:tcPr>
            <w:tcW w:w="1978" w:type="dxa"/>
            <w:gridSpan w:val="2"/>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（二）审查</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在法定期限（承诺期限）内完成审查。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4</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（三）决定</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对于符合条件的，作出给于给付的决定，明确给付标准以及后续办事事宜，并通知申请人前来领取。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5</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对不符合给付条件的，书面告知申请人不予给付的理由和依据。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6</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（四）给付</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按照规定标准予以给付。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7</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（五）事后监管</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开展检查，加强日常监管。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0500" w:type="dxa"/>
            <w:gridSpan w:val="4"/>
            <w:tcBorders>
              <w:top w:val="nil"/>
              <w:left w:val="single" w:color="auto" w:sz="6" w:space="0"/>
              <w:bottom w:val="single" w:color="auto" w:sz="6" w:space="0"/>
              <w:right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lang w:eastAsia="zh-CN"/>
              </w:rPr>
              <w:t>九</w:t>
            </w:r>
            <w:r>
              <w:rPr>
                <w:rFonts w:hint="eastAsia" w:ascii="黑体" w:hAnsi="宋体" w:eastAsia="黑体" w:cs="黑体"/>
                <w:i w:val="0"/>
                <w:iCs w:val="0"/>
                <w:caps w:val="0"/>
                <w:color w:val="000000"/>
                <w:spacing w:val="0"/>
                <w:sz w:val="27"/>
                <w:szCs w:val="27"/>
              </w:rPr>
              <w:t>、行政奖励类行政职权运行通用责任清单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序号</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运行环节</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（一）制定方案</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依法科学制定奖励方案，明确奖励条件、程序等内容。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2</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（二）审核公示</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对符合条件的推荐对象进行审核审定，并进行公示。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3</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依法、及时调查核实举报投诉涉及问题。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4</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（三）实施奖励</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依法、及时按程序报批决定奖励的等级和金额。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5</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及时通知当事人领取奖励。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10500" w:type="dxa"/>
            <w:gridSpan w:val="4"/>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rPr>
              <w:t>十、行政检查类行政职权运行通用责任清单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序号</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运行环节</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w:t>
            </w:r>
          </w:p>
        </w:tc>
        <w:tc>
          <w:tcPr>
            <w:tcW w:w="1978" w:type="dxa"/>
            <w:gridSpan w:val="2"/>
            <w:vMerge w:val="restart"/>
            <w:tcBorders>
              <w:top w:val="nil"/>
              <w:left w:val="nil"/>
              <w:bottom w:val="nil"/>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（一）制定方案</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实施检查前应当依法制定含有正当理由、事项和内容的检查方案。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2</w:t>
            </w:r>
          </w:p>
        </w:tc>
        <w:tc>
          <w:tcPr>
            <w:tcW w:w="1978" w:type="dxa"/>
            <w:gridSpan w:val="2"/>
            <w:vMerge w:val="continue"/>
            <w:tcBorders>
              <w:top w:val="nil"/>
              <w:left w:val="nil"/>
              <w:bottom w:val="nil"/>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同一行政机关的多个内设机构和下属机构对同一当事人不同事项的行政检查，能够合并检查的应当合并检查。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3</w:t>
            </w:r>
          </w:p>
        </w:tc>
        <w:tc>
          <w:tcPr>
            <w:tcW w:w="1978" w:type="dxa"/>
            <w:gridSpan w:val="2"/>
            <w:vMerge w:val="continue"/>
            <w:tcBorders>
              <w:top w:val="nil"/>
              <w:left w:val="nil"/>
              <w:bottom w:val="nil"/>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上下级行政机关应当按照级别管辖和地域管辖相结合的原则合理划分检查范围，避免重复检查。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4</w:t>
            </w:r>
          </w:p>
        </w:tc>
        <w:tc>
          <w:tcPr>
            <w:tcW w:w="1978" w:type="dxa"/>
            <w:gridSpan w:val="2"/>
            <w:vMerge w:val="restart"/>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（二）实施检查</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依照检查方案规定的时限、范围开展检查。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5</w:t>
            </w:r>
          </w:p>
        </w:tc>
        <w:tc>
          <w:tcPr>
            <w:tcW w:w="1978" w:type="dxa"/>
            <w:gridSpan w:val="2"/>
            <w:vMerge w:val="continue"/>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实施检查时应当出示执法身份证件、检查方案。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6</w:t>
            </w:r>
          </w:p>
        </w:tc>
        <w:tc>
          <w:tcPr>
            <w:tcW w:w="1978" w:type="dxa"/>
            <w:gridSpan w:val="2"/>
            <w:vMerge w:val="continue"/>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依法查阅资料、查看现场、听取当事人陈述申辩并取证。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7</w:t>
            </w:r>
          </w:p>
        </w:tc>
        <w:tc>
          <w:tcPr>
            <w:tcW w:w="1978" w:type="dxa"/>
            <w:gridSpan w:val="2"/>
            <w:vMerge w:val="continue"/>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实施检查应当不影响当事人的正常生产经营活动与生活。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8</w:t>
            </w:r>
          </w:p>
        </w:tc>
        <w:tc>
          <w:tcPr>
            <w:tcW w:w="1978" w:type="dxa"/>
            <w:gridSpan w:val="2"/>
            <w:vMerge w:val="continue"/>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依法告知当事人检查中发现的违法行为及处理意见，对不服处理意见的，可以依法申请行政复议或提起行政诉讼。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9</w:t>
            </w:r>
          </w:p>
        </w:tc>
        <w:tc>
          <w:tcPr>
            <w:tcW w:w="1978" w:type="dxa"/>
            <w:gridSpan w:val="2"/>
            <w:vMerge w:val="continue"/>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对检查中发现的违法行为应当予以制止和纠正。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10</w:t>
            </w:r>
          </w:p>
        </w:tc>
        <w:tc>
          <w:tcPr>
            <w:tcW w:w="1978" w:type="dxa"/>
            <w:gridSpan w:val="2"/>
            <w:vMerge w:val="continue"/>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实施行政检查中不得乱收费、乱罚款、乱摊派，严禁吃、拿、卡、要。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11</w:t>
            </w:r>
          </w:p>
        </w:tc>
        <w:tc>
          <w:tcPr>
            <w:tcW w:w="1978" w:type="dxa"/>
            <w:gridSpan w:val="2"/>
            <w:vMerge w:val="continue"/>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不得放弃、推诿、拖延、拒绝履行检查职责。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12</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（三）事后监管</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对检查情况进行汇总、分类、归档备查，并跟踪监测。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39" w:type="dxa"/>
            <w:tcBorders>
              <w:top w:val="nil"/>
              <w:left w:val="nil"/>
              <w:bottom w:val="nil"/>
              <w:right w:val="nil"/>
            </w:tcBorders>
            <w:shd w:val="clear" w:color="auto" w:fill="auto"/>
            <w:tcMar>
              <w:top w:w="75" w:type="dxa"/>
              <w:left w:w="150" w:type="dxa"/>
              <w:bottom w:w="75" w:type="dxa"/>
              <w:right w:w="150"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1625" w:type="dxa"/>
            <w:tcBorders>
              <w:top w:val="nil"/>
              <w:left w:val="nil"/>
              <w:bottom w:val="nil"/>
              <w:right w:val="nil"/>
            </w:tcBorders>
            <w:shd w:val="clear" w:color="auto" w:fill="auto"/>
            <w:tcMar>
              <w:top w:w="75" w:type="dxa"/>
              <w:left w:w="150" w:type="dxa"/>
              <w:bottom w:w="75" w:type="dxa"/>
              <w:right w:w="150"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353" w:type="dxa"/>
            <w:tcBorders>
              <w:top w:val="nil"/>
              <w:left w:val="nil"/>
              <w:bottom w:val="nil"/>
              <w:right w:val="nil"/>
            </w:tcBorders>
            <w:shd w:val="clear" w:color="auto" w:fill="auto"/>
            <w:tcMar>
              <w:top w:w="75" w:type="dxa"/>
              <w:left w:w="150" w:type="dxa"/>
              <w:bottom w:w="75" w:type="dxa"/>
              <w:right w:w="150"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7883" w:type="dxa"/>
            <w:tcBorders>
              <w:top w:val="nil"/>
              <w:left w:val="nil"/>
              <w:bottom w:val="nil"/>
              <w:right w:val="nil"/>
            </w:tcBorders>
            <w:shd w:val="clear" w:color="auto" w:fill="auto"/>
            <w:tcMar>
              <w:top w:w="75" w:type="dxa"/>
              <w:left w:w="150" w:type="dxa"/>
              <w:bottom w:w="75" w:type="dxa"/>
              <w:right w:w="150"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r>
    </w:tbl>
    <w:p>
      <w:pPr>
        <w:keepNext w:val="0"/>
        <w:keepLines w:val="0"/>
        <w:widowControl/>
        <w:suppressLineNumbers w:val="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hYzExOWQ5NzUzYzFjOGUzNTkyOWRmY2I5MTNhZTYifQ=="/>
  </w:docVars>
  <w:rsids>
    <w:rsidRoot w:val="1E0B5EEB"/>
    <w:rsid w:val="1BF47516"/>
    <w:rsid w:val="1E0B5EEB"/>
    <w:rsid w:val="3AEA08CA"/>
    <w:rsid w:val="563A7173"/>
    <w:rsid w:val="6B7A4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2021-07-07T04:02:00Z</dcterms:created>
  <dc:creator>炫    飛</dc:creator>
  <cp:lastModifiedBy>user</cp:lastModifiedBy>
  <dcterms:modified xsi:type="dcterms:W3CDTF">2023-11-29T07:22:53Z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92A45CF85368489DA543E7B7D57703FF</vt:lpwstr>
  </property>
</Properties>
</file>