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5" w:lineRule="atLeast"/>
        <w:ind w:firstLine="602" w:firstLineChars="200"/>
        <w:jc w:val="center"/>
        <w:rPr>
          <w:rFonts w:hint="eastAsia" w:cs="宋体" w:asciiTheme="majorEastAsia" w:hAnsiTheme="majorEastAsia" w:eastAsiaTheme="majorEastAsia"/>
          <w:b/>
          <w:color w:val="000000"/>
          <w:kern w:val="0"/>
          <w:sz w:val="30"/>
          <w:szCs w:val="30"/>
        </w:rPr>
      </w:pPr>
      <w:r>
        <w:rPr>
          <w:rFonts w:hint="eastAsia" w:cs="宋体" w:asciiTheme="majorEastAsia" w:hAnsiTheme="majorEastAsia" w:eastAsiaTheme="majorEastAsia"/>
          <w:b/>
          <w:color w:val="000000"/>
          <w:kern w:val="0"/>
          <w:sz w:val="30"/>
          <w:szCs w:val="30"/>
          <w:lang w:eastAsia="zh-CN"/>
        </w:rPr>
        <w:t>国动</w:t>
      </w:r>
      <w:r>
        <w:rPr>
          <w:rFonts w:hint="eastAsia" w:cs="宋体" w:asciiTheme="majorEastAsia" w:hAnsiTheme="majorEastAsia" w:eastAsiaTheme="majorEastAsia"/>
          <w:b/>
          <w:color w:val="000000"/>
          <w:kern w:val="0"/>
          <w:sz w:val="30"/>
          <w:szCs w:val="30"/>
        </w:rPr>
        <w:t>办重大行政执法决定事项目录</w:t>
      </w:r>
    </w:p>
    <w:p>
      <w:pPr>
        <w:spacing w:line="315" w:lineRule="atLeast"/>
        <w:ind w:firstLine="602" w:firstLineChars="200"/>
        <w:jc w:val="center"/>
        <w:rPr>
          <w:rFonts w:hint="eastAsia" w:cs="宋体" w:asciiTheme="majorEastAsia" w:hAnsiTheme="majorEastAsia" w:eastAsiaTheme="majorEastAsia"/>
          <w:b/>
          <w:color w:val="000000"/>
          <w:kern w:val="0"/>
          <w:sz w:val="30"/>
          <w:szCs w:val="30"/>
          <w:lang w:val="en-US" w:eastAsia="zh-CN"/>
        </w:rPr>
      </w:pPr>
      <w:r>
        <w:rPr>
          <w:rFonts w:hint="eastAsia" w:cs="宋体" w:asciiTheme="majorEastAsia" w:hAnsiTheme="majorEastAsia" w:eastAsiaTheme="majorEastAsia"/>
          <w:b/>
          <w:color w:val="000000"/>
          <w:kern w:val="0"/>
          <w:sz w:val="30"/>
          <w:szCs w:val="30"/>
          <w:lang w:val="en-US" w:eastAsia="zh-CN"/>
        </w:rPr>
        <w:t>(参照市办执行）</w:t>
      </w:r>
      <w:bookmarkStart w:id="0" w:name="_GoBack"/>
      <w:bookmarkEnd w:id="0"/>
    </w:p>
    <w:p>
      <w:pPr>
        <w:spacing w:line="315" w:lineRule="atLeast"/>
        <w:ind w:firstLine="600" w:firstLineChars="200"/>
        <w:rPr>
          <w:rFonts w:cs="宋体" w:asciiTheme="majorEastAsia" w:hAnsiTheme="majorEastAsia" w:eastAsiaTheme="majorEastAsia"/>
          <w:color w:val="000000"/>
          <w:kern w:val="0"/>
          <w:sz w:val="30"/>
          <w:szCs w:val="30"/>
        </w:rPr>
      </w:pPr>
      <w:r>
        <w:rPr>
          <w:rFonts w:hint="eastAsia" w:cs="宋体" w:asciiTheme="majorEastAsia" w:hAnsiTheme="majorEastAsia" w:eastAsiaTheme="majorEastAsia"/>
          <w:color w:val="000000"/>
          <w:kern w:val="0"/>
          <w:sz w:val="30"/>
          <w:szCs w:val="30"/>
        </w:rPr>
        <w:t>一、重大行政执法决定，是指</w:t>
      </w:r>
      <w:r>
        <w:rPr>
          <w:rFonts w:hint="eastAsia" w:cs="宋体" w:asciiTheme="majorEastAsia" w:hAnsiTheme="majorEastAsia" w:eastAsiaTheme="majorEastAsia"/>
          <w:b w:val="0"/>
          <w:bCs/>
          <w:color w:val="000000"/>
          <w:kern w:val="0"/>
          <w:sz w:val="30"/>
          <w:szCs w:val="30"/>
          <w:lang w:eastAsia="zh-CN"/>
        </w:rPr>
        <w:t>国动</w:t>
      </w:r>
      <w:r>
        <w:rPr>
          <w:rFonts w:hint="eastAsia" w:cs="宋体" w:asciiTheme="majorEastAsia" w:hAnsiTheme="majorEastAsia" w:eastAsiaTheme="majorEastAsia"/>
          <w:color w:val="000000"/>
          <w:kern w:val="0"/>
          <w:sz w:val="30"/>
          <w:szCs w:val="30"/>
        </w:rPr>
        <w:t>办依法作出的重大行政处罚、行政许可（行政审批科另行制定公示）等行政执法决定，包括下列事项：</w:t>
      </w:r>
    </w:p>
    <w:p>
      <w:pPr>
        <w:spacing w:line="315" w:lineRule="atLeast"/>
        <w:ind w:firstLine="600" w:firstLineChars="200"/>
        <w:rPr>
          <w:rFonts w:cs="宋体" w:asciiTheme="majorEastAsia" w:hAnsiTheme="majorEastAsia" w:eastAsiaTheme="majorEastAsia"/>
          <w:color w:val="000000"/>
          <w:kern w:val="0"/>
          <w:sz w:val="30"/>
          <w:szCs w:val="30"/>
        </w:rPr>
      </w:pPr>
      <w:r>
        <w:rPr>
          <w:rFonts w:hint="eastAsia" w:cs="宋体" w:asciiTheme="majorEastAsia" w:hAnsiTheme="majorEastAsia" w:eastAsiaTheme="majorEastAsia"/>
          <w:color w:val="000000"/>
          <w:kern w:val="0"/>
          <w:sz w:val="30"/>
          <w:szCs w:val="30"/>
        </w:rPr>
        <w:t>（一）涉及重大国家利益和公共利益的；</w:t>
      </w:r>
    </w:p>
    <w:p>
      <w:pPr>
        <w:spacing w:line="315" w:lineRule="atLeast"/>
        <w:ind w:firstLine="600" w:firstLineChars="200"/>
        <w:rPr>
          <w:rFonts w:cs="宋体" w:asciiTheme="majorEastAsia" w:hAnsiTheme="majorEastAsia" w:eastAsiaTheme="majorEastAsia"/>
          <w:color w:val="000000"/>
          <w:kern w:val="0"/>
          <w:sz w:val="30"/>
          <w:szCs w:val="30"/>
        </w:rPr>
      </w:pPr>
      <w:r>
        <w:rPr>
          <w:rFonts w:hint="eastAsia" w:cs="宋体" w:asciiTheme="majorEastAsia" w:hAnsiTheme="majorEastAsia" w:eastAsiaTheme="majorEastAsia"/>
          <w:color w:val="000000"/>
          <w:kern w:val="0"/>
          <w:sz w:val="30"/>
          <w:szCs w:val="30"/>
        </w:rPr>
        <w:t>（二）案件情况复杂或者社会影响较大的；</w:t>
      </w:r>
    </w:p>
    <w:p>
      <w:pPr>
        <w:spacing w:line="315" w:lineRule="atLeast"/>
        <w:ind w:firstLine="600" w:firstLineChars="200"/>
        <w:rPr>
          <w:rFonts w:cs="宋体" w:asciiTheme="majorEastAsia" w:hAnsiTheme="majorEastAsia" w:eastAsiaTheme="majorEastAsia"/>
          <w:color w:val="000000"/>
          <w:kern w:val="0"/>
          <w:sz w:val="30"/>
          <w:szCs w:val="30"/>
        </w:rPr>
      </w:pPr>
      <w:r>
        <w:rPr>
          <w:rFonts w:hint="eastAsia" w:cs="宋体" w:asciiTheme="majorEastAsia" w:hAnsiTheme="majorEastAsia" w:eastAsiaTheme="majorEastAsia"/>
          <w:color w:val="000000"/>
          <w:kern w:val="0"/>
          <w:sz w:val="30"/>
          <w:szCs w:val="30"/>
        </w:rPr>
        <w:t>（三）经听证程序作出决定的；</w:t>
      </w:r>
    </w:p>
    <w:p>
      <w:pPr>
        <w:spacing w:line="315" w:lineRule="atLeast"/>
        <w:ind w:firstLine="600" w:firstLineChars="200"/>
        <w:rPr>
          <w:rFonts w:cs="宋体" w:asciiTheme="majorEastAsia" w:hAnsiTheme="majorEastAsia" w:eastAsiaTheme="majorEastAsia"/>
          <w:color w:val="000000"/>
          <w:kern w:val="0"/>
          <w:sz w:val="30"/>
          <w:szCs w:val="30"/>
        </w:rPr>
      </w:pPr>
      <w:r>
        <w:rPr>
          <w:rFonts w:hint="eastAsia" w:cs="宋体" w:asciiTheme="majorEastAsia" w:hAnsiTheme="majorEastAsia" w:eastAsiaTheme="majorEastAsia"/>
          <w:color w:val="000000"/>
          <w:kern w:val="0"/>
          <w:sz w:val="30"/>
          <w:szCs w:val="30"/>
        </w:rPr>
        <w:t>（四）撤回或者撤销行政决定的；</w:t>
      </w:r>
    </w:p>
    <w:p>
      <w:pPr>
        <w:spacing w:line="315" w:lineRule="atLeast"/>
        <w:ind w:firstLine="600" w:firstLineChars="200"/>
        <w:rPr>
          <w:rFonts w:cs="宋体" w:asciiTheme="majorEastAsia" w:hAnsiTheme="majorEastAsia" w:eastAsiaTheme="majorEastAsia"/>
          <w:color w:val="000000"/>
          <w:kern w:val="0"/>
          <w:sz w:val="30"/>
          <w:szCs w:val="30"/>
        </w:rPr>
      </w:pPr>
      <w:r>
        <w:rPr>
          <w:rFonts w:hint="eastAsia" w:cs="宋体" w:asciiTheme="majorEastAsia" w:hAnsiTheme="majorEastAsia" w:eastAsiaTheme="majorEastAsia"/>
          <w:color w:val="000000"/>
          <w:kern w:val="0"/>
          <w:sz w:val="30"/>
          <w:szCs w:val="30"/>
        </w:rPr>
        <w:t>（五）对应建未建人民防空工程、拒不依法缴纳易地建设费、侵占破坏人民防空工程和设施，危害人民防空工程安全等行为作出较大数额罚款的行政决定；</w:t>
      </w:r>
    </w:p>
    <w:p>
      <w:pPr>
        <w:spacing w:line="315" w:lineRule="atLeast"/>
        <w:ind w:firstLine="600" w:firstLineChars="200"/>
        <w:rPr>
          <w:rFonts w:cs="宋体" w:asciiTheme="majorEastAsia" w:hAnsiTheme="majorEastAsia" w:eastAsiaTheme="majorEastAsia"/>
          <w:color w:val="000000"/>
          <w:kern w:val="0"/>
          <w:sz w:val="30"/>
          <w:szCs w:val="30"/>
        </w:rPr>
      </w:pPr>
      <w:r>
        <w:rPr>
          <w:rFonts w:hint="eastAsia" w:cs="宋体" w:asciiTheme="majorEastAsia" w:hAnsiTheme="majorEastAsia" w:eastAsiaTheme="majorEastAsia"/>
          <w:color w:val="000000"/>
          <w:kern w:val="0"/>
          <w:sz w:val="30"/>
          <w:szCs w:val="30"/>
        </w:rPr>
        <w:t>（六）向公安机关移送涉嫌犯罪案件或者向监察机关移送涉嫌职务违法、职务犯罪案件的决定；</w:t>
      </w:r>
    </w:p>
    <w:p>
      <w:pPr>
        <w:spacing w:line="315" w:lineRule="atLeast"/>
        <w:ind w:firstLine="600" w:firstLineChars="200"/>
        <w:rPr>
          <w:rFonts w:cs="宋体" w:asciiTheme="majorEastAsia" w:hAnsiTheme="majorEastAsia" w:eastAsiaTheme="majorEastAsia"/>
          <w:color w:val="000000"/>
          <w:kern w:val="0"/>
          <w:sz w:val="30"/>
          <w:szCs w:val="30"/>
        </w:rPr>
      </w:pPr>
      <w:r>
        <w:rPr>
          <w:rFonts w:hint="eastAsia" w:cs="宋体" w:asciiTheme="majorEastAsia" w:hAnsiTheme="majorEastAsia" w:eastAsiaTheme="majorEastAsia"/>
          <w:color w:val="000000"/>
          <w:kern w:val="0"/>
          <w:sz w:val="30"/>
          <w:szCs w:val="30"/>
        </w:rPr>
        <w:t>（七）行政执法部门认定属于重大的其他行政决定。</w:t>
      </w:r>
    </w:p>
    <w:p>
      <w:pPr>
        <w:rPr>
          <w:rFonts w:cs="宋体" w:asciiTheme="majorEastAsia" w:hAnsiTheme="majorEastAsia" w:eastAsiaTheme="majorEastAsia"/>
          <w:color w:val="000000"/>
          <w:kern w:val="0"/>
          <w:sz w:val="30"/>
          <w:szCs w:val="30"/>
        </w:rPr>
      </w:pPr>
      <w:r>
        <w:rPr>
          <w:rFonts w:hint="eastAsia" w:asciiTheme="majorEastAsia" w:hAnsiTheme="majorEastAsia" w:eastAsiaTheme="majorEastAsia"/>
          <w:sz w:val="30"/>
          <w:szCs w:val="30"/>
        </w:rPr>
        <w:t>二、</w:t>
      </w:r>
      <w:r>
        <w:rPr>
          <w:rFonts w:hint="eastAsia" w:cs="宋体" w:asciiTheme="majorEastAsia" w:hAnsiTheme="majorEastAsia" w:eastAsiaTheme="majorEastAsia"/>
          <w:b w:val="0"/>
          <w:bCs/>
          <w:color w:val="000000"/>
          <w:kern w:val="0"/>
          <w:sz w:val="30"/>
          <w:szCs w:val="30"/>
          <w:lang w:eastAsia="zh-CN"/>
        </w:rPr>
        <w:t>国动</w:t>
      </w:r>
      <w:r>
        <w:rPr>
          <w:rFonts w:hint="eastAsia" w:cs="宋体" w:asciiTheme="majorEastAsia" w:hAnsiTheme="majorEastAsia" w:eastAsiaTheme="majorEastAsia"/>
          <w:color w:val="000000"/>
          <w:kern w:val="0"/>
          <w:sz w:val="30"/>
          <w:szCs w:val="30"/>
        </w:rPr>
        <w:t>办重大行政执法决定事项目录</w:t>
      </w:r>
      <w:r>
        <w:rPr>
          <w:rFonts w:hint="eastAsia" w:asciiTheme="majorEastAsia" w:hAnsiTheme="majorEastAsia" w:eastAsiaTheme="majorEastAsia"/>
          <w:kern w:val="0"/>
          <w:sz w:val="30"/>
          <w:szCs w:val="30"/>
        </w:rPr>
        <w:t>（2021年修订稿）</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878"/>
        <w:gridCol w:w="975"/>
        <w:gridCol w:w="987"/>
        <w:gridCol w:w="1786"/>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编号</w:t>
            </w:r>
          </w:p>
        </w:tc>
        <w:tc>
          <w:tcPr>
            <w:tcW w:w="515" w:type="pct"/>
            <w:vMerge w:val="restar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违法行为</w:t>
            </w:r>
          </w:p>
        </w:tc>
        <w:tc>
          <w:tcPr>
            <w:tcW w:w="1151" w:type="pct"/>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法律依据</w:t>
            </w:r>
          </w:p>
        </w:tc>
        <w:tc>
          <w:tcPr>
            <w:tcW w:w="1048" w:type="pct"/>
            <w:vMerge w:val="restar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 xml:space="preserve">违法情节 </w:t>
            </w:r>
          </w:p>
        </w:tc>
        <w:tc>
          <w:tcPr>
            <w:tcW w:w="1543" w:type="pct"/>
            <w:vMerge w:val="restar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重大行政执法基准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kern w:val="0"/>
                <w:sz w:val="21"/>
                <w:szCs w:val="21"/>
              </w:rPr>
            </w:pPr>
          </w:p>
        </w:tc>
        <w:tc>
          <w:tcPr>
            <w:tcW w:w="515" w:type="pct"/>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
                <w:bCs/>
                <w:kern w:val="0"/>
                <w:sz w:val="21"/>
                <w:szCs w:val="21"/>
              </w:rPr>
            </w:pPr>
          </w:p>
        </w:tc>
        <w:tc>
          <w:tcPr>
            <w:tcW w:w="572"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违法行为依据</w:t>
            </w:r>
          </w:p>
        </w:tc>
        <w:tc>
          <w:tcPr>
            <w:tcW w:w="579"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处罚依据</w:t>
            </w:r>
          </w:p>
        </w:tc>
        <w:tc>
          <w:tcPr>
            <w:tcW w:w="1048" w:type="pct"/>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
                <w:bCs/>
                <w:kern w:val="0"/>
                <w:sz w:val="21"/>
                <w:szCs w:val="21"/>
              </w:rPr>
            </w:pPr>
          </w:p>
        </w:tc>
        <w:tc>
          <w:tcPr>
            <w:tcW w:w="1543" w:type="pct"/>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C45001A020</w:t>
            </w:r>
          </w:p>
        </w:tc>
        <w:tc>
          <w:tcPr>
            <w:tcW w:w="515" w:type="pct"/>
            <w:vMerge w:val="restar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城市新建民用建筑，违反国家和本市有关规定不修建战时可用于防空的地下室的行为</w:t>
            </w:r>
          </w:p>
        </w:tc>
        <w:tc>
          <w:tcPr>
            <w:tcW w:w="572" w:type="pct"/>
            <w:vMerge w:val="restar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《中华人民共和国人民防空法》第二十二条；《北京市人民防空条例》第十六条第一款              </w:t>
            </w:r>
          </w:p>
        </w:tc>
        <w:tc>
          <w:tcPr>
            <w:tcW w:w="579" w:type="pct"/>
            <w:vMerge w:val="restar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《中华人民共和国人民防空法》第四十八条 ；《北京市人民防空条例》第四十四条</w:t>
            </w:r>
          </w:p>
        </w:tc>
        <w:tc>
          <w:tcPr>
            <w:tcW w:w="1048" w:type="pct"/>
            <w:tcBorders>
              <w:top w:val="single" w:color="auto" w:sz="4" w:space="0"/>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应建未建面积在500㎡以上不到1000㎡</w:t>
            </w:r>
          </w:p>
        </w:tc>
        <w:tc>
          <w:tcPr>
            <w:tcW w:w="1543" w:type="pct"/>
            <w:tcBorders>
              <w:top w:val="single" w:color="auto" w:sz="4" w:space="0"/>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43"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C45001A030</w:t>
            </w:r>
          </w:p>
        </w:tc>
        <w:tc>
          <w:tcPr>
            <w:tcW w:w="515" w:type="pct"/>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p>
        </w:tc>
        <w:tc>
          <w:tcPr>
            <w:tcW w:w="572" w:type="pct"/>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p>
        </w:tc>
        <w:tc>
          <w:tcPr>
            <w:tcW w:w="579" w:type="pct"/>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p>
        </w:tc>
        <w:tc>
          <w:tcPr>
            <w:tcW w:w="1048"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应建未建面积在1000㎡以上</w:t>
            </w:r>
          </w:p>
        </w:tc>
        <w:tc>
          <w:tcPr>
            <w:tcW w:w="1543"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C45002B040</w:t>
            </w:r>
          </w:p>
        </w:tc>
        <w:tc>
          <w:tcPr>
            <w:tcW w:w="515"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侵占人民防空工程的行为</w:t>
            </w:r>
          </w:p>
        </w:tc>
        <w:tc>
          <w:tcPr>
            <w:tcW w:w="572"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《中华人民共和国人民防空法》第九条</w:t>
            </w:r>
          </w:p>
        </w:tc>
        <w:tc>
          <w:tcPr>
            <w:tcW w:w="579"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《中华人民共和国人民防空法》第四十九条第（一）项</w:t>
            </w:r>
          </w:p>
        </w:tc>
        <w:tc>
          <w:tcPr>
            <w:tcW w:w="1048" w:type="pct"/>
            <w:tcBorders>
              <w:top w:val="single" w:color="auto" w:sz="4" w:space="0"/>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侵占面积在500㎡以上</w:t>
            </w:r>
          </w:p>
        </w:tc>
        <w:tc>
          <w:tcPr>
            <w:tcW w:w="1543" w:type="pct"/>
            <w:tcBorders>
              <w:top w:val="single" w:color="auto" w:sz="4" w:space="0"/>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3"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C45003A030</w:t>
            </w:r>
          </w:p>
        </w:tc>
        <w:tc>
          <w:tcPr>
            <w:tcW w:w="515"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不按照国家规定的防护标准和质量标准修建人民防空工程的行为</w:t>
            </w:r>
          </w:p>
        </w:tc>
        <w:tc>
          <w:tcPr>
            <w:tcW w:w="572"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《中华人民共和国人民防空法》第二十三条第一款；《北京市人民防空条例》第十八条第一款               </w:t>
            </w:r>
          </w:p>
        </w:tc>
        <w:tc>
          <w:tcPr>
            <w:tcW w:w="579"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《中华人民共和国人民防空法》第四十九条第（二）项；《北京市人民防空条例》第四十五条第（一）项</w:t>
            </w:r>
          </w:p>
        </w:tc>
        <w:tc>
          <w:tcPr>
            <w:tcW w:w="1048" w:type="pct"/>
            <w:tcBorders>
              <w:top w:val="single" w:color="auto" w:sz="4" w:space="0"/>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违法行为导致防护标准降低或丧失基本防空效能</w:t>
            </w:r>
          </w:p>
        </w:tc>
        <w:tc>
          <w:tcPr>
            <w:tcW w:w="1543" w:type="pct"/>
            <w:tcBorders>
              <w:top w:val="single" w:color="auto" w:sz="4" w:space="0"/>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C45004A030</w:t>
            </w:r>
          </w:p>
        </w:tc>
        <w:tc>
          <w:tcPr>
            <w:tcW w:w="515" w:type="pct"/>
            <w:tcBorders>
              <w:top w:val="nil"/>
              <w:left w:val="nil"/>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违反国家有关规定，改变人民防空工程主体结构的行为</w:t>
            </w:r>
          </w:p>
        </w:tc>
        <w:tc>
          <w:tcPr>
            <w:tcW w:w="572" w:type="pct"/>
            <w:tcBorders>
              <w:top w:val="nil"/>
              <w:left w:val="nil"/>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《中华人民共和国人民防空法》第二十七条；《北京市人民防空条例》第二十二条第二款       </w:t>
            </w:r>
          </w:p>
        </w:tc>
        <w:tc>
          <w:tcPr>
            <w:tcW w:w="579" w:type="pct"/>
            <w:tcBorders>
              <w:top w:val="nil"/>
              <w:left w:val="nil"/>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《中华人民共和国人民防空法》第四十九条第（三）项；《北京市人民防空条例》第四十五条第（二）项</w:t>
            </w:r>
          </w:p>
        </w:tc>
        <w:tc>
          <w:tcPr>
            <w:tcW w:w="1048" w:type="pct"/>
            <w:tcBorders>
              <w:top w:val="single" w:color="auto" w:sz="4" w:space="0"/>
              <w:left w:val="nil"/>
              <w:right w:val="single" w:color="auto" w:sz="4" w:space="0"/>
            </w:tcBorders>
            <w:vAlign w:val="center"/>
          </w:tcPr>
          <w:p>
            <w:pPr>
              <w:widowControl/>
              <w:jc w:val="left"/>
              <w:rPr>
                <w:rFonts w:asciiTheme="minorEastAsia" w:hAnsiTheme="minorEastAsia" w:eastAsiaTheme="minorEastAsia"/>
                <w:kern w:val="0"/>
                <w:sz w:val="21"/>
                <w:szCs w:val="21"/>
              </w:rPr>
            </w:pPr>
          </w:p>
          <w:p>
            <w:pPr>
              <w:spacing w:line="28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在人防工程结构构件上开设通透孔洞或采取其他方式破坏人防工程结构构件或拆除整个结构构件等行为，造成防护标准降低或丧失基本防空效能</w:t>
            </w:r>
          </w:p>
        </w:tc>
        <w:tc>
          <w:tcPr>
            <w:tcW w:w="1543" w:type="pct"/>
            <w:tcBorders>
              <w:top w:val="single" w:color="auto" w:sz="4" w:space="0"/>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对个人并处3000元以上5000元以下的罚款、对单位并处3万元以上5万元以下的罚款；造成损失的，应当依法赔偿损失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C45005A040</w:t>
            </w:r>
          </w:p>
        </w:tc>
        <w:tc>
          <w:tcPr>
            <w:tcW w:w="515" w:type="pct"/>
            <w:tcBorders>
              <w:top w:val="single" w:color="auto" w:sz="4" w:space="0"/>
              <w:left w:val="nil"/>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违反国家有关规定，拆除人民防空工程设备设施的行为</w:t>
            </w:r>
          </w:p>
        </w:tc>
        <w:tc>
          <w:tcPr>
            <w:tcW w:w="572" w:type="pct"/>
            <w:tcBorders>
              <w:top w:val="single" w:color="auto" w:sz="4" w:space="0"/>
              <w:left w:val="nil"/>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《中华人民共和国人民防空法》第二十七条；《北京市人民防空条例》第二十二条第二款  </w:t>
            </w:r>
          </w:p>
        </w:tc>
        <w:tc>
          <w:tcPr>
            <w:tcW w:w="579" w:type="pct"/>
            <w:tcBorders>
              <w:top w:val="single" w:color="auto" w:sz="4" w:space="0"/>
              <w:left w:val="nil"/>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《中华人民共和国人民防空法》第四十九条第（三）项；《北京市人民防空条例》第四十五条第（二）项</w:t>
            </w:r>
          </w:p>
        </w:tc>
        <w:tc>
          <w:tcPr>
            <w:tcW w:w="1048" w:type="pct"/>
            <w:tcBorders>
              <w:top w:val="single" w:color="auto" w:sz="4" w:space="0"/>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拆除人民防空工程设备设施5处以上</w:t>
            </w:r>
          </w:p>
        </w:tc>
        <w:tc>
          <w:tcPr>
            <w:tcW w:w="1543"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C45006B040</w:t>
            </w:r>
          </w:p>
        </w:tc>
        <w:tc>
          <w:tcPr>
            <w:tcW w:w="515" w:type="pct"/>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违反国家有关规定，采用其他方法危害人民防空工程的安全和使用效能的行为</w:t>
            </w:r>
          </w:p>
        </w:tc>
        <w:tc>
          <w:tcPr>
            <w:tcW w:w="572" w:type="pct"/>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《中华人民共和国人民防空法》第二十七条；《北京市人民防空条例》第二十二条第二款、第三款  </w:t>
            </w:r>
          </w:p>
        </w:tc>
        <w:tc>
          <w:tcPr>
            <w:tcW w:w="579" w:type="pct"/>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《中华人民共和国人民防空法》第四十九条第（三）项；《北京市人民防空条例》第四十五条第（二）项</w:t>
            </w:r>
          </w:p>
        </w:tc>
        <w:tc>
          <w:tcPr>
            <w:tcW w:w="1048"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违法行为导致人防工程防护标准降低或丧失基本防空效能</w:t>
            </w:r>
          </w:p>
        </w:tc>
        <w:tc>
          <w:tcPr>
            <w:tcW w:w="1543"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对个人并处3000元以上5000元以下的罚款、对单位并处3万元以上5万元以下的罚款；造成损失的，应当依法赔偿损失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0"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C45007A030</w:t>
            </w:r>
          </w:p>
        </w:tc>
        <w:tc>
          <w:tcPr>
            <w:tcW w:w="515"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拆除人民防空工程后拒不补建的行为</w:t>
            </w:r>
          </w:p>
        </w:tc>
        <w:tc>
          <w:tcPr>
            <w:tcW w:w="572"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《中华人民共和国人民防空法》第二十八条；《北京市人民防空条例》第二十四条第一款  </w:t>
            </w:r>
          </w:p>
        </w:tc>
        <w:tc>
          <w:tcPr>
            <w:tcW w:w="579"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《中华人民共和国人民防空法》第四十九条第（四）项；《北京市人民防空条例》第四十五条第（四）项</w:t>
            </w:r>
          </w:p>
        </w:tc>
        <w:tc>
          <w:tcPr>
            <w:tcW w:w="1048" w:type="pct"/>
            <w:tcBorders>
              <w:top w:val="single" w:color="auto" w:sz="4" w:space="0"/>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拆除面积500㎡以上,拒不补建</w:t>
            </w:r>
          </w:p>
        </w:tc>
        <w:tc>
          <w:tcPr>
            <w:tcW w:w="1543" w:type="pct"/>
            <w:tcBorders>
              <w:top w:val="single" w:color="auto" w:sz="4" w:space="0"/>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C45008B040</w:t>
            </w:r>
          </w:p>
        </w:tc>
        <w:tc>
          <w:tcPr>
            <w:tcW w:w="515"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占用人民防空通信专用频率的行为</w:t>
            </w:r>
          </w:p>
        </w:tc>
        <w:tc>
          <w:tcPr>
            <w:tcW w:w="572"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《中华人民共和国人民防空法》第三十二条第二款；《北京市人民防空条例》第二十七条第二款  </w:t>
            </w:r>
          </w:p>
        </w:tc>
        <w:tc>
          <w:tcPr>
            <w:tcW w:w="579"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《中华人民共和国人民防空法》第四十九条第（五）项；《北京市人民防空条例》第四十五条第（六）项</w:t>
            </w:r>
          </w:p>
        </w:tc>
        <w:tc>
          <w:tcPr>
            <w:tcW w:w="1048"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违法行为对人民防空指挥通信造成网络中断甚至瘫痪或其他严重影响</w:t>
            </w:r>
          </w:p>
        </w:tc>
        <w:tc>
          <w:tcPr>
            <w:tcW w:w="1543"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2"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C45009A040</w:t>
            </w:r>
          </w:p>
        </w:tc>
        <w:tc>
          <w:tcPr>
            <w:tcW w:w="515"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使用与防空警报相同的音响信号的行为</w:t>
            </w:r>
          </w:p>
        </w:tc>
        <w:tc>
          <w:tcPr>
            <w:tcW w:w="572"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《中华人民共和国人民防空法》第三十二条第二款；《北京市人民防空条例》第二十七条第二款  </w:t>
            </w:r>
          </w:p>
        </w:tc>
        <w:tc>
          <w:tcPr>
            <w:tcW w:w="579"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《中华人民共和国人民防空法》第四十九条第（五）项；《北京市人民防空条例》第四十五条第（六）项</w:t>
            </w:r>
          </w:p>
        </w:tc>
        <w:tc>
          <w:tcPr>
            <w:tcW w:w="1048"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违法行为对人民防空指挥通信造成严重影响或对社会秩序造成严重影响</w:t>
            </w:r>
          </w:p>
        </w:tc>
        <w:tc>
          <w:tcPr>
            <w:tcW w:w="1543"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1"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C45010A040</w:t>
            </w:r>
          </w:p>
        </w:tc>
        <w:tc>
          <w:tcPr>
            <w:tcW w:w="515"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擅自拆除人民防空通信、警报设备设施的行为</w:t>
            </w:r>
          </w:p>
        </w:tc>
        <w:tc>
          <w:tcPr>
            <w:tcW w:w="572"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《中华人民共和国人民防空法》第三十五条第二款；《北京市人民防空条例》第二十九条第二款  </w:t>
            </w:r>
          </w:p>
        </w:tc>
        <w:tc>
          <w:tcPr>
            <w:tcW w:w="579"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《中华人民共和国人民防空法》第四十九条第（五）项；《北京市人民防空条例》第四十五条第（六）项</w:t>
            </w:r>
          </w:p>
        </w:tc>
        <w:tc>
          <w:tcPr>
            <w:tcW w:w="1048" w:type="pct"/>
            <w:tcBorders>
              <w:top w:val="single" w:color="auto" w:sz="4" w:space="0"/>
              <w:left w:val="nil"/>
              <w:right w:val="single" w:color="auto" w:sz="4" w:space="0"/>
            </w:tcBorders>
            <w:vAlign w:val="center"/>
          </w:tcPr>
          <w:p>
            <w:pPr>
              <w:spacing w:line="24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擅自拆除通信、警报设备设施，造成通信中断和警报无法施放</w:t>
            </w:r>
          </w:p>
        </w:tc>
        <w:tc>
          <w:tcPr>
            <w:tcW w:w="1543"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C45011B040</w:t>
            </w:r>
          </w:p>
        </w:tc>
        <w:tc>
          <w:tcPr>
            <w:tcW w:w="515"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阻挠安装人民防空通信、警报设施，拒不改正的行为</w:t>
            </w:r>
          </w:p>
        </w:tc>
        <w:tc>
          <w:tcPr>
            <w:tcW w:w="572"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《中华人民共和国人民防空法》第三十二条第一款；《北京市人民防空条例》第二十七条第一款  </w:t>
            </w:r>
          </w:p>
        </w:tc>
        <w:tc>
          <w:tcPr>
            <w:tcW w:w="579"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《中华人民共和国人民防空法》第四十九条第（六）项；《北京市人民防空条例》第四十五条第（五）项</w:t>
            </w:r>
          </w:p>
        </w:tc>
        <w:tc>
          <w:tcPr>
            <w:tcW w:w="1048"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阻挠安装人民防空通信、警报设施，拒不改正，导致通信不畅通和警报无法施放</w:t>
            </w:r>
          </w:p>
        </w:tc>
        <w:tc>
          <w:tcPr>
            <w:tcW w:w="1543"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C45012B040</w:t>
            </w:r>
          </w:p>
        </w:tc>
        <w:tc>
          <w:tcPr>
            <w:tcW w:w="515"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向人民防空工程内排放废水、废气或者倾倒废弃物的行为</w:t>
            </w:r>
          </w:p>
        </w:tc>
        <w:tc>
          <w:tcPr>
            <w:tcW w:w="572"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《中华人民共和国人民防空法》第二十七条；《北京市人民防空条例》第二十三条</w:t>
            </w:r>
          </w:p>
        </w:tc>
        <w:tc>
          <w:tcPr>
            <w:tcW w:w="579"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spacing w:val="-17"/>
                <w:kern w:val="0"/>
                <w:sz w:val="21"/>
                <w:szCs w:val="21"/>
              </w:rPr>
              <w:t>《中华人民共和国人民防空法》第四十九条第（七）项；《北京市人民防空条例》第四十五条第（三）项</w:t>
            </w:r>
          </w:p>
        </w:tc>
        <w:tc>
          <w:tcPr>
            <w:tcW w:w="1048"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违法行为对人防工程的正常使用和维护管理造成严重影响和妨碍；或造成工程内部长期积水；或防护设备严重锈蚀、变形、损坏；或通风、给排水、电气、滤毒、洗消设备损毁失效失灵等危害</w:t>
            </w:r>
          </w:p>
        </w:tc>
        <w:tc>
          <w:tcPr>
            <w:tcW w:w="1543"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C45013A030</w:t>
            </w:r>
          </w:p>
        </w:tc>
        <w:tc>
          <w:tcPr>
            <w:tcW w:w="515"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擅自改造、改变人防工程主体结构的行为</w:t>
            </w:r>
          </w:p>
        </w:tc>
        <w:tc>
          <w:tcPr>
            <w:tcW w:w="572"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《北京市人民防空工程建设与使用管理规定》第二十四条</w:t>
            </w:r>
          </w:p>
          <w:p>
            <w:pPr>
              <w:widowControl/>
              <w:jc w:val="left"/>
              <w:rPr>
                <w:rFonts w:asciiTheme="minorEastAsia" w:hAnsiTheme="minorEastAsia" w:eastAsiaTheme="minorEastAsia"/>
                <w:kern w:val="0"/>
                <w:sz w:val="21"/>
                <w:szCs w:val="21"/>
              </w:rPr>
            </w:pPr>
          </w:p>
        </w:tc>
        <w:tc>
          <w:tcPr>
            <w:tcW w:w="579" w:type="pct"/>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《北京市人民防空工程建设与使用管理规定》第二十九条第（一）项</w:t>
            </w:r>
          </w:p>
        </w:tc>
        <w:tc>
          <w:tcPr>
            <w:tcW w:w="1048"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擅自改造人防工程，在人防工程结构构件上开设通透孔洞或或采取其他方式破坏人防工程结构构件或拆除整个结构构件等行为，造成防护标准降低或丧失基本防空效能</w:t>
            </w:r>
          </w:p>
        </w:tc>
        <w:tc>
          <w:tcPr>
            <w:tcW w:w="1543"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警告，责令限期改正，可以对个人并处3000元以上5000元下罚款、对单位并处3万元以上5万元以下罚款；造成损失的，应当依法赔偿损失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jc w:val="center"/>
        </w:trPr>
        <w:tc>
          <w:tcPr>
            <w:tcW w:w="74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C45015B040</w:t>
            </w:r>
          </w:p>
        </w:tc>
        <w:tc>
          <w:tcPr>
            <w:tcW w:w="515" w:type="pct"/>
            <w:tcBorders>
              <w:top w:val="nil"/>
              <w:left w:val="nil"/>
              <w:right w:val="single" w:color="auto" w:sz="4" w:space="0"/>
            </w:tcBorders>
            <w:vAlign w:val="center"/>
          </w:tcPr>
          <w:p>
            <w:pPr>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未经所在地区、县人民防空主管部门批准或者未按规定使用且危害人民防空工程安全和防空效能的行为</w:t>
            </w:r>
          </w:p>
        </w:tc>
        <w:tc>
          <w:tcPr>
            <w:tcW w:w="572" w:type="pct"/>
            <w:tcBorders>
              <w:top w:val="nil"/>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《北京市人民防空条例》第二十二条第一款</w:t>
            </w:r>
          </w:p>
        </w:tc>
        <w:tc>
          <w:tcPr>
            <w:tcW w:w="579" w:type="pct"/>
            <w:tcBorders>
              <w:top w:val="nil"/>
              <w:left w:val="nil"/>
              <w:right w:val="single" w:color="auto" w:sz="4" w:space="0"/>
            </w:tcBorders>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《北京市人民防空条例》第四十七条</w:t>
            </w:r>
          </w:p>
        </w:tc>
        <w:tc>
          <w:tcPr>
            <w:tcW w:w="1048"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违法行为对人民防空工程安全和防空效能造成严重危害</w:t>
            </w:r>
          </w:p>
        </w:tc>
        <w:tc>
          <w:tcPr>
            <w:tcW w:w="1543" w:type="pct"/>
            <w:tcBorders>
              <w:top w:val="single" w:color="auto" w:sz="4" w:space="0"/>
              <w:left w:val="nil"/>
              <w:right w:val="single" w:color="auto" w:sz="4" w:space="0"/>
            </w:tcBorders>
            <w:vAlign w:val="center"/>
          </w:tcPr>
          <w:p>
            <w:pPr>
              <w:spacing w:line="240" w:lineRule="exact"/>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对个人并处3000元以上5000元以下罚款、对单位并处3万元以上5万元以下罚款；造成损失的，应当依法赔偿损失</w:t>
            </w:r>
          </w:p>
        </w:tc>
      </w:tr>
    </w:tbl>
    <w:p>
      <w:pPr>
        <w:rPr>
          <w:rFonts w:asciiTheme="minorEastAsia" w:hAnsiTheme="minorEastAsia" w:eastAsia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Y2IwMjVmMWY4YzQ1NGU0MTZhZDc5YTkyNTdiZGEifQ=="/>
  </w:docVars>
  <w:rsids>
    <w:rsidRoot w:val="00C67B03"/>
    <w:rsid w:val="000258DC"/>
    <w:rsid w:val="001A3CE9"/>
    <w:rsid w:val="00275717"/>
    <w:rsid w:val="00303A15"/>
    <w:rsid w:val="00441FD4"/>
    <w:rsid w:val="0051726F"/>
    <w:rsid w:val="009D0601"/>
    <w:rsid w:val="00AC096A"/>
    <w:rsid w:val="00C0606D"/>
    <w:rsid w:val="00C67B03"/>
    <w:rsid w:val="00C85DCB"/>
    <w:rsid w:val="00D66FDB"/>
    <w:rsid w:val="00E22EC1"/>
    <w:rsid w:val="0A121D8C"/>
    <w:rsid w:val="0F9B3C87"/>
    <w:rsid w:val="2007377D"/>
    <w:rsid w:val="278E1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497</Words>
  <Characters>2837</Characters>
  <Lines>23</Lines>
  <Paragraphs>6</Paragraphs>
  <TotalTime>7</TotalTime>
  <ScaleCrop>false</ScaleCrop>
  <LinksUpToDate>false</LinksUpToDate>
  <CharactersWithSpaces>3328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2021-12-27T04:44:00Z</dcterms:created>
  <dc:creator>dbc</dc:creator>
  <cp:lastModifiedBy>佳</cp:lastModifiedBy>
  <dcterms:modified xsi:type="dcterms:W3CDTF">2023-11-30T02:45:16Z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5A39ED0ED82046A3BA659A84DC9414F6_13</vt:lpwstr>
  </property>
</Properties>
</file>