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8"/>
          <w:szCs w:val="28"/>
        </w:rPr>
      </w:pPr>
      <w:r>
        <w:rPr>
          <w:rFonts w:hint="eastAsia"/>
          <w:b/>
          <w:sz w:val="28"/>
          <w:szCs w:val="28"/>
          <w:lang w:eastAsia="zh-CN"/>
        </w:rPr>
        <w:t>西城</w:t>
      </w:r>
      <w:r>
        <w:rPr>
          <w:rFonts w:hint="eastAsia"/>
          <w:b/>
          <w:sz w:val="28"/>
          <w:szCs w:val="28"/>
        </w:rPr>
        <w:t>区审计局行政处罚类行政职权运行责任清单</w:t>
      </w:r>
    </w:p>
    <w:p/>
    <w:tbl>
      <w:tblPr>
        <w:tblStyle w:val="2"/>
        <w:tblW w:w="8835"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21"/>
        <w:gridCol w:w="1924"/>
        <w:gridCol w:w="659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2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宋体" w:hAnsi="宋体" w:eastAsia="宋体" w:cs="Arial"/>
                <w:b/>
                <w:bCs/>
                <w:color w:val="282828"/>
                <w:kern w:val="0"/>
                <w:sz w:val="24"/>
                <w:szCs w:val="24"/>
              </w:rPr>
              <w:t xml:space="preserve">序号 </w:t>
            </w:r>
          </w:p>
        </w:tc>
        <w:tc>
          <w:tcPr>
            <w:tcW w:w="1924"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宋体" w:hAnsi="宋体" w:eastAsia="宋体" w:cs="Arial"/>
                <w:b/>
                <w:bCs/>
                <w:color w:val="282828"/>
                <w:kern w:val="0"/>
                <w:sz w:val="24"/>
                <w:szCs w:val="24"/>
              </w:rPr>
              <w:t xml:space="preserve">运行环节 </w:t>
            </w:r>
          </w:p>
        </w:tc>
        <w:tc>
          <w:tcPr>
            <w:tcW w:w="6590"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宋体" w:hAnsi="宋体" w:eastAsia="宋体" w:cs="Arial"/>
                <w:b/>
                <w:bCs/>
                <w:color w:val="282828"/>
                <w:kern w:val="0"/>
                <w:sz w:val="24"/>
                <w:szCs w:val="24"/>
              </w:rPr>
              <w:t xml:space="preserve">责任事项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2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宋体" w:hAnsi="宋体" w:eastAsia="宋体" w:cs="Arial"/>
                <w:color w:val="282828"/>
                <w:kern w:val="0"/>
                <w:sz w:val="24"/>
                <w:szCs w:val="24"/>
              </w:rPr>
              <w:t>1</w:t>
            </w:r>
          </w:p>
        </w:tc>
        <w:tc>
          <w:tcPr>
            <w:tcW w:w="1924"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宋体" w:hAnsi="宋体" w:eastAsia="宋体" w:cs="Arial"/>
                <w:b/>
                <w:bCs/>
                <w:color w:val="282828"/>
                <w:kern w:val="0"/>
                <w:sz w:val="24"/>
                <w:szCs w:val="24"/>
              </w:rPr>
              <w:t xml:space="preserve">（一）立案 </w:t>
            </w:r>
          </w:p>
        </w:tc>
        <w:tc>
          <w:tcPr>
            <w:tcW w:w="6590"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对符合立案条件的案件及时立案。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2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宋体" w:hAnsi="宋体" w:eastAsia="宋体" w:cs="Arial"/>
                <w:color w:val="282828"/>
                <w:kern w:val="0"/>
                <w:sz w:val="24"/>
                <w:szCs w:val="24"/>
              </w:rPr>
              <w:t>2</w:t>
            </w:r>
          </w:p>
        </w:tc>
        <w:tc>
          <w:tcPr>
            <w:tcW w:w="1924"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宋体" w:hAnsi="宋体" w:eastAsia="宋体" w:cs="Arial"/>
                <w:b/>
                <w:bCs/>
                <w:color w:val="282828"/>
                <w:kern w:val="0"/>
                <w:sz w:val="24"/>
                <w:szCs w:val="24"/>
              </w:rPr>
              <w:t xml:space="preserve">（二）调查 </w:t>
            </w:r>
          </w:p>
        </w:tc>
        <w:tc>
          <w:tcPr>
            <w:tcW w:w="6590"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出示执法身份证件，表明执法身份。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2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宋体" w:hAnsi="宋体" w:eastAsia="宋体" w:cs="Arial"/>
                <w:color w:val="282828"/>
                <w:kern w:val="0"/>
                <w:sz w:val="24"/>
                <w:szCs w:val="24"/>
              </w:rPr>
              <w:t>3</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Arial"/>
                <w:kern w:val="0"/>
                <w:szCs w:val="21"/>
              </w:rPr>
            </w:pPr>
          </w:p>
        </w:tc>
        <w:tc>
          <w:tcPr>
            <w:tcW w:w="6590"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应当有2名以上（含2名）行政执法人员共同参加调查取证。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2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宋体" w:hAnsi="宋体" w:eastAsia="宋体" w:cs="Arial"/>
                <w:color w:val="282828"/>
                <w:kern w:val="0"/>
                <w:sz w:val="24"/>
                <w:szCs w:val="24"/>
              </w:rPr>
              <w:t>4</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Arial"/>
                <w:kern w:val="0"/>
                <w:szCs w:val="21"/>
              </w:rPr>
            </w:pPr>
          </w:p>
        </w:tc>
        <w:tc>
          <w:tcPr>
            <w:tcW w:w="6590"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依法调查和保存证据。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2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宋体" w:hAnsi="宋体" w:eastAsia="宋体" w:cs="Arial"/>
                <w:color w:val="282828"/>
                <w:kern w:val="0"/>
                <w:sz w:val="24"/>
                <w:szCs w:val="24"/>
              </w:rPr>
              <w:t>5</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Arial"/>
                <w:kern w:val="0"/>
                <w:szCs w:val="21"/>
              </w:rPr>
            </w:pPr>
          </w:p>
        </w:tc>
        <w:tc>
          <w:tcPr>
            <w:tcW w:w="6590"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适用简易程序的，当场制作行政处罚决定书并当场交付，在事后难以执行及特殊情况下应当当场收缴罚款。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2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宋体" w:hAnsi="宋体" w:eastAsia="宋体" w:cs="Arial"/>
                <w:color w:val="282828"/>
                <w:kern w:val="0"/>
                <w:sz w:val="24"/>
                <w:szCs w:val="24"/>
              </w:rPr>
              <w:t>6</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Arial"/>
                <w:kern w:val="0"/>
                <w:szCs w:val="21"/>
              </w:rPr>
            </w:pPr>
          </w:p>
        </w:tc>
        <w:tc>
          <w:tcPr>
            <w:tcW w:w="6590"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适用简易程序的，执法人员当场作出的行政处罚决定应当报所属行政机关备案。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2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宋体" w:hAnsi="宋体" w:eastAsia="宋体" w:cs="Arial"/>
                <w:color w:val="282828"/>
                <w:kern w:val="0"/>
                <w:sz w:val="24"/>
                <w:szCs w:val="24"/>
              </w:rPr>
              <w:t>7</w:t>
            </w:r>
          </w:p>
        </w:tc>
        <w:tc>
          <w:tcPr>
            <w:tcW w:w="1924"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宋体" w:hAnsi="宋体" w:eastAsia="宋体" w:cs="Arial"/>
                <w:b/>
                <w:bCs/>
                <w:color w:val="282828"/>
                <w:kern w:val="0"/>
                <w:sz w:val="24"/>
                <w:szCs w:val="24"/>
              </w:rPr>
              <w:t xml:space="preserve">（三）审查 </w:t>
            </w:r>
          </w:p>
        </w:tc>
        <w:tc>
          <w:tcPr>
            <w:tcW w:w="6590"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审理案件调查报告，对案件违法事实、证据、调查取证程序、法律适用、处罚种类和幅度、当事人陈述和申辩理由等方面进行审查，提出处理意见（主要证据不足时，以适当的方式补充调查）。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2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宋体" w:hAnsi="宋体" w:eastAsia="宋体" w:cs="Arial"/>
                <w:color w:val="282828"/>
                <w:kern w:val="0"/>
                <w:sz w:val="24"/>
                <w:szCs w:val="24"/>
              </w:rPr>
              <w:t>8</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Arial"/>
                <w:kern w:val="0"/>
                <w:szCs w:val="21"/>
              </w:rPr>
            </w:pPr>
          </w:p>
        </w:tc>
        <w:tc>
          <w:tcPr>
            <w:tcW w:w="6590"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构成犯罪的，移送司法机关依法追究刑事责任。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2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宋体" w:hAnsi="宋体" w:eastAsia="宋体" w:cs="Arial"/>
                <w:color w:val="282828"/>
                <w:kern w:val="0"/>
                <w:sz w:val="24"/>
                <w:szCs w:val="24"/>
              </w:rPr>
              <w:t>9</w:t>
            </w:r>
          </w:p>
        </w:tc>
        <w:tc>
          <w:tcPr>
            <w:tcW w:w="1924"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宋体" w:hAnsi="宋体" w:eastAsia="宋体" w:cs="Arial"/>
                <w:b/>
                <w:bCs/>
                <w:color w:val="282828"/>
                <w:kern w:val="0"/>
                <w:sz w:val="24"/>
                <w:szCs w:val="24"/>
              </w:rPr>
              <w:t xml:space="preserve">（四）告知 </w:t>
            </w:r>
          </w:p>
        </w:tc>
        <w:tc>
          <w:tcPr>
            <w:tcW w:w="6590"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在作出行政处罚前，应告知当事人作出行政处罚决定的事实、理由及依据，并告知当事人依法享有的权利。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2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宋体" w:hAnsi="宋体" w:eastAsia="宋体" w:cs="Arial"/>
                <w:color w:val="282828"/>
                <w:kern w:val="0"/>
                <w:sz w:val="24"/>
                <w:szCs w:val="24"/>
              </w:rPr>
              <w:t>10</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Arial"/>
                <w:kern w:val="0"/>
                <w:szCs w:val="21"/>
              </w:rPr>
            </w:pPr>
          </w:p>
        </w:tc>
        <w:tc>
          <w:tcPr>
            <w:tcW w:w="6590"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依法告知当事人有举行听证的权利，当事人要求听证的，应当依法组织听证。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2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宋体" w:hAnsi="宋体" w:eastAsia="宋体" w:cs="Arial"/>
                <w:color w:val="282828"/>
                <w:kern w:val="0"/>
                <w:sz w:val="24"/>
                <w:szCs w:val="24"/>
              </w:rPr>
              <w:t>11</w:t>
            </w:r>
          </w:p>
        </w:tc>
        <w:tc>
          <w:tcPr>
            <w:tcW w:w="1924"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宋体" w:hAnsi="宋体" w:eastAsia="宋体" w:cs="Arial"/>
                <w:b/>
                <w:bCs/>
                <w:color w:val="282828"/>
                <w:kern w:val="0"/>
                <w:sz w:val="24"/>
                <w:szCs w:val="24"/>
              </w:rPr>
              <w:t xml:space="preserve">（五）决定 </w:t>
            </w:r>
          </w:p>
        </w:tc>
        <w:tc>
          <w:tcPr>
            <w:tcW w:w="6590"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充分听取当事人的意见，对当事人提出的事实、理由和证据，应当进行复核；当事人提出的事实、理由或者证据成立的，应当采纳，不得因当事人申辩而加重处罚。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2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宋体" w:hAnsi="宋体" w:eastAsia="宋体" w:cs="Arial"/>
                <w:color w:val="282828"/>
                <w:kern w:val="0"/>
                <w:sz w:val="24"/>
                <w:szCs w:val="24"/>
              </w:rPr>
              <w:t>12</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Arial"/>
                <w:kern w:val="0"/>
                <w:szCs w:val="21"/>
              </w:rPr>
            </w:pPr>
          </w:p>
        </w:tc>
        <w:tc>
          <w:tcPr>
            <w:tcW w:w="6590"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对情节复杂或者重大违法行为给予较重的行政处罚，应当集体讨论决定。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2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宋体" w:hAnsi="宋体" w:eastAsia="宋体" w:cs="Arial"/>
                <w:color w:val="282828"/>
                <w:kern w:val="0"/>
                <w:sz w:val="24"/>
                <w:szCs w:val="24"/>
              </w:rPr>
              <w:t>13</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Arial"/>
                <w:kern w:val="0"/>
                <w:szCs w:val="21"/>
              </w:rPr>
            </w:pPr>
          </w:p>
        </w:tc>
        <w:tc>
          <w:tcPr>
            <w:tcW w:w="6590"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依法决定给予行政处罚，制作行政处罚决定书，并在处罚决定书中告知对处罚决定不服的可以依法申请行政复议或者提起行政诉讼。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2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宋体" w:hAnsi="宋体" w:eastAsia="宋体" w:cs="Arial"/>
                <w:color w:val="282828"/>
                <w:kern w:val="0"/>
                <w:sz w:val="24"/>
                <w:szCs w:val="24"/>
              </w:rPr>
              <w:t>14</w:t>
            </w:r>
          </w:p>
        </w:tc>
        <w:tc>
          <w:tcPr>
            <w:tcW w:w="1924"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Arial"/>
                <w:kern w:val="0"/>
                <w:szCs w:val="21"/>
              </w:rPr>
            </w:pPr>
          </w:p>
        </w:tc>
        <w:tc>
          <w:tcPr>
            <w:tcW w:w="6590"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对当事人的同一个违法行为，不得给予两次以上罚款的行政处罚。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2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宋体" w:hAnsi="宋体" w:eastAsia="宋体" w:cs="Arial"/>
                <w:color w:val="282828"/>
                <w:kern w:val="0"/>
                <w:sz w:val="24"/>
                <w:szCs w:val="24"/>
              </w:rPr>
              <w:t>15</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Arial"/>
                <w:kern w:val="0"/>
                <w:szCs w:val="21"/>
              </w:rPr>
            </w:pPr>
          </w:p>
        </w:tc>
        <w:tc>
          <w:tcPr>
            <w:tcW w:w="6590"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实施行政处罚时，应当责令当事人改正或者限期改正违法行为。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2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宋体" w:hAnsi="宋体" w:eastAsia="宋体" w:cs="Arial"/>
                <w:color w:val="282828"/>
                <w:kern w:val="0"/>
                <w:sz w:val="24"/>
                <w:szCs w:val="24"/>
              </w:rPr>
              <w:t>16</w:t>
            </w:r>
          </w:p>
        </w:tc>
        <w:tc>
          <w:tcPr>
            <w:tcW w:w="1924"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宋体" w:hAnsi="宋体" w:eastAsia="宋体" w:cs="Arial"/>
                <w:b/>
                <w:bCs/>
                <w:color w:val="282828"/>
                <w:kern w:val="0"/>
                <w:sz w:val="24"/>
                <w:szCs w:val="24"/>
              </w:rPr>
              <w:t xml:space="preserve">（六）送达 </w:t>
            </w:r>
          </w:p>
        </w:tc>
        <w:tc>
          <w:tcPr>
            <w:tcW w:w="6590"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行政处罚决定书应当在宣告后当场交付当事人；当事人不在场的，行政机关应当在7日内依照民事诉讼法的有关规定，将行政处罚决定书送达当事人。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2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宋体" w:hAnsi="宋体" w:eastAsia="宋体" w:cs="Arial"/>
                <w:color w:val="282828"/>
                <w:kern w:val="0"/>
                <w:sz w:val="24"/>
                <w:szCs w:val="24"/>
              </w:rPr>
              <w:t>17</w:t>
            </w:r>
          </w:p>
        </w:tc>
        <w:tc>
          <w:tcPr>
            <w:tcW w:w="1924"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宋体" w:hAnsi="宋体" w:eastAsia="宋体" w:cs="Arial"/>
                <w:b/>
                <w:bCs/>
                <w:color w:val="282828"/>
                <w:kern w:val="0"/>
                <w:sz w:val="24"/>
                <w:szCs w:val="24"/>
              </w:rPr>
              <w:t xml:space="preserve">（七）执行 </w:t>
            </w:r>
          </w:p>
        </w:tc>
        <w:tc>
          <w:tcPr>
            <w:tcW w:w="6590"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使用法定部门制发的罚款、没收财物单据进行罚款、没收财物等处罚。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2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黑体" w:hAnsi="黑体" w:eastAsia="黑体" w:cs="Arial"/>
                <w:color w:val="282828"/>
                <w:kern w:val="0"/>
                <w:sz w:val="24"/>
                <w:szCs w:val="24"/>
              </w:rPr>
              <w:t>18</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Arial"/>
                <w:kern w:val="0"/>
                <w:szCs w:val="21"/>
              </w:rPr>
            </w:pPr>
          </w:p>
        </w:tc>
        <w:tc>
          <w:tcPr>
            <w:tcW w:w="6590"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对当事人的同一个违法行为，不得给予两次以上罚款的行政处罚。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2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黑体" w:hAnsi="黑体" w:eastAsia="黑体" w:cs="Arial"/>
                <w:color w:val="282828"/>
                <w:kern w:val="0"/>
                <w:sz w:val="24"/>
                <w:szCs w:val="24"/>
              </w:rPr>
              <w:t>19</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Arial"/>
                <w:kern w:val="0"/>
                <w:szCs w:val="21"/>
              </w:rPr>
            </w:pPr>
          </w:p>
        </w:tc>
        <w:tc>
          <w:tcPr>
            <w:tcW w:w="6590"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实施行政处罚时，应当责令当事人改正或者限期改正违法行为。 </w:t>
            </w:r>
          </w:p>
        </w:tc>
      </w:tr>
    </w:tbl>
    <w:p>
      <w:pPr>
        <w:rPr>
          <w:rFonts w:hint="eastAsia"/>
        </w:rPr>
      </w:pPr>
    </w:p>
    <w:p>
      <w:pPr>
        <w:rPr>
          <w:rFonts w:hint="eastAsia"/>
        </w:rPr>
      </w:pPr>
    </w:p>
    <w:p>
      <w:pPr>
        <w:rPr>
          <w:rFonts w:hint="eastAsia"/>
        </w:rPr>
      </w:pPr>
    </w:p>
    <w:p>
      <w:pPr>
        <w:jc w:val="center"/>
        <w:rPr>
          <w:rFonts w:hint="eastAsia"/>
          <w:b/>
          <w:sz w:val="28"/>
          <w:szCs w:val="28"/>
        </w:rPr>
      </w:pPr>
      <w:r>
        <w:rPr>
          <w:rFonts w:hint="eastAsia"/>
          <w:b/>
          <w:sz w:val="28"/>
          <w:szCs w:val="28"/>
          <w:lang w:eastAsia="zh-CN"/>
        </w:rPr>
        <w:t>西城</w:t>
      </w:r>
      <w:r>
        <w:rPr>
          <w:rFonts w:hint="eastAsia"/>
          <w:b/>
          <w:sz w:val="28"/>
          <w:szCs w:val="28"/>
        </w:rPr>
        <w:t>区审计局行政强制类(行政强制执行)行政职权运行责任清单</w:t>
      </w:r>
    </w:p>
    <w:p/>
    <w:tbl>
      <w:tblPr>
        <w:tblStyle w:val="2"/>
        <w:tblW w:w="8835"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21"/>
        <w:gridCol w:w="1924"/>
        <w:gridCol w:w="659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2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黑体" w:hAnsi="黑体" w:eastAsia="黑体" w:cs="Arial"/>
                <w:color w:val="282828"/>
                <w:kern w:val="0"/>
                <w:sz w:val="24"/>
                <w:szCs w:val="24"/>
              </w:rPr>
              <w:t xml:space="preserve">序号 </w:t>
            </w:r>
          </w:p>
        </w:tc>
        <w:tc>
          <w:tcPr>
            <w:tcW w:w="1924"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黑体" w:hAnsi="黑体" w:eastAsia="黑体" w:cs="Arial"/>
                <w:color w:val="282828"/>
                <w:kern w:val="0"/>
                <w:sz w:val="24"/>
                <w:szCs w:val="24"/>
              </w:rPr>
              <w:t xml:space="preserve">运行环节 </w:t>
            </w:r>
          </w:p>
        </w:tc>
        <w:tc>
          <w:tcPr>
            <w:tcW w:w="6590"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黑体" w:hAnsi="黑体" w:eastAsia="黑体" w:cs="Arial"/>
                <w:color w:val="282828"/>
                <w:kern w:val="0"/>
                <w:sz w:val="24"/>
                <w:szCs w:val="24"/>
              </w:rPr>
              <w:t xml:space="preserve">责任事项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2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黑体" w:hAnsi="黑体" w:eastAsia="黑体" w:cs="Arial"/>
                <w:color w:val="282828"/>
                <w:kern w:val="0"/>
                <w:sz w:val="24"/>
                <w:szCs w:val="24"/>
              </w:rPr>
              <w:t>1</w:t>
            </w:r>
          </w:p>
        </w:tc>
        <w:tc>
          <w:tcPr>
            <w:tcW w:w="1924"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黑体" w:hAnsi="黑体" w:eastAsia="黑体" w:cs="Arial"/>
                <w:b/>
                <w:bCs/>
                <w:color w:val="282828"/>
                <w:kern w:val="0"/>
                <w:sz w:val="24"/>
                <w:szCs w:val="24"/>
              </w:rPr>
              <w:t xml:space="preserve">（一）催告 </w:t>
            </w:r>
          </w:p>
        </w:tc>
        <w:tc>
          <w:tcPr>
            <w:tcW w:w="6590"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行政机关作出强制执行决定前，应当事先书面催告当事人履行义务。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2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黑体" w:hAnsi="黑体" w:eastAsia="黑体" w:cs="Arial"/>
                <w:color w:val="282828"/>
                <w:kern w:val="0"/>
                <w:sz w:val="24"/>
                <w:szCs w:val="24"/>
              </w:rPr>
              <w:t>2</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Arial"/>
                <w:kern w:val="0"/>
                <w:szCs w:val="21"/>
              </w:rPr>
            </w:pPr>
          </w:p>
        </w:tc>
        <w:tc>
          <w:tcPr>
            <w:tcW w:w="6590"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催告书应当直接送达当事人。当事人拒绝接收或者无法直接送达当事人的，依照民事诉讼法的有关规定送达。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2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黑体" w:hAnsi="黑体" w:eastAsia="黑体" w:cs="Arial"/>
                <w:color w:val="282828"/>
                <w:kern w:val="0"/>
                <w:sz w:val="24"/>
                <w:szCs w:val="24"/>
              </w:rPr>
              <w:t>3</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Arial"/>
                <w:kern w:val="0"/>
                <w:szCs w:val="21"/>
              </w:rPr>
            </w:pPr>
          </w:p>
        </w:tc>
        <w:tc>
          <w:tcPr>
            <w:tcW w:w="6590"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催告期间，对有证据证明有转移或者隐匿财物迹象的，可以作出立即强制执行决定。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2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黑体" w:hAnsi="黑体" w:eastAsia="黑体" w:cs="Arial"/>
                <w:color w:val="282828"/>
                <w:kern w:val="0"/>
                <w:sz w:val="24"/>
                <w:szCs w:val="24"/>
              </w:rPr>
              <w:t>4</w:t>
            </w:r>
          </w:p>
        </w:tc>
        <w:tc>
          <w:tcPr>
            <w:tcW w:w="1924"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黑体" w:hAnsi="黑体" w:eastAsia="黑体" w:cs="Arial"/>
                <w:b/>
                <w:bCs/>
                <w:color w:val="282828"/>
                <w:kern w:val="0"/>
                <w:sz w:val="24"/>
                <w:szCs w:val="24"/>
              </w:rPr>
              <w:t xml:space="preserve">（二）决定 </w:t>
            </w:r>
          </w:p>
        </w:tc>
        <w:tc>
          <w:tcPr>
            <w:tcW w:w="6590"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充分听取当事人的意见，对当事人提出的事实、理由和证据，应当进行记录、复核。当事人提出的事实、理由或者证据成立的，应当采纳。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2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黑体" w:hAnsi="黑体" w:eastAsia="黑体" w:cs="Arial"/>
                <w:color w:val="282828"/>
                <w:kern w:val="0"/>
                <w:sz w:val="24"/>
                <w:szCs w:val="24"/>
              </w:rPr>
              <w:t>5</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Arial"/>
                <w:kern w:val="0"/>
                <w:szCs w:val="21"/>
              </w:rPr>
            </w:pPr>
          </w:p>
        </w:tc>
        <w:tc>
          <w:tcPr>
            <w:tcW w:w="6590"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经催告，当事人逾期仍不履行行政决定，且无正当理由的，应当作出书面强制执行决定。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2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黑体" w:hAnsi="黑体" w:eastAsia="黑体" w:cs="Arial"/>
                <w:color w:val="282828"/>
                <w:kern w:val="0"/>
                <w:sz w:val="24"/>
                <w:szCs w:val="24"/>
              </w:rPr>
              <w:t>6</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Arial"/>
                <w:kern w:val="0"/>
                <w:szCs w:val="21"/>
              </w:rPr>
            </w:pPr>
          </w:p>
        </w:tc>
        <w:tc>
          <w:tcPr>
            <w:tcW w:w="6590"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行政强制执行决定书催告书应当直接送达当事人。当事人拒绝接收或者无法直接送达当事人的，依照民事诉讼法的有关规定送达。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2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黑体" w:hAnsi="黑体" w:eastAsia="黑体" w:cs="Arial"/>
                <w:color w:val="282828"/>
                <w:kern w:val="0"/>
                <w:sz w:val="24"/>
                <w:szCs w:val="24"/>
              </w:rPr>
              <w:t>7</w:t>
            </w:r>
          </w:p>
        </w:tc>
        <w:tc>
          <w:tcPr>
            <w:tcW w:w="1924"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黑体" w:hAnsi="黑体" w:eastAsia="黑体" w:cs="Arial"/>
                <w:b/>
                <w:bCs/>
                <w:color w:val="282828"/>
                <w:kern w:val="0"/>
                <w:sz w:val="24"/>
                <w:szCs w:val="24"/>
              </w:rPr>
              <w:t xml:space="preserve">（三）执行 </w:t>
            </w:r>
          </w:p>
        </w:tc>
        <w:tc>
          <w:tcPr>
            <w:tcW w:w="6590"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依法实施行政强制执行。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2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黑体" w:hAnsi="黑体" w:eastAsia="黑体" w:cs="Arial"/>
                <w:color w:val="282828"/>
                <w:kern w:val="0"/>
                <w:sz w:val="24"/>
                <w:szCs w:val="24"/>
              </w:rPr>
              <w:t>8</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Arial"/>
                <w:kern w:val="0"/>
                <w:szCs w:val="21"/>
              </w:rPr>
            </w:pPr>
          </w:p>
        </w:tc>
        <w:tc>
          <w:tcPr>
            <w:tcW w:w="6590"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不得在夜间或者法定节假日实施行政强制执行，情况紧急的除外；不得对居民生活采取停止供水、供电、供热、供燃气等方式迫使当事人履行相关行政决定。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2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黑体" w:hAnsi="黑体" w:eastAsia="黑体" w:cs="Arial"/>
                <w:color w:val="282828"/>
                <w:kern w:val="0"/>
                <w:sz w:val="24"/>
                <w:szCs w:val="24"/>
              </w:rPr>
              <w:t>9</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Arial"/>
                <w:kern w:val="0"/>
                <w:szCs w:val="21"/>
              </w:rPr>
            </w:pPr>
          </w:p>
        </w:tc>
        <w:tc>
          <w:tcPr>
            <w:tcW w:w="6590"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对违法的建筑物、构筑物、设施等需要强制拆除的，应当予以公告，限期当事人自行拆除。当事人在法定期限内不申请行政复议或者提起行政诉讼，又不拆除的，可依法强制拆除。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2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黑体" w:hAnsi="黑体" w:eastAsia="黑体" w:cs="Arial"/>
                <w:color w:val="282828"/>
                <w:kern w:val="0"/>
                <w:sz w:val="24"/>
                <w:szCs w:val="24"/>
              </w:rPr>
              <w:t>10</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Arial"/>
                <w:kern w:val="0"/>
                <w:szCs w:val="21"/>
              </w:rPr>
            </w:pPr>
          </w:p>
        </w:tc>
        <w:tc>
          <w:tcPr>
            <w:tcW w:w="6590"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划拨的存款、汇款以及拍卖和依法处理所得的款项应当上缴国库或者划入财政专户，不得以任何形式截留、私分或者变相私分。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2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黑体" w:hAnsi="黑体" w:eastAsia="黑体" w:cs="Arial"/>
                <w:color w:val="282828"/>
                <w:kern w:val="0"/>
                <w:sz w:val="24"/>
                <w:szCs w:val="24"/>
              </w:rPr>
              <w:t>11</w:t>
            </w:r>
          </w:p>
        </w:tc>
        <w:tc>
          <w:tcPr>
            <w:tcW w:w="1924"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黑体" w:hAnsi="黑体" w:eastAsia="黑体" w:cs="Arial"/>
                <w:b/>
                <w:bCs/>
                <w:color w:val="282828"/>
                <w:kern w:val="0"/>
                <w:sz w:val="24"/>
                <w:szCs w:val="24"/>
              </w:rPr>
              <w:t xml:space="preserve">（四）事后监管 </w:t>
            </w:r>
          </w:p>
        </w:tc>
        <w:tc>
          <w:tcPr>
            <w:tcW w:w="6590"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建立健全事后监管制度，依法履行监督责任。 </w:t>
            </w:r>
          </w:p>
        </w:tc>
      </w:tr>
    </w:tbl>
    <w:p>
      <w:pPr>
        <w:rPr>
          <w:rFonts w:hint="eastAsia"/>
        </w:rPr>
      </w:pPr>
    </w:p>
    <w:p>
      <w:pPr>
        <w:rPr>
          <w:rFonts w:hint="eastAsia"/>
        </w:rPr>
      </w:pPr>
    </w:p>
    <w:p>
      <w:pPr>
        <w:jc w:val="center"/>
        <w:rPr>
          <w:rFonts w:hint="eastAsia"/>
          <w:b/>
          <w:sz w:val="28"/>
          <w:szCs w:val="28"/>
        </w:rPr>
      </w:pPr>
    </w:p>
    <w:p>
      <w:pPr>
        <w:jc w:val="center"/>
        <w:rPr>
          <w:rFonts w:hint="eastAsia"/>
          <w:b/>
          <w:sz w:val="28"/>
          <w:szCs w:val="28"/>
        </w:rPr>
      </w:pPr>
    </w:p>
    <w:p>
      <w:pPr>
        <w:jc w:val="center"/>
        <w:rPr>
          <w:rFonts w:hint="eastAsia"/>
          <w:b/>
          <w:sz w:val="28"/>
          <w:szCs w:val="28"/>
        </w:rPr>
      </w:pPr>
    </w:p>
    <w:p>
      <w:pPr>
        <w:jc w:val="center"/>
        <w:rPr>
          <w:rFonts w:hint="eastAsia"/>
          <w:b/>
          <w:sz w:val="28"/>
          <w:szCs w:val="28"/>
        </w:rPr>
      </w:pPr>
    </w:p>
    <w:p>
      <w:pPr>
        <w:jc w:val="center"/>
        <w:rPr>
          <w:rFonts w:hint="eastAsia"/>
          <w:b/>
          <w:sz w:val="28"/>
          <w:szCs w:val="28"/>
        </w:rPr>
      </w:pPr>
    </w:p>
    <w:p>
      <w:pPr>
        <w:jc w:val="center"/>
        <w:rPr>
          <w:rFonts w:hint="eastAsia"/>
          <w:b/>
          <w:sz w:val="28"/>
          <w:szCs w:val="28"/>
        </w:rPr>
      </w:pPr>
    </w:p>
    <w:p>
      <w:pPr>
        <w:jc w:val="center"/>
        <w:rPr>
          <w:rFonts w:hint="eastAsia"/>
          <w:b/>
          <w:sz w:val="28"/>
          <w:szCs w:val="28"/>
        </w:rPr>
      </w:pPr>
      <w:r>
        <w:rPr>
          <w:rFonts w:hint="eastAsia"/>
          <w:b/>
          <w:sz w:val="28"/>
          <w:szCs w:val="28"/>
          <w:lang w:eastAsia="zh-CN"/>
        </w:rPr>
        <w:t>西城</w:t>
      </w:r>
      <w:r>
        <w:rPr>
          <w:rFonts w:hint="eastAsia"/>
          <w:b/>
          <w:sz w:val="28"/>
          <w:szCs w:val="28"/>
        </w:rPr>
        <w:t>区审计局行政奖励类行政职权运行责任清单</w:t>
      </w:r>
    </w:p>
    <w:p/>
    <w:tbl>
      <w:tblPr>
        <w:tblStyle w:val="2"/>
        <w:tblW w:w="8835"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57"/>
        <w:gridCol w:w="1877"/>
        <w:gridCol w:w="650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7"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黑体" w:hAnsi="黑体" w:eastAsia="黑体" w:cs="Arial"/>
                <w:color w:val="282828"/>
                <w:kern w:val="0"/>
                <w:sz w:val="24"/>
                <w:szCs w:val="24"/>
              </w:rPr>
              <w:t xml:space="preserve">序号 </w:t>
            </w:r>
          </w:p>
        </w:tc>
        <w:tc>
          <w:tcPr>
            <w:tcW w:w="1882"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黑体" w:hAnsi="黑体" w:eastAsia="黑体" w:cs="Arial"/>
                <w:color w:val="282828"/>
                <w:kern w:val="0"/>
                <w:sz w:val="24"/>
                <w:szCs w:val="24"/>
              </w:rPr>
              <w:t xml:space="preserve">运行环节 </w:t>
            </w:r>
          </w:p>
        </w:tc>
        <w:tc>
          <w:tcPr>
            <w:tcW w:w="6526"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黑体" w:hAnsi="黑体" w:eastAsia="黑体" w:cs="Arial"/>
                <w:color w:val="282828"/>
                <w:kern w:val="0"/>
                <w:sz w:val="27"/>
                <w:szCs w:val="27"/>
              </w:rPr>
              <w:t xml:space="preserve">责任事项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7" w:type="dxa"/>
            <w:tcBorders>
              <w:top w:val="outset" w:color="auto" w:sz="6" w:space="0"/>
              <w:left w:val="outset" w:color="auto" w:sz="6" w:space="0"/>
              <w:bottom w:val="outset" w:color="auto" w:sz="6" w:space="0"/>
              <w:right w:val="outset" w:color="auto" w:sz="6" w:space="0"/>
            </w:tcBorders>
            <w:noWrap/>
            <w:vAlign w:val="center"/>
          </w:tcPr>
          <w:p>
            <w:pPr>
              <w:widowControl/>
              <w:spacing w:line="375" w:lineRule="atLeast"/>
              <w:jc w:val="center"/>
              <w:rPr>
                <w:rFonts w:ascii="Arial" w:hAnsi="Arial" w:eastAsia="宋体" w:cs="Arial"/>
                <w:kern w:val="0"/>
                <w:szCs w:val="21"/>
              </w:rPr>
            </w:pPr>
            <w:r>
              <w:rPr>
                <w:rFonts w:hint="eastAsia" w:ascii="黑体" w:hAnsi="黑体" w:eastAsia="黑体" w:cs="Arial"/>
                <w:color w:val="282828"/>
                <w:kern w:val="0"/>
                <w:sz w:val="24"/>
                <w:szCs w:val="24"/>
              </w:rPr>
              <w:t>1</w:t>
            </w:r>
          </w:p>
        </w:tc>
        <w:tc>
          <w:tcPr>
            <w:tcW w:w="1882"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黑体" w:hAnsi="黑体" w:eastAsia="黑体" w:cs="Arial"/>
                <w:b/>
                <w:bCs/>
                <w:color w:val="282828"/>
                <w:kern w:val="0"/>
                <w:sz w:val="24"/>
                <w:szCs w:val="24"/>
              </w:rPr>
              <w:t xml:space="preserve">（一）制定方案 </w:t>
            </w:r>
          </w:p>
        </w:tc>
        <w:tc>
          <w:tcPr>
            <w:tcW w:w="6526"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依法科学制定奖励方案，明确奖励条件、程序等内容。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7" w:type="dxa"/>
            <w:tcBorders>
              <w:top w:val="outset" w:color="auto" w:sz="6" w:space="0"/>
              <w:left w:val="outset" w:color="auto" w:sz="6" w:space="0"/>
              <w:bottom w:val="outset" w:color="auto" w:sz="6" w:space="0"/>
              <w:right w:val="outset" w:color="auto" w:sz="6" w:space="0"/>
            </w:tcBorders>
            <w:noWrap/>
            <w:vAlign w:val="center"/>
          </w:tcPr>
          <w:p>
            <w:pPr>
              <w:widowControl/>
              <w:spacing w:line="375" w:lineRule="atLeast"/>
              <w:jc w:val="center"/>
              <w:rPr>
                <w:rFonts w:ascii="Arial" w:hAnsi="Arial" w:eastAsia="宋体" w:cs="Arial"/>
                <w:kern w:val="0"/>
                <w:szCs w:val="21"/>
              </w:rPr>
            </w:pPr>
            <w:r>
              <w:rPr>
                <w:rFonts w:hint="eastAsia" w:ascii="黑体" w:hAnsi="黑体" w:eastAsia="黑体" w:cs="Arial"/>
                <w:color w:val="282828"/>
                <w:kern w:val="0"/>
                <w:sz w:val="24"/>
                <w:szCs w:val="24"/>
              </w:rPr>
              <w:t>2</w:t>
            </w:r>
          </w:p>
        </w:tc>
        <w:tc>
          <w:tcPr>
            <w:tcW w:w="1882"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黑体" w:hAnsi="黑体" w:eastAsia="黑体" w:cs="Arial"/>
                <w:b/>
                <w:bCs/>
                <w:color w:val="282828"/>
                <w:kern w:val="0"/>
                <w:sz w:val="24"/>
                <w:szCs w:val="24"/>
              </w:rPr>
              <w:t xml:space="preserve">（二）审核公示 </w:t>
            </w:r>
          </w:p>
        </w:tc>
        <w:tc>
          <w:tcPr>
            <w:tcW w:w="6526"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对符合条件的推荐对象进行审核审定，并进行公示。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7" w:type="dxa"/>
            <w:tcBorders>
              <w:top w:val="outset" w:color="auto" w:sz="6" w:space="0"/>
              <w:left w:val="outset" w:color="auto" w:sz="6" w:space="0"/>
              <w:bottom w:val="outset" w:color="auto" w:sz="6" w:space="0"/>
              <w:right w:val="outset" w:color="auto" w:sz="6" w:space="0"/>
            </w:tcBorders>
            <w:noWrap/>
            <w:vAlign w:val="center"/>
          </w:tcPr>
          <w:p>
            <w:pPr>
              <w:widowControl/>
              <w:spacing w:line="375" w:lineRule="atLeast"/>
              <w:jc w:val="center"/>
              <w:rPr>
                <w:rFonts w:ascii="Arial" w:hAnsi="Arial" w:eastAsia="宋体" w:cs="Arial"/>
                <w:kern w:val="0"/>
                <w:szCs w:val="21"/>
              </w:rPr>
            </w:pPr>
            <w:r>
              <w:rPr>
                <w:rFonts w:hint="eastAsia" w:ascii="黑体" w:hAnsi="黑体" w:eastAsia="黑体" w:cs="Arial"/>
                <w:color w:val="282828"/>
                <w:kern w:val="0"/>
                <w:sz w:val="24"/>
                <w:szCs w:val="24"/>
              </w:rPr>
              <w:t>3</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Arial"/>
                <w:kern w:val="0"/>
                <w:szCs w:val="21"/>
              </w:rPr>
            </w:pPr>
          </w:p>
        </w:tc>
        <w:tc>
          <w:tcPr>
            <w:tcW w:w="6526"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依法、及时调查核实举报投诉涉及问题。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7" w:type="dxa"/>
            <w:tcBorders>
              <w:top w:val="outset" w:color="auto" w:sz="6" w:space="0"/>
              <w:left w:val="outset" w:color="auto" w:sz="6" w:space="0"/>
              <w:bottom w:val="outset" w:color="auto" w:sz="6" w:space="0"/>
              <w:right w:val="outset" w:color="auto" w:sz="6" w:space="0"/>
            </w:tcBorders>
            <w:noWrap/>
            <w:vAlign w:val="center"/>
          </w:tcPr>
          <w:p>
            <w:pPr>
              <w:widowControl/>
              <w:spacing w:line="375" w:lineRule="atLeast"/>
              <w:jc w:val="center"/>
              <w:rPr>
                <w:rFonts w:ascii="Arial" w:hAnsi="Arial" w:eastAsia="宋体" w:cs="Arial"/>
                <w:kern w:val="0"/>
                <w:szCs w:val="21"/>
              </w:rPr>
            </w:pPr>
            <w:r>
              <w:rPr>
                <w:rFonts w:hint="eastAsia" w:ascii="黑体" w:hAnsi="黑体" w:eastAsia="黑体" w:cs="Arial"/>
                <w:color w:val="282828"/>
                <w:kern w:val="0"/>
                <w:sz w:val="24"/>
                <w:szCs w:val="24"/>
              </w:rPr>
              <w:t>4</w:t>
            </w:r>
          </w:p>
        </w:tc>
        <w:tc>
          <w:tcPr>
            <w:tcW w:w="1882"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黑体" w:hAnsi="黑体" w:eastAsia="黑体" w:cs="Arial"/>
                <w:b/>
                <w:bCs/>
                <w:color w:val="282828"/>
                <w:kern w:val="0"/>
                <w:sz w:val="24"/>
                <w:szCs w:val="24"/>
              </w:rPr>
              <w:t xml:space="preserve">（三）实施奖励 </w:t>
            </w:r>
          </w:p>
        </w:tc>
        <w:tc>
          <w:tcPr>
            <w:tcW w:w="6526"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依法、及时按程序报批决定奖励的等级和金额。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7" w:type="dxa"/>
            <w:tcBorders>
              <w:top w:val="outset" w:color="auto" w:sz="6" w:space="0"/>
              <w:left w:val="outset" w:color="auto" w:sz="6" w:space="0"/>
              <w:bottom w:val="outset" w:color="auto" w:sz="6" w:space="0"/>
              <w:right w:val="outset" w:color="auto" w:sz="6" w:space="0"/>
            </w:tcBorders>
            <w:noWrap/>
            <w:vAlign w:val="center"/>
          </w:tcPr>
          <w:p>
            <w:pPr>
              <w:widowControl/>
              <w:spacing w:line="375" w:lineRule="atLeast"/>
              <w:jc w:val="center"/>
              <w:rPr>
                <w:rFonts w:ascii="Arial" w:hAnsi="Arial" w:eastAsia="宋体" w:cs="Arial"/>
                <w:kern w:val="0"/>
                <w:szCs w:val="21"/>
              </w:rPr>
            </w:pPr>
            <w:r>
              <w:rPr>
                <w:rFonts w:hint="eastAsia" w:ascii="黑体" w:hAnsi="黑体" w:eastAsia="黑体" w:cs="Arial"/>
                <w:color w:val="282828"/>
                <w:kern w:val="0"/>
                <w:sz w:val="24"/>
                <w:szCs w:val="24"/>
              </w:rPr>
              <w:t>5</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Arial"/>
                <w:kern w:val="0"/>
                <w:szCs w:val="21"/>
              </w:rPr>
            </w:pPr>
          </w:p>
        </w:tc>
        <w:tc>
          <w:tcPr>
            <w:tcW w:w="6526"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及时通知当事人领取奖励。 </w:t>
            </w:r>
          </w:p>
        </w:tc>
      </w:tr>
    </w:tbl>
    <w:p>
      <w:pPr>
        <w:rPr>
          <w:rFonts w:hint="eastAsia"/>
        </w:rPr>
      </w:pPr>
    </w:p>
    <w:p>
      <w:pPr>
        <w:rPr>
          <w:rFonts w:hint="eastAsia"/>
        </w:rPr>
      </w:pPr>
    </w:p>
    <w:p>
      <w:pPr>
        <w:jc w:val="center"/>
        <w:rPr>
          <w:b/>
          <w:sz w:val="28"/>
          <w:szCs w:val="28"/>
        </w:rPr>
      </w:pPr>
      <w:r>
        <w:rPr>
          <w:rFonts w:hint="eastAsia"/>
          <w:b/>
          <w:sz w:val="28"/>
          <w:szCs w:val="28"/>
          <w:lang w:eastAsia="zh-CN"/>
        </w:rPr>
        <w:t>西城</w:t>
      </w:r>
      <w:bookmarkStart w:id="0" w:name="_GoBack"/>
      <w:bookmarkEnd w:id="0"/>
      <w:r>
        <w:rPr>
          <w:rFonts w:hint="eastAsia"/>
          <w:b/>
          <w:sz w:val="28"/>
          <w:szCs w:val="28"/>
        </w:rPr>
        <w:t>区审计局行政检查类行政职权运行责任清单</w:t>
      </w:r>
    </w:p>
    <w:tbl>
      <w:tblPr>
        <w:tblStyle w:val="2"/>
        <w:tblW w:w="8835"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27"/>
        <w:gridCol w:w="1882"/>
        <w:gridCol w:w="652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97"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黑体" w:hAnsi="黑体" w:eastAsia="黑体" w:cs="Arial"/>
                <w:color w:val="282828"/>
                <w:kern w:val="0"/>
                <w:sz w:val="24"/>
                <w:szCs w:val="24"/>
              </w:rPr>
              <w:t xml:space="preserve">序号 </w:t>
            </w:r>
          </w:p>
        </w:tc>
        <w:tc>
          <w:tcPr>
            <w:tcW w:w="1887"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黑体" w:hAnsi="黑体" w:eastAsia="黑体" w:cs="Arial"/>
                <w:color w:val="282828"/>
                <w:kern w:val="0"/>
                <w:sz w:val="24"/>
                <w:szCs w:val="24"/>
              </w:rPr>
              <w:t xml:space="preserve">运行环节 </w:t>
            </w:r>
          </w:p>
        </w:tc>
        <w:tc>
          <w:tcPr>
            <w:tcW w:w="655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黑体" w:hAnsi="黑体" w:eastAsia="黑体" w:cs="Arial"/>
                <w:color w:val="282828"/>
                <w:kern w:val="0"/>
                <w:sz w:val="24"/>
                <w:szCs w:val="24"/>
              </w:rPr>
              <w:t xml:space="preserve">责任事项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97" w:type="dxa"/>
            <w:tcBorders>
              <w:top w:val="outset" w:color="auto" w:sz="6" w:space="0"/>
              <w:left w:val="outset" w:color="auto" w:sz="6" w:space="0"/>
              <w:bottom w:val="outset" w:color="auto" w:sz="6" w:space="0"/>
              <w:right w:val="outset" w:color="auto" w:sz="6" w:space="0"/>
            </w:tcBorders>
            <w:noWrap/>
            <w:vAlign w:val="center"/>
          </w:tcPr>
          <w:p>
            <w:pPr>
              <w:widowControl/>
              <w:spacing w:line="375" w:lineRule="atLeast"/>
              <w:jc w:val="center"/>
              <w:rPr>
                <w:rFonts w:ascii="Arial" w:hAnsi="Arial" w:eastAsia="宋体" w:cs="Arial"/>
                <w:kern w:val="0"/>
                <w:szCs w:val="21"/>
              </w:rPr>
            </w:pPr>
            <w:r>
              <w:rPr>
                <w:rFonts w:hint="eastAsia" w:ascii="黑体" w:hAnsi="黑体" w:eastAsia="黑体" w:cs="Arial"/>
                <w:color w:val="282828"/>
                <w:kern w:val="0"/>
                <w:sz w:val="24"/>
                <w:szCs w:val="24"/>
              </w:rPr>
              <w:t>1</w:t>
            </w:r>
          </w:p>
        </w:tc>
        <w:tc>
          <w:tcPr>
            <w:tcW w:w="1887"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黑体" w:hAnsi="黑体" w:eastAsia="黑体" w:cs="Arial"/>
                <w:b/>
                <w:bCs/>
                <w:color w:val="282828"/>
                <w:kern w:val="0"/>
                <w:sz w:val="24"/>
                <w:szCs w:val="24"/>
              </w:rPr>
              <w:t xml:space="preserve">（一）制定方案 </w:t>
            </w:r>
          </w:p>
        </w:tc>
        <w:tc>
          <w:tcPr>
            <w:tcW w:w="655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实施检查前应当依法制定含有正当理由、事项和内容的检查方案。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97" w:type="dxa"/>
            <w:tcBorders>
              <w:top w:val="outset" w:color="auto" w:sz="6" w:space="0"/>
              <w:left w:val="outset" w:color="auto" w:sz="6" w:space="0"/>
              <w:bottom w:val="outset" w:color="auto" w:sz="6" w:space="0"/>
              <w:right w:val="outset" w:color="auto" w:sz="6" w:space="0"/>
            </w:tcBorders>
            <w:noWrap/>
            <w:vAlign w:val="center"/>
          </w:tcPr>
          <w:p>
            <w:pPr>
              <w:widowControl/>
              <w:spacing w:line="375" w:lineRule="atLeast"/>
              <w:jc w:val="center"/>
              <w:rPr>
                <w:rFonts w:ascii="Arial" w:hAnsi="Arial" w:eastAsia="宋体" w:cs="Arial"/>
                <w:kern w:val="0"/>
                <w:szCs w:val="21"/>
              </w:rPr>
            </w:pPr>
            <w:r>
              <w:rPr>
                <w:rFonts w:hint="eastAsia" w:ascii="黑体" w:hAnsi="黑体" w:eastAsia="黑体" w:cs="Arial"/>
                <w:color w:val="282828"/>
                <w:kern w:val="0"/>
                <w:sz w:val="24"/>
                <w:szCs w:val="24"/>
              </w:rPr>
              <w:t>2</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Arial"/>
                <w:kern w:val="0"/>
                <w:szCs w:val="21"/>
              </w:rPr>
            </w:pPr>
          </w:p>
        </w:tc>
        <w:tc>
          <w:tcPr>
            <w:tcW w:w="655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同一行政机关的多个内设机构和下属机构对同一当事人不同事项的行政检查，能够合并检查的应当合并检查。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97" w:type="dxa"/>
            <w:tcBorders>
              <w:top w:val="outset" w:color="auto" w:sz="6" w:space="0"/>
              <w:left w:val="outset" w:color="auto" w:sz="6" w:space="0"/>
              <w:bottom w:val="outset" w:color="auto" w:sz="6" w:space="0"/>
              <w:right w:val="outset" w:color="auto" w:sz="6" w:space="0"/>
            </w:tcBorders>
            <w:noWrap/>
            <w:vAlign w:val="center"/>
          </w:tcPr>
          <w:p>
            <w:pPr>
              <w:widowControl/>
              <w:spacing w:line="375" w:lineRule="atLeast"/>
              <w:jc w:val="center"/>
              <w:rPr>
                <w:rFonts w:ascii="Arial" w:hAnsi="Arial" w:eastAsia="宋体" w:cs="Arial"/>
                <w:kern w:val="0"/>
                <w:szCs w:val="21"/>
              </w:rPr>
            </w:pPr>
            <w:r>
              <w:rPr>
                <w:rFonts w:hint="eastAsia" w:ascii="黑体" w:hAnsi="黑体" w:eastAsia="黑体" w:cs="Arial"/>
                <w:color w:val="282828"/>
                <w:kern w:val="0"/>
                <w:sz w:val="24"/>
                <w:szCs w:val="24"/>
              </w:rPr>
              <w:t>3</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Arial"/>
                <w:kern w:val="0"/>
                <w:szCs w:val="21"/>
              </w:rPr>
            </w:pPr>
          </w:p>
        </w:tc>
        <w:tc>
          <w:tcPr>
            <w:tcW w:w="655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上下级行政机关应当按照级别管辖和地域管辖相结合的原则合理划分检查范围，避免重复检查。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97" w:type="dxa"/>
            <w:tcBorders>
              <w:top w:val="outset" w:color="auto" w:sz="6" w:space="0"/>
              <w:left w:val="outset" w:color="auto" w:sz="6" w:space="0"/>
              <w:bottom w:val="outset" w:color="auto" w:sz="6" w:space="0"/>
              <w:right w:val="outset" w:color="auto" w:sz="6" w:space="0"/>
            </w:tcBorders>
            <w:noWrap/>
            <w:vAlign w:val="center"/>
          </w:tcPr>
          <w:p>
            <w:pPr>
              <w:widowControl/>
              <w:spacing w:line="375" w:lineRule="atLeast"/>
              <w:jc w:val="center"/>
              <w:rPr>
                <w:rFonts w:ascii="Arial" w:hAnsi="Arial" w:eastAsia="宋体" w:cs="Arial"/>
                <w:kern w:val="0"/>
                <w:szCs w:val="21"/>
              </w:rPr>
            </w:pPr>
            <w:r>
              <w:rPr>
                <w:rFonts w:hint="eastAsia" w:ascii="黑体" w:hAnsi="黑体" w:eastAsia="黑体" w:cs="Arial"/>
                <w:color w:val="282828"/>
                <w:kern w:val="0"/>
                <w:sz w:val="24"/>
                <w:szCs w:val="24"/>
              </w:rPr>
              <w:t>4</w:t>
            </w:r>
          </w:p>
        </w:tc>
        <w:tc>
          <w:tcPr>
            <w:tcW w:w="1887"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黑体" w:hAnsi="黑体" w:eastAsia="黑体" w:cs="Arial"/>
                <w:b/>
                <w:bCs/>
                <w:color w:val="282828"/>
                <w:kern w:val="0"/>
                <w:sz w:val="24"/>
                <w:szCs w:val="24"/>
              </w:rPr>
              <w:t xml:space="preserve">（二）实施检查 </w:t>
            </w:r>
          </w:p>
        </w:tc>
        <w:tc>
          <w:tcPr>
            <w:tcW w:w="655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依照检查方案规定的时限、范围开展检查。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97" w:type="dxa"/>
            <w:tcBorders>
              <w:top w:val="outset" w:color="auto" w:sz="6" w:space="0"/>
              <w:left w:val="outset" w:color="auto" w:sz="6" w:space="0"/>
              <w:bottom w:val="outset" w:color="auto" w:sz="6" w:space="0"/>
              <w:right w:val="outset" w:color="auto" w:sz="6" w:space="0"/>
            </w:tcBorders>
            <w:noWrap/>
            <w:vAlign w:val="center"/>
          </w:tcPr>
          <w:p>
            <w:pPr>
              <w:widowControl/>
              <w:spacing w:line="375" w:lineRule="atLeast"/>
              <w:jc w:val="center"/>
              <w:rPr>
                <w:rFonts w:ascii="Arial" w:hAnsi="Arial" w:eastAsia="宋体" w:cs="Arial"/>
                <w:kern w:val="0"/>
                <w:szCs w:val="21"/>
              </w:rPr>
            </w:pPr>
            <w:r>
              <w:rPr>
                <w:rFonts w:hint="eastAsia" w:ascii="黑体" w:hAnsi="黑体" w:eastAsia="黑体" w:cs="Arial"/>
                <w:color w:val="282828"/>
                <w:kern w:val="0"/>
                <w:sz w:val="24"/>
                <w:szCs w:val="24"/>
              </w:rPr>
              <w:t>5</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Arial"/>
                <w:kern w:val="0"/>
                <w:szCs w:val="21"/>
              </w:rPr>
            </w:pPr>
          </w:p>
        </w:tc>
        <w:tc>
          <w:tcPr>
            <w:tcW w:w="655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实施检查时应当出示执法身份证件、检查方案。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97" w:type="dxa"/>
            <w:tcBorders>
              <w:top w:val="outset" w:color="auto" w:sz="6" w:space="0"/>
              <w:left w:val="outset" w:color="auto" w:sz="6" w:space="0"/>
              <w:bottom w:val="outset" w:color="auto" w:sz="6" w:space="0"/>
              <w:right w:val="outset" w:color="auto" w:sz="6" w:space="0"/>
            </w:tcBorders>
            <w:noWrap/>
            <w:vAlign w:val="center"/>
          </w:tcPr>
          <w:p>
            <w:pPr>
              <w:widowControl/>
              <w:spacing w:line="375" w:lineRule="atLeast"/>
              <w:jc w:val="center"/>
              <w:rPr>
                <w:rFonts w:ascii="Arial" w:hAnsi="Arial" w:eastAsia="宋体" w:cs="Arial"/>
                <w:kern w:val="0"/>
                <w:szCs w:val="21"/>
              </w:rPr>
            </w:pPr>
            <w:r>
              <w:rPr>
                <w:rFonts w:hint="eastAsia" w:ascii="黑体" w:hAnsi="黑体" w:eastAsia="黑体" w:cs="Arial"/>
                <w:color w:val="282828"/>
                <w:kern w:val="0"/>
                <w:sz w:val="24"/>
                <w:szCs w:val="24"/>
              </w:rPr>
              <w:t>6</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Arial"/>
                <w:kern w:val="0"/>
                <w:szCs w:val="21"/>
              </w:rPr>
            </w:pPr>
          </w:p>
        </w:tc>
        <w:tc>
          <w:tcPr>
            <w:tcW w:w="655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依法查阅资料、查看现场、听取当事人陈述申辩并取证。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97" w:type="dxa"/>
            <w:tcBorders>
              <w:top w:val="outset" w:color="auto" w:sz="6" w:space="0"/>
              <w:left w:val="outset" w:color="auto" w:sz="6" w:space="0"/>
              <w:bottom w:val="outset" w:color="auto" w:sz="6" w:space="0"/>
              <w:right w:val="outset" w:color="auto" w:sz="6" w:space="0"/>
            </w:tcBorders>
            <w:noWrap/>
            <w:vAlign w:val="center"/>
          </w:tcPr>
          <w:p>
            <w:pPr>
              <w:widowControl/>
              <w:spacing w:line="375" w:lineRule="atLeast"/>
              <w:jc w:val="center"/>
              <w:rPr>
                <w:rFonts w:ascii="Arial" w:hAnsi="Arial" w:eastAsia="宋体" w:cs="Arial"/>
                <w:kern w:val="0"/>
                <w:szCs w:val="21"/>
              </w:rPr>
            </w:pPr>
            <w:r>
              <w:rPr>
                <w:rFonts w:hint="eastAsia" w:ascii="黑体" w:hAnsi="黑体" w:eastAsia="黑体" w:cs="Arial"/>
                <w:color w:val="282828"/>
                <w:kern w:val="0"/>
                <w:sz w:val="24"/>
                <w:szCs w:val="24"/>
              </w:rPr>
              <w:t>7</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Arial"/>
                <w:kern w:val="0"/>
                <w:szCs w:val="21"/>
              </w:rPr>
            </w:pPr>
          </w:p>
        </w:tc>
        <w:tc>
          <w:tcPr>
            <w:tcW w:w="655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实施检查应当不影响当事人的正常生产经营活动与生活。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97" w:type="dxa"/>
            <w:tcBorders>
              <w:top w:val="outset" w:color="auto" w:sz="6" w:space="0"/>
              <w:left w:val="outset" w:color="auto" w:sz="6" w:space="0"/>
              <w:bottom w:val="outset" w:color="auto" w:sz="6" w:space="0"/>
              <w:right w:val="outset" w:color="auto" w:sz="6" w:space="0"/>
            </w:tcBorders>
            <w:noWrap/>
            <w:vAlign w:val="center"/>
          </w:tcPr>
          <w:p>
            <w:pPr>
              <w:widowControl/>
              <w:spacing w:line="375" w:lineRule="atLeast"/>
              <w:jc w:val="center"/>
              <w:rPr>
                <w:rFonts w:ascii="Arial" w:hAnsi="Arial" w:eastAsia="宋体" w:cs="Arial"/>
                <w:kern w:val="0"/>
                <w:szCs w:val="21"/>
              </w:rPr>
            </w:pPr>
            <w:r>
              <w:rPr>
                <w:rFonts w:hint="eastAsia" w:ascii="黑体" w:hAnsi="黑体" w:eastAsia="黑体" w:cs="Arial"/>
                <w:color w:val="282828"/>
                <w:kern w:val="0"/>
                <w:sz w:val="24"/>
                <w:szCs w:val="24"/>
              </w:rPr>
              <w:t>8</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Arial"/>
                <w:kern w:val="0"/>
                <w:szCs w:val="21"/>
              </w:rPr>
            </w:pPr>
          </w:p>
        </w:tc>
        <w:tc>
          <w:tcPr>
            <w:tcW w:w="655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依法告知当事人检查中发现的违法行为及处理意见，对不服处理意见的，可以依法申请行政复议或提起行政诉讼。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97" w:type="dxa"/>
            <w:tcBorders>
              <w:top w:val="outset" w:color="auto" w:sz="6" w:space="0"/>
              <w:left w:val="outset" w:color="auto" w:sz="6" w:space="0"/>
              <w:bottom w:val="outset" w:color="auto" w:sz="6" w:space="0"/>
              <w:right w:val="outset" w:color="auto" w:sz="6" w:space="0"/>
            </w:tcBorders>
            <w:noWrap/>
            <w:vAlign w:val="center"/>
          </w:tcPr>
          <w:p>
            <w:pPr>
              <w:widowControl/>
              <w:spacing w:line="375" w:lineRule="atLeast"/>
              <w:jc w:val="center"/>
              <w:rPr>
                <w:rFonts w:ascii="Arial" w:hAnsi="Arial" w:eastAsia="宋体" w:cs="Arial"/>
                <w:kern w:val="0"/>
                <w:szCs w:val="21"/>
              </w:rPr>
            </w:pPr>
            <w:r>
              <w:rPr>
                <w:rFonts w:hint="eastAsia" w:ascii="黑体" w:hAnsi="黑体" w:eastAsia="黑体" w:cs="Arial"/>
                <w:color w:val="282828"/>
                <w:kern w:val="0"/>
                <w:sz w:val="24"/>
                <w:szCs w:val="24"/>
              </w:rPr>
              <w:t>9</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Arial"/>
                <w:kern w:val="0"/>
                <w:szCs w:val="21"/>
              </w:rPr>
            </w:pPr>
          </w:p>
        </w:tc>
        <w:tc>
          <w:tcPr>
            <w:tcW w:w="655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对检查中发现的违法行为应当予以制止和纠正。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97" w:type="dxa"/>
            <w:tcBorders>
              <w:top w:val="outset" w:color="auto" w:sz="6" w:space="0"/>
              <w:left w:val="outset" w:color="auto" w:sz="6" w:space="0"/>
              <w:bottom w:val="outset" w:color="auto" w:sz="6" w:space="0"/>
              <w:right w:val="outset" w:color="auto" w:sz="6" w:space="0"/>
            </w:tcBorders>
            <w:noWrap/>
            <w:vAlign w:val="center"/>
          </w:tcPr>
          <w:p>
            <w:pPr>
              <w:widowControl/>
              <w:spacing w:line="375" w:lineRule="atLeast"/>
              <w:jc w:val="center"/>
              <w:rPr>
                <w:rFonts w:ascii="Arial" w:hAnsi="Arial" w:eastAsia="宋体" w:cs="Arial"/>
                <w:kern w:val="0"/>
                <w:szCs w:val="21"/>
              </w:rPr>
            </w:pPr>
            <w:r>
              <w:rPr>
                <w:rFonts w:hint="eastAsia" w:ascii="黑体" w:hAnsi="黑体" w:eastAsia="黑体" w:cs="Arial"/>
                <w:color w:val="282828"/>
                <w:kern w:val="0"/>
                <w:sz w:val="24"/>
                <w:szCs w:val="24"/>
              </w:rPr>
              <w:t>10</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Arial"/>
                <w:kern w:val="0"/>
                <w:szCs w:val="21"/>
              </w:rPr>
            </w:pPr>
          </w:p>
        </w:tc>
        <w:tc>
          <w:tcPr>
            <w:tcW w:w="655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实施行政检查中不得乱收费、乱罚款、乱摊派，严禁吃、拿、卡、要。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97" w:type="dxa"/>
            <w:tcBorders>
              <w:top w:val="outset" w:color="auto" w:sz="6" w:space="0"/>
              <w:left w:val="outset" w:color="auto" w:sz="6" w:space="0"/>
              <w:bottom w:val="outset" w:color="auto" w:sz="6" w:space="0"/>
              <w:right w:val="outset" w:color="auto" w:sz="6" w:space="0"/>
            </w:tcBorders>
            <w:noWrap/>
            <w:vAlign w:val="center"/>
          </w:tcPr>
          <w:p>
            <w:pPr>
              <w:widowControl/>
              <w:spacing w:line="375" w:lineRule="atLeast"/>
              <w:jc w:val="center"/>
              <w:rPr>
                <w:rFonts w:ascii="Arial" w:hAnsi="Arial" w:eastAsia="宋体" w:cs="Arial"/>
                <w:kern w:val="0"/>
                <w:szCs w:val="21"/>
              </w:rPr>
            </w:pPr>
            <w:r>
              <w:rPr>
                <w:rFonts w:hint="eastAsia" w:ascii="黑体" w:hAnsi="黑体" w:eastAsia="黑体" w:cs="Arial"/>
                <w:color w:val="282828"/>
                <w:kern w:val="0"/>
                <w:sz w:val="24"/>
                <w:szCs w:val="24"/>
              </w:rPr>
              <w:t>11</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Arial"/>
                <w:kern w:val="0"/>
                <w:szCs w:val="21"/>
              </w:rPr>
            </w:pPr>
          </w:p>
        </w:tc>
        <w:tc>
          <w:tcPr>
            <w:tcW w:w="655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不得放弃、推诿、拖延、拒绝履行检查职责。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97"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黑体" w:hAnsi="黑体" w:eastAsia="黑体" w:cs="Arial"/>
                <w:color w:val="282828"/>
                <w:kern w:val="0"/>
                <w:sz w:val="24"/>
                <w:szCs w:val="24"/>
              </w:rPr>
              <w:t>12</w:t>
            </w:r>
          </w:p>
        </w:tc>
        <w:tc>
          <w:tcPr>
            <w:tcW w:w="1887"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黑体" w:hAnsi="黑体" w:eastAsia="黑体" w:cs="Arial"/>
                <w:b/>
                <w:bCs/>
                <w:color w:val="282828"/>
                <w:kern w:val="0"/>
                <w:sz w:val="24"/>
                <w:szCs w:val="24"/>
              </w:rPr>
              <w:t xml:space="preserve">（三）事后监管 </w:t>
            </w:r>
          </w:p>
        </w:tc>
        <w:tc>
          <w:tcPr>
            <w:tcW w:w="655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对检查情况进行汇总、分类、归档备查，并跟踪监测。 </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OWExY2ZiYmRkYjk3MTM0ZmI0YTg4OTY1MjhiNTQifQ=="/>
  </w:docVars>
  <w:rsids>
    <w:rsidRoot w:val="00000000"/>
    <w:rsid w:val="12A00CD8"/>
    <w:rsid w:val="283C6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2023-12-01T12:57:00Z</dcterms:created>
  <dc:creator>john</dc:creator>
  <cp:lastModifiedBy>张文</cp:lastModifiedBy>
  <dcterms:modified xsi:type="dcterms:W3CDTF">2023-12-01T13:28:12Z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4F03437351764A9EADCE39E599CB2342_12</vt:lpwstr>
  </property>
</Properties>
</file>