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both"/>
        <w:outlineLvl w:val="0"/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</w:rPr>
        <w:t>附件1</w:t>
      </w:r>
    </w:p>
    <w:p>
      <w:pPr>
        <w:spacing w:line="720" w:lineRule="exact"/>
        <w:jc w:val="center"/>
        <w:rPr>
          <w:rFonts w:ascii="方正小标宋简体" w:hAnsi="黑体" w:eastAsia="方正小标宋简体"/>
          <w:bCs/>
          <w:color w:val="000000" w:themeColor="text1"/>
          <w:sz w:val="36"/>
          <w:szCs w:val="36"/>
        </w:rPr>
      </w:pPr>
      <w:r>
        <w:rPr>
          <w:rFonts w:ascii="方正小标宋简体" w:hAnsi="黑体" w:eastAsia="方正小标宋简体"/>
          <w:bCs/>
          <w:color w:val="000000" w:themeColor="text1"/>
          <w:sz w:val="36"/>
          <w:szCs w:val="36"/>
        </w:rPr>
        <w:t>本次检验项目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</w:rPr>
        <w:t>、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调味品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1、食用盐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楷体" w:hAnsi="楷体" w:eastAsia="楷体" w:cs="Times New Roman"/>
          <w:bCs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  <w:highlight w:val="none"/>
        </w:rPr>
        <w:t xml:space="preserve">  </w:t>
      </w:r>
      <w:r>
        <w:rPr>
          <w:rFonts w:hint="eastAsia" w:ascii="楷体" w:hAnsi="楷体" w:eastAsia="楷体" w:cs="Times New Roman"/>
          <w:bCs/>
          <w:sz w:val="32"/>
          <w:szCs w:val="32"/>
          <w:highlight w:val="none"/>
        </w:rPr>
        <w:t xml:space="preserve"> </w:t>
      </w:r>
      <w:r>
        <w:rPr>
          <w:rFonts w:ascii="楷体" w:hAnsi="楷体" w:eastAsia="楷体" w:cs="Times New Roman"/>
          <w:bCs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r>
        <w:rPr>
          <w:rFonts w:hint="eastAsia"/>
        </w:rPr>
        <w:t xml:space="preserve">    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抽检依据是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《食品安全国家标准 食用盐碘含量》（GB 26878-2011），《食品安全国家标准 食用盐》（GB 2721-2015），《食品安全国家标准 食品添加剂使用标准》（GB 2760-2014），《食品安全国家标准 食品中污染物限量》（GB 2762-2022），《食用盐》（GB/T 5461-2016），《鸡精调味料》（SB/T 10371-2003）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 xml:space="preserve">   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食用盐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抽检项目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包括亚铁氰化钾(以亚铁氰根计)，氯化钠，镉(以Cd计)，总砷(以As计)，铅(以Pb计)，碘(以I计)，钡(以Ba计)，总汞(以Hg计)等8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2、固体复合调味料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楷体" w:hAnsi="楷体" w:eastAsia="楷体" w:cs="Times New Roman"/>
          <w:bCs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  <w:highlight w:val="none"/>
        </w:rPr>
        <w:t xml:space="preserve">  </w:t>
      </w:r>
      <w:r>
        <w:rPr>
          <w:rFonts w:hint="eastAsia" w:ascii="楷体" w:hAnsi="楷体" w:eastAsia="楷体" w:cs="Times New Roman"/>
          <w:bCs/>
          <w:sz w:val="32"/>
          <w:szCs w:val="32"/>
          <w:highlight w:val="none"/>
        </w:rPr>
        <w:t xml:space="preserve"> </w:t>
      </w:r>
      <w:r>
        <w:rPr>
          <w:rFonts w:ascii="楷体" w:hAnsi="楷体" w:eastAsia="楷体" w:cs="Times New Roman"/>
          <w:bCs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r>
        <w:rPr>
          <w:rFonts w:hint="eastAsia"/>
        </w:rPr>
        <w:t xml:space="preserve">    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抽检依据是《食品安全国家标准 食品添加剂使用标准》（GB 2760-2014），《鸡精调味料》（SB/T 10371-2003）等标准及产品明示标准和指标的要求。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 xml:space="preserve">   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固体复合调味料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抽检项目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包括糖精钠(以糖精计)，甜蜜素(以环己基氨基磺酸计)，谷氨酸钠，呈味核苷酸二钠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4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个指标。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二、饮料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1、碳酸饮料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楷体" w:hAnsi="楷体" w:eastAsia="楷体" w:cs="Times New Roman"/>
          <w:bCs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  <w:highlight w:val="none"/>
        </w:rPr>
        <w:t xml:space="preserve">  </w:t>
      </w:r>
      <w:r>
        <w:rPr>
          <w:rFonts w:hint="eastAsia" w:ascii="楷体" w:hAnsi="楷体" w:eastAsia="楷体" w:cs="Times New Roman"/>
          <w:bCs/>
          <w:sz w:val="32"/>
          <w:szCs w:val="32"/>
          <w:highlight w:val="none"/>
        </w:rPr>
        <w:t xml:space="preserve"> </w:t>
      </w:r>
      <w:r>
        <w:rPr>
          <w:rFonts w:ascii="楷体" w:hAnsi="楷体" w:eastAsia="楷体" w:cs="Times New Roman"/>
          <w:bCs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r>
        <w:rPr>
          <w:rFonts w:hint="eastAsia"/>
        </w:rPr>
        <w:t xml:space="preserve">    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抽检依据是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《食品安全国家标准 食品添加剂使用标准》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GB 2760-2014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），《食品安全国家标准 饮料》（GB 7101-20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），碳酸饮料（汽水）（GB/T 10792-2008）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 xml:space="preserve">   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碳酸饮料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抽检项目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包括苯甲酸及其钠盐(以苯甲酸计)，二氧化碳气容量，山梨酸及其钾盐(以山梨酸计)，酵母，霉菌，甜蜜素(以环己基氨基磺酸计)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6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个指标。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2、其他饮料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楷体" w:hAnsi="楷体" w:eastAsia="楷体" w:cs="Times New Roman"/>
          <w:bCs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  <w:highlight w:val="none"/>
        </w:rPr>
        <w:t xml:space="preserve">  </w:t>
      </w:r>
      <w:r>
        <w:rPr>
          <w:rFonts w:hint="eastAsia" w:ascii="楷体" w:hAnsi="楷体" w:eastAsia="楷体" w:cs="Times New Roman"/>
          <w:bCs/>
          <w:sz w:val="32"/>
          <w:szCs w:val="32"/>
          <w:highlight w:val="none"/>
        </w:rPr>
        <w:t xml:space="preserve"> </w:t>
      </w:r>
      <w:r>
        <w:rPr>
          <w:rFonts w:ascii="楷体" w:hAnsi="楷体" w:eastAsia="楷体" w:cs="Times New Roman"/>
          <w:bCs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r>
        <w:rPr>
          <w:rFonts w:hint="eastAsia"/>
        </w:rPr>
        <w:t xml:space="preserve">    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抽检依据是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《食品安全国家标准 食品添加剂使用标准》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GB 2760-2014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），《食品安全国家标准 饮料》（GB 7101-20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 xml:space="preserve">   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其他饮料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抽检项目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包括亮蓝，日落黄，柠檬黄，胭脂红，甜蜜素(以环己基氨基磺酸计)，苋菜红，糖精钠(以糖精计)，脱氢乙酸及其钠盐(以脱氢乙酸计)，山梨酸及其钾盐(以山梨酸计)，苯甲酸及其钠盐(以苯甲酸计)，大肠菌群，菌落总数，霉菌，酵母等14个指标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三、糕点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1、月饼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ascii="楷体" w:hAnsi="楷体" w:eastAsia="楷体" w:cs="Times New Roman"/>
          <w:bCs/>
          <w:sz w:val="32"/>
          <w:szCs w:val="32"/>
          <w:highlight w:val="none"/>
        </w:rPr>
      </w:pPr>
      <w:r>
        <w:rPr>
          <w:rFonts w:ascii="楷体" w:hAnsi="楷体" w:eastAsia="楷体" w:cs="Times New Roman"/>
          <w:bCs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hint="eastAsia"/>
        </w:rPr>
        <w:t xml:space="preserve">    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抽检依据是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《食品安全国家标准 糕点、面包》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GB 7099-2015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），《食品安全国家标准 食品添加剂使用标准》（GB 2760-2014），《食品安全国家标准 预包装食品中致病菌限量》（GB 29921-2021）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 xml:space="preserve">   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月饼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抽检项目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包括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沙门氏菌，霉菌，金黄色葡萄球菌，大肠菌群，菌落总数，丙酸及其钠盐、钙盐(以丙酸计)，脱氢乙酸及其钠盐(以脱氢乙酸计)，酸价(以脂肪计)(KOH)，过氧化值(以脂肪计)，铝的残留量(干样品,以Al计)，山梨酸及其钾盐(以山梨酸计)，糖精钠(以糖精计)，苯甲酸及其钠盐(以苯甲酸计)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13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个指标。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textAlignment w:val="auto"/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粮食加工品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1、挂面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ascii="楷体" w:hAnsi="楷体" w:eastAsia="楷体" w:cs="Times New Roman"/>
          <w:bCs/>
          <w:sz w:val="32"/>
          <w:szCs w:val="32"/>
          <w:highlight w:val="none"/>
        </w:rPr>
      </w:pPr>
      <w:r>
        <w:rPr>
          <w:rFonts w:ascii="楷体" w:hAnsi="楷体" w:eastAsia="楷体" w:cs="Times New Roman"/>
          <w:bCs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hint="eastAsia"/>
        </w:rPr>
        <w:t xml:space="preserve">    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抽检依据是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《食品安全国家标准 食品添加剂使用标准》（GB 2760-2014）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 xml:space="preserve">   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挂面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抽检项目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包括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铅(以Pb计)，脱氢乙酸及其钠盐(以脱氢乙酸计)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2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个指标。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2、大米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ascii="楷体" w:hAnsi="楷体" w:eastAsia="楷体" w:cs="Times New Roman"/>
          <w:bCs/>
          <w:sz w:val="32"/>
          <w:szCs w:val="32"/>
          <w:highlight w:val="none"/>
        </w:rPr>
      </w:pPr>
      <w:r>
        <w:rPr>
          <w:rFonts w:ascii="楷体" w:hAnsi="楷体" w:eastAsia="楷体" w:cs="Times New Roman"/>
          <w:bCs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hint="eastAsia"/>
        </w:rPr>
        <w:t xml:space="preserve">    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抽检依据是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《食品安全国家标准 食品中污染物限量》（GB 2762-2022），《食品安全国家标准 食品中真菌毒素限量》（GB 2761-2017）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 xml:space="preserve">   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大米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抽检项目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包括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苯并[a]芘，无机砷(以As计)，铅(以Pb计)，镉(以Cd计)，黄曲霉毒素B₁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5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个指标。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textAlignment w:val="auto"/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乳制品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1、调制乳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ascii="楷体" w:hAnsi="楷体" w:eastAsia="楷体" w:cs="Times New Roman"/>
          <w:bCs/>
          <w:sz w:val="32"/>
          <w:szCs w:val="32"/>
          <w:highlight w:val="none"/>
        </w:rPr>
      </w:pPr>
      <w:r>
        <w:rPr>
          <w:rFonts w:ascii="楷体" w:hAnsi="楷体" w:eastAsia="楷体" w:cs="Times New Roman"/>
          <w:bCs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hint="eastAsia"/>
        </w:rPr>
        <w:t xml:space="preserve">    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抽检依据是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《关于三聚氰胺在食品中的限量值的公告》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卫生部、工业和信息化部、农业部、工商总局、质检总局公告2011年第10号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），《食品安全国家标准 调制乳》（GB 25191-2010）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 xml:space="preserve">   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调制乳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抽检项目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包括大肠菌群，菌落总数，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三聚氰胺，蛋白质，商业无菌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3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个指标。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/>
        <w:textAlignment w:val="auto"/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</w:rPr>
        <w:t>十四、食用农产品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/>
        <w:textAlignment w:val="auto"/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</w:rPr>
        <w:t>1、蔬菜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楷体" w:hAnsi="楷体" w:eastAsia="楷体" w:cs="Times New Roman"/>
          <w:bCs/>
          <w:sz w:val="32"/>
          <w:szCs w:val="32"/>
        </w:rPr>
        <w:t xml:space="preserve"> </w:t>
      </w:r>
      <w:r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 xml:space="preserve">    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抽检依据是《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食品安全国家标准 食品中农药最大残留限量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（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GB 276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3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-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2021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，《食品安全国家标准 食品中污染物限量》（GB 2762-2017）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 xml:space="preserve">  </w:t>
      </w:r>
      <w:r>
        <w:rPr>
          <w:rFonts w:hint="eastAsia" w:ascii="楷体" w:hAnsi="楷体" w:eastAsia="楷体" w:cs="Times New Roman"/>
          <w:bCs/>
          <w:color w:val="000000" w:themeColor="text1"/>
          <w:sz w:val="32"/>
          <w:szCs w:val="32"/>
          <w:highlight w:val="none"/>
        </w:rPr>
        <w:t xml:space="preserve"> </w:t>
      </w:r>
      <w:r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蔬菜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抽检项目包括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镉，倍硫磷，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毒死蜱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甲拌磷，氧乐果，氯氟氰菊酯和高效氯氟氰菊酯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噻虫胺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，氟虫腈，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吡唑醚菌酯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，噻虫嗪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10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个指标。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Times New Roman"/>
          <w:bCs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</w:rPr>
        <w:t>蛋类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楷体" w:hAnsi="楷体" w:eastAsia="楷体" w:cs="Times New Roman"/>
          <w:bCs/>
          <w:color w:val="000000" w:themeColor="text1"/>
          <w:sz w:val="32"/>
          <w:szCs w:val="32"/>
          <w:highlight w:val="none"/>
        </w:rPr>
        <w:t xml:space="preserve"> </w:t>
      </w:r>
      <w:r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 xml:space="preserve">    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抽检依据是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《食品安全国家标准 食品中农药最大残留限量》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GB 2763-2021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），《食品安全国家标准 食品中41种兽药最大残留限量》（GB 31650.1-2022），《食品安全国家标准 食品中兽药最大残留限量》（GB 31650-2019），《食品动物中禁止使用的药品及其他化合物清单》（农业农村部公告 第250号）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  <w:highlight w:val="none"/>
        </w:rPr>
        <w:t xml:space="preserve">  </w:t>
      </w:r>
      <w:r>
        <w:rPr>
          <w:rFonts w:hint="eastAsia" w:ascii="楷体" w:hAnsi="楷体" w:eastAsia="楷体" w:cs="Times New Roman"/>
          <w:bCs/>
          <w:sz w:val="32"/>
          <w:szCs w:val="32"/>
          <w:highlight w:val="none"/>
        </w:rPr>
        <w:t xml:space="preserve"> </w:t>
      </w:r>
      <w:r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 xml:space="preserve">   畜禽肉及副产品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抽检项目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包括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氟虫腈，呋喃唑酮代谢物，多西环素，氯霉素，甲硝唑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5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</w:rPr>
        <w:t>、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水果类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hint="eastAsia" w:ascii="楷体" w:hAnsi="楷体" w:eastAsia="楷体" w:cs="Times New Roman"/>
          <w:bCs/>
          <w:color w:val="000000" w:themeColor="text1"/>
          <w:sz w:val="32"/>
          <w:szCs w:val="32"/>
          <w:highlight w:val="none"/>
        </w:rPr>
        <w:t xml:space="preserve">   </w:t>
      </w:r>
      <w:r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 xml:space="preserve">    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抽检依据是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《食品安全国家标准 食品中农药最大残留限量》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GB 2763-2021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</w:pPr>
      <w:bookmarkStart w:id="0" w:name="_GoBack"/>
      <w:r>
        <w:rPr>
          <w:rFonts w:hint="eastAsia" w:ascii="楷体" w:hAnsi="楷体" w:eastAsia="楷体" w:cs="Times New Roman"/>
          <w:bCs/>
          <w:color w:val="000000" w:themeColor="text1"/>
          <w:sz w:val="32"/>
          <w:szCs w:val="32"/>
          <w:highlight w:val="none"/>
        </w:rPr>
        <w:t xml:space="preserve">   </w:t>
      </w:r>
      <w:r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  <w:t>（二）检验项目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 xml:space="preserve">   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水果类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抽检项目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包括氧乐果，噻虫胺，丙溴磷，克百威，毒死蜱，氯唑磷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6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87DD7"/>
    <w:multiLevelType w:val="singleLevel"/>
    <w:tmpl w:val="02F87DD7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58C8F9B6"/>
    <w:multiLevelType w:val="singleLevel"/>
    <w:tmpl w:val="58C8F9B6"/>
    <w:lvl w:ilvl="0" w:tentative="0">
      <w:start w:val="4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TYyZDRiNjk2ZWYwNGM2MzRjZTY0YTA5ZjdiNTlkYTUifQ=="/>
  </w:docVars>
  <w:rsids>
    <w:rsidRoot w:val="00CE101E"/>
    <w:rsid w:val="00281629"/>
    <w:rsid w:val="0068107E"/>
    <w:rsid w:val="00CE101E"/>
    <w:rsid w:val="08CA2D6F"/>
    <w:rsid w:val="13D9677B"/>
    <w:rsid w:val="156E6A32"/>
    <w:rsid w:val="1AB633FD"/>
    <w:rsid w:val="1DB56E44"/>
    <w:rsid w:val="36313A92"/>
    <w:rsid w:val="38BB67DD"/>
    <w:rsid w:val="3D62432A"/>
    <w:rsid w:val="432F37AE"/>
    <w:rsid w:val="436061BC"/>
    <w:rsid w:val="45295DA3"/>
    <w:rsid w:val="4D112DB7"/>
    <w:rsid w:val="4E4142E1"/>
    <w:rsid w:val="50DF0850"/>
    <w:rsid w:val="512110B9"/>
    <w:rsid w:val="58B23F36"/>
    <w:rsid w:val="5A3A79E8"/>
    <w:rsid w:val="5DB058F8"/>
    <w:rsid w:val="60D36C37"/>
    <w:rsid w:val="657E3AA1"/>
    <w:rsid w:val="669F78FB"/>
    <w:rsid w:val="68CF3976"/>
    <w:rsid w:val="77231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1869</Words>
  <Characters>2140</Characters>
  <Lines>3</Lines>
  <Paragraphs>1</Paragraphs>
  <TotalTime>0</TotalTime>
  <ScaleCrop>false</ScaleCrop>
  <LinksUpToDate>false</LinksUpToDate>
  <CharactersWithSpaces>2285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2019-10-14T02:26:00Z</dcterms:created>
  <dc:creator>user</dc:creator>
  <cp:lastModifiedBy>Administrator</cp:lastModifiedBy>
  <dcterms:modified xsi:type="dcterms:W3CDTF">2023-11-17T03:10:32Z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E3FB037569DD46B390886CE6798A2135_12</vt:lpwstr>
  </property>
</Properties>
</file>