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简体" w:hAnsi="方正小标宋简体" w:eastAsia="方正小标宋简体" w:cs="方正小标宋简体"/>
          <w:i w:val="0"/>
          <w:iCs w:val="0"/>
          <w:caps w:val="0"/>
          <w:color w:val="000000"/>
          <w:spacing w:val="0"/>
          <w:sz w:val="36"/>
          <w:szCs w:val="36"/>
        </w:rPr>
        <w:t>西城区</w:t>
      </w:r>
      <w:r>
        <w:rPr>
          <w:rFonts w:hint="eastAsia" w:ascii="方正小标宋简体" w:hAnsi="方正小标宋简体" w:eastAsia="方正小标宋简体" w:cs="方正小标宋简体"/>
          <w:i w:val="0"/>
          <w:iCs w:val="0"/>
          <w:caps w:val="0"/>
          <w:color w:val="000000"/>
          <w:spacing w:val="0"/>
          <w:sz w:val="36"/>
          <w:szCs w:val="36"/>
          <w:lang w:eastAsia="zh-CN"/>
        </w:rPr>
        <w:t>卫生健康委员会</w:t>
      </w:r>
      <w:r>
        <w:rPr>
          <w:rFonts w:ascii="方正小标宋简体" w:hAnsi="方正小标宋简体" w:eastAsia="方正小标宋简体" w:cs="方正小标宋简体"/>
          <w:i w:val="0"/>
          <w:iCs w:val="0"/>
          <w:caps w:val="0"/>
          <w:color w:val="000000"/>
          <w:spacing w:val="0"/>
          <w:sz w:val="36"/>
          <w:szCs w:val="36"/>
        </w:rPr>
        <w:t>行政职权运行通用责任清单</w:t>
      </w:r>
    </w:p>
    <w:p/>
    <w:tbl>
      <w:tblPr>
        <w:tblStyle w:val="3"/>
        <w:tblW w:w="10500" w:type="dxa"/>
        <w:tblInd w:w="-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9"/>
        <w:gridCol w:w="1978"/>
        <w:gridCol w:w="7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1050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黑体" w:hAnsi="宋体" w:eastAsia="黑体" w:cs="黑体"/>
                <w:i w:val="0"/>
                <w:iCs w:val="0"/>
                <w:caps w:val="0"/>
                <w:color w:val="000000"/>
                <w:spacing w:val="0"/>
                <w:sz w:val="27"/>
                <w:szCs w:val="27"/>
              </w:rPr>
              <w:t>一、</w:t>
            </w:r>
            <w:r>
              <w:rPr>
                <w:rFonts w:hint="eastAsia" w:ascii="黑体" w:hAnsi="宋体" w:eastAsia="黑体" w:cs="黑体"/>
                <w:i w:val="0"/>
                <w:iCs w:val="0"/>
                <w:caps w:val="0"/>
                <w:color w:val="000000"/>
                <w:spacing w:val="0"/>
                <w:sz w:val="27"/>
                <w:szCs w:val="27"/>
                <w:lang w:eastAsia="zh-CN"/>
              </w:rPr>
              <w:t>行政许可</w:t>
            </w:r>
            <w:r>
              <w:rPr>
                <w:rFonts w:ascii="黑体" w:hAnsi="宋体" w:eastAsia="黑体" w:cs="黑体"/>
                <w:i w:val="0"/>
                <w:iCs w:val="0"/>
                <w:caps w:val="0"/>
                <w:color w:val="000000"/>
                <w:spacing w:val="0"/>
                <w:sz w:val="27"/>
                <w:szCs w:val="27"/>
              </w:rPr>
              <w:t>类行政职权运行通用责任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sans-serif" w:eastAsia="仿宋_GB2312" w:cs="仿宋_GB2312"/>
                <w:i w:val="0"/>
                <w:iCs w:val="0"/>
                <w:caps w:val="0"/>
                <w:color w:val="000000"/>
                <w:spacing w:val="0"/>
                <w:sz w:val="24"/>
                <w:szCs w:val="24"/>
              </w:rPr>
              <w:t>1</w:t>
            </w:r>
          </w:p>
        </w:tc>
        <w:tc>
          <w:tcPr>
            <w:tcW w:w="1978" w:type="dxa"/>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仿宋_GB2312"/>
                <w:lang w:eastAsia="zh-CN"/>
              </w:rPr>
            </w:pPr>
            <w:r>
              <w:rPr>
                <w:rStyle w:val="6"/>
                <w:rFonts w:hint="eastAsia" w:ascii="仿宋_GB2312" w:hAnsi="sans-serif" w:eastAsia="仿宋_GB2312" w:cs="仿宋_GB2312"/>
                <w:i w:val="0"/>
                <w:iCs w:val="0"/>
                <w:caps w:val="0"/>
                <w:color w:val="000000"/>
                <w:spacing w:val="0"/>
                <w:sz w:val="24"/>
                <w:szCs w:val="24"/>
              </w:rPr>
              <w:t>（一）</w:t>
            </w:r>
            <w:r>
              <w:rPr>
                <w:rStyle w:val="6"/>
                <w:rFonts w:hint="eastAsia" w:ascii="仿宋_GB2312" w:hAnsi="sans-serif" w:eastAsia="仿宋_GB2312" w:cs="仿宋_GB2312"/>
                <w:i w:val="0"/>
                <w:iCs w:val="0"/>
                <w:caps w:val="0"/>
                <w:color w:val="000000"/>
                <w:spacing w:val="0"/>
                <w:sz w:val="24"/>
                <w:szCs w:val="24"/>
                <w:lang w:eastAsia="zh-CN"/>
              </w:rPr>
              <w:t>受理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接收申请人提交的材料。若申请人提交的申请材料不齐全、不符合法定形式，应当一次性告知申请人必须补正的全部内容。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受理或者不予受理行政许可申请，应当出具加盖行政机关专用印章和注明日期的书面凭证。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依法说明不受理行政许可申请或者不予行政许可的理由。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vMerge w:val="restart"/>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仿宋_GB2312" w:hAnsi="sans-serif" w:eastAsia="仿宋_GB2312" w:cs="仿宋_GB2312"/>
                <w:i w:val="0"/>
                <w:iCs w:val="0"/>
                <w:caps w:val="0"/>
                <w:color w:val="000000"/>
                <w:spacing w:val="0"/>
                <w:sz w:val="24"/>
                <w:szCs w:val="24"/>
              </w:rPr>
              <w:t>（二）审查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申请人提交的申请材料齐全、符合法定形式，能够当场作出决定的，当场作出书面的行政许可决定。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根据法定条件和程序，需要对申请材料的实质内容进行核实的，行政机关应当指派2名以上工作人员进行核查。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需依法举行听证的应当依法举行听证。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仿宋_GB2312" w:hAnsi="sans-serif" w:eastAsia="仿宋_GB2312" w:cs="仿宋_GB2312"/>
                <w:i w:val="0"/>
                <w:iCs w:val="0"/>
                <w:caps w:val="0"/>
                <w:color w:val="000000"/>
                <w:spacing w:val="0"/>
                <w:sz w:val="24"/>
                <w:szCs w:val="24"/>
              </w:rPr>
              <w:t>（三）决定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对符合法定条件的申请人应当在法定职权范围和期限内尽快作出准予行政许可的决定。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依法根据招标、拍卖结果或者考试成绩择优作出准予行政许可的决定。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依法作出不予行政许可的书面决定的，应当说明理由，并告知申请人享有依法申请行政复议或者提起行政诉讼的权利。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按法定项目和标准予以收费。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iCs w:val="0"/>
                <w:caps w:val="0"/>
                <w:color w:val="000000"/>
                <w:spacing w:val="0"/>
                <w:sz w:val="24"/>
                <w:szCs w:val="24"/>
              </w:rPr>
              <w:t>    </w:t>
            </w:r>
            <w:r>
              <w:rPr>
                <w:rFonts w:hint="eastAsia" w:ascii="仿宋_GB2312" w:hAnsi="sans-serif" w:eastAsia="仿宋_GB2312" w:cs="仿宋_GB2312"/>
                <w:i w:val="0"/>
                <w:iCs w:val="0"/>
                <w:caps w:val="0"/>
                <w:color w:val="000000"/>
                <w:spacing w:val="0"/>
                <w:sz w:val="24"/>
                <w:szCs w:val="24"/>
              </w:rPr>
              <w:t>作出的准予行政许可决定，应当予以公开，公众有权查阅。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仿宋_GB2312"/>
                <w:lang w:eastAsia="zh-CN"/>
              </w:rPr>
            </w:pPr>
            <w:r>
              <w:rPr>
                <w:rStyle w:val="6"/>
                <w:rFonts w:hint="eastAsia" w:ascii="仿宋_GB2312" w:hAnsi="sans-serif" w:eastAsia="仿宋_GB2312" w:cs="仿宋_GB2312"/>
                <w:i w:val="0"/>
                <w:iCs w:val="0"/>
                <w:caps w:val="0"/>
                <w:color w:val="000000"/>
                <w:spacing w:val="0"/>
                <w:sz w:val="24"/>
                <w:szCs w:val="24"/>
              </w:rPr>
              <w:t>（四）</w:t>
            </w:r>
            <w:r>
              <w:rPr>
                <w:rStyle w:val="6"/>
                <w:rFonts w:hint="eastAsia" w:ascii="仿宋_GB2312" w:hAnsi="sans-serif" w:eastAsia="仿宋_GB2312" w:cs="仿宋_GB2312"/>
                <w:i w:val="0"/>
                <w:iCs w:val="0"/>
                <w:caps w:val="0"/>
                <w:color w:val="000000"/>
                <w:spacing w:val="0"/>
                <w:sz w:val="24"/>
                <w:szCs w:val="24"/>
                <w:lang w:eastAsia="zh-CN"/>
              </w:rPr>
              <w:t>送达</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送达行政执法文书应当有送达回证，受送达人在送达回证上的签收日期为送达日期。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13</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送达程序参照民事诉讼法有关规定执行。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14</w:t>
            </w:r>
          </w:p>
        </w:tc>
        <w:tc>
          <w:tcPr>
            <w:tcW w:w="197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Style w:val="6"/>
                <w:rFonts w:hint="eastAsia" w:ascii="仿宋_GB2312" w:hAnsi="sans-serif" w:eastAsia="仿宋_GB2312" w:cs="仿宋_GB2312"/>
                <w:i w:val="0"/>
                <w:iCs w:val="0"/>
                <w:caps w:val="0"/>
                <w:color w:val="000000"/>
                <w:spacing w:val="0"/>
                <w:sz w:val="24"/>
                <w:szCs w:val="24"/>
                <w:highlight w:val="none"/>
              </w:rPr>
              <w:t>（五）事后监管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highlight w:val="none"/>
              </w:rPr>
            </w:pPr>
            <w:r>
              <w:rPr>
                <w:rFonts w:hint="eastAsia" w:ascii="仿宋_GB2312" w:hAnsi="sans-serif" w:eastAsia="仿宋_GB2312" w:cs="仿宋_GB2312"/>
                <w:i w:val="0"/>
                <w:iCs w:val="0"/>
                <w:caps w:val="0"/>
                <w:color w:val="000000"/>
                <w:spacing w:val="0"/>
                <w:sz w:val="24"/>
                <w:szCs w:val="24"/>
                <w:highlight w:val="none"/>
              </w:rPr>
              <w:t>    建立健全监督制度，通过核查反映被许可人从事行政许可事项活动情况的有关材料，履行监督责任。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15</w:t>
            </w:r>
          </w:p>
        </w:tc>
        <w:tc>
          <w:tcPr>
            <w:tcW w:w="197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建立随机抽查制度，对被许可人生产经营的产品依法进行抽样检查、检验、检测，对其生产经营场所依法进行实地检查。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16</w:t>
            </w:r>
          </w:p>
        </w:tc>
        <w:tc>
          <w:tcPr>
            <w:tcW w:w="1978"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根据法律、行政法规的规定，对直接关系公共安全、人身健康、生命财产安全的重要设备、设施进行定期检验。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17</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实施监督检查时，应当将监督检查的情况和处理结果予以记录，由监督检查人员签字后归档。公众有权查阅监督检查记录。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18</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实施监督检查，不得妨碍被许可人正常的生产经营活动，不得索取或收受被许可人的财物，不得谋取其他利益。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1050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lang w:eastAsia="zh-CN"/>
              </w:rPr>
              <w:t>二</w:t>
            </w:r>
            <w:r>
              <w:rPr>
                <w:rFonts w:hint="eastAsia" w:ascii="黑体" w:hAnsi="宋体" w:eastAsia="黑体" w:cs="黑体"/>
                <w:i w:val="0"/>
                <w:iCs w:val="0"/>
                <w:caps w:val="0"/>
                <w:color w:val="000000"/>
                <w:spacing w:val="0"/>
                <w:sz w:val="27"/>
                <w:szCs w:val="27"/>
              </w:rPr>
              <w:t>、行政强制类（行政强制措施）行政职权运行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default" w:ascii="sans-serif" w:hAnsi="sans-serif" w:eastAsia="sans-serif" w:cs="sans-serif"/>
                <w:i w:val="0"/>
                <w:iCs w:val="0"/>
                <w:caps w:val="0"/>
                <w:color w:val="000000"/>
                <w:spacing w:val="0"/>
                <w:sz w:val="27"/>
                <w:szCs w:val="27"/>
              </w:rPr>
              <w:t>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仿宋_GB2312" w:hAnsi="sans-serif" w:eastAsia="仿宋_GB2312" w:cs="仿宋_GB2312"/>
                <w:i w:val="0"/>
                <w:iCs w:val="0"/>
                <w:caps w:val="0"/>
                <w:color w:val="000000"/>
                <w:spacing w:val="0"/>
                <w:sz w:val="24"/>
                <w:szCs w:val="24"/>
              </w:rPr>
              <w:t>（一）决定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实施前应当先报告，经批准后作出实施行政强制措施的决定。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批准实施行政强制措施应当符合法定条件。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仿宋_GB2312" w:hAnsi="sans-serif" w:eastAsia="仿宋_GB2312" w:cs="仿宋_GB2312"/>
                <w:i w:val="0"/>
                <w:iCs w:val="0"/>
                <w:caps w:val="0"/>
                <w:color w:val="000000"/>
                <w:spacing w:val="0"/>
                <w:sz w:val="24"/>
                <w:szCs w:val="24"/>
              </w:rPr>
              <w:t>（二）执行</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由2名以上具备资格的行政执法人员实施，其他人员不得实施。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行政执法人员应当现场出示执法身份证件。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实施行政强制措施时应当通知当事人到场，并告知当事人采取行政强制措施的理由、依据以及当事人依法享有的权利、救济途径。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充分听取当事人的意见，对当事人提出的事实、理由和证据，应当进行复核，当事人提出的事实、理由或者证据成立的，应当采纳。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1"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制作现场笔录，现场笔录由当事人和行政执法人员签名或者盖章，当事人拒绝的，在笔录中予以注明。当事人不到场的，邀请见证人到场，由见证人和行政执法人员在现场笔录上签名或者盖章。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实施限制公民人身自由的行政强制措施，应当场告知或者实施行政强制措施后立即通知当事人家属实施行政强制措施的行政机关、地点和期限。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对依法应当没收或法律、行政法规规定应当销毁的，应当依法予以没收或销毁。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情况紧急，需要当场实施行政强制措施的，行政执法人员应当在24小时内向行政机关负责人报告，并补办批准手续。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仿宋_GB2312" w:hAnsi="sans-serif" w:eastAsia="仿宋_GB2312" w:cs="仿宋_GB2312"/>
                <w:i w:val="0"/>
                <w:iCs w:val="0"/>
                <w:caps w:val="0"/>
                <w:color w:val="000000"/>
                <w:spacing w:val="0"/>
                <w:sz w:val="24"/>
                <w:szCs w:val="24"/>
              </w:rPr>
              <w:t>（三）解除</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对符合解除行政强制措施条件的，应当依法解除行政强制措施。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对构成犯罪的，依法、及时移送司法机关。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13</w:t>
            </w:r>
          </w:p>
        </w:tc>
        <w:tc>
          <w:tcPr>
            <w:tcW w:w="197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仿宋_GB2312" w:hAnsi="sans-serif" w:eastAsia="仿宋_GB2312" w:cs="仿宋_GB2312"/>
                <w:i w:val="0"/>
                <w:iCs w:val="0"/>
                <w:caps w:val="0"/>
                <w:color w:val="000000"/>
                <w:spacing w:val="0"/>
                <w:sz w:val="24"/>
                <w:szCs w:val="24"/>
              </w:rPr>
              <w:t>（四）事后监管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建立健全事后监管制度，依法履行监督责任。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050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themeColor="text1"/>
                <w:spacing w:val="0"/>
                <w:sz w:val="27"/>
                <w:szCs w:val="27"/>
                <w:lang w:eastAsia="zh-CN"/>
                <w14:textFill>
                  <w14:solidFill>
                    <w14:schemeClr w14:val="tx1"/>
                  </w14:solidFill>
                </w14:textFill>
              </w:rPr>
              <w:t>三</w:t>
            </w:r>
            <w:r>
              <w:rPr>
                <w:rFonts w:hint="eastAsia" w:ascii="黑体" w:hAnsi="宋体" w:eastAsia="黑体" w:cs="黑体"/>
                <w:i w:val="0"/>
                <w:iCs w:val="0"/>
                <w:caps w:val="0"/>
                <w:color w:val="000000"/>
                <w:spacing w:val="0"/>
                <w:sz w:val="27"/>
                <w:szCs w:val="27"/>
              </w:rPr>
              <w:t>、行政检查类行政职权运行通用责任清单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仿宋_GB2312" w:hAnsi="sans-serif" w:eastAsia="仿宋_GB2312" w:cs="仿宋_GB2312"/>
                <w:i w:val="0"/>
                <w:iCs w:val="0"/>
                <w:caps w:val="0"/>
                <w:color w:val="000000"/>
                <w:spacing w:val="0"/>
                <w:sz w:val="24"/>
                <w:szCs w:val="24"/>
              </w:rPr>
              <w:t>（一）制定方案</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实施检查前应当依法制定含有正当理由、事项和内容的检查方案。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同一行政机关的多个内设机构和下属机构对同一当事人不同事项的行政检查，能够合并检查的应当合并检查。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上下级行政机关应当按照级别管辖和地域管辖相结合的原则合理划分检查范围，避免重复检查。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vMerge w:val="restart"/>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仿宋_GB2312" w:hAnsi="sans-serif" w:eastAsia="仿宋_GB2312" w:cs="仿宋_GB2312"/>
                <w:i w:val="0"/>
                <w:iCs w:val="0"/>
                <w:caps w:val="0"/>
                <w:color w:val="000000"/>
                <w:spacing w:val="0"/>
                <w:sz w:val="24"/>
                <w:szCs w:val="24"/>
              </w:rPr>
              <w:t>（二）实施检查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依照检查方案规定的时限、范围开展检查。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实施检查时应当出示执法身份证件、检查方案。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依法查阅资料、查看现场、听取当事人陈述申辩并取证。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实施检查应当不影响当事人的正常生产经营活动与生活。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依法告知当事人检查中发现的违法行为及处理意见，对不服处理意见的，可以依法申请行政复议或提起行政诉讼。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对检查中发现的违法行为应当予以制止和纠正。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实施行政检查中不得乱收费、乱罚款、乱摊派，严禁吃、拿、卡、要。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不得放弃、推诿、拖延、拒绝履行检查职责。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仿宋_GB2312" w:hAnsi="sans-serif" w:eastAsia="仿宋_GB2312" w:cs="仿宋_GB2312"/>
                <w:i w:val="0"/>
                <w:iCs w:val="0"/>
                <w:caps w:val="0"/>
                <w:color w:val="000000"/>
                <w:spacing w:val="0"/>
                <w:sz w:val="24"/>
                <w:szCs w:val="24"/>
              </w:rPr>
              <w:t>（三）事后监管</w:t>
            </w:r>
          </w:p>
        </w:tc>
        <w:tc>
          <w:tcPr>
            <w:tcW w:w="7883"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对检查情况进行汇总、分类、归档备查，并跟踪监测。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500" w:type="dxa"/>
            <w:gridSpan w:val="3"/>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890" w:firstLineChars="700"/>
              <w:rPr>
                <w:rFonts w:hint="eastAsia" w:ascii="仿宋_GB2312" w:hAnsi="sans-serif" w:eastAsia="仿宋_GB2312" w:cs="仿宋_GB2312"/>
                <w:i w:val="0"/>
                <w:iCs w:val="0"/>
                <w:caps w:val="0"/>
                <w:color w:val="000000"/>
                <w:spacing w:val="0"/>
                <w:sz w:val="24"/>
                <w:szCs w:val="24"/>
              </w:rPr>
            </w:pPr>
            <w:r>
              <w:rPr>
                <w:rFonts w:hint="eastAsia" w:ascii="黑体" w:hAnsi="宋体" w:eastAsia="黑体" w:cs="黑体"/>
                <w:i w:val="0"/>
                <w:iCs w:val="0"/>
                <w:caps w:val="0"/>
                <w:color w:val="000000"/>
                <w:spacing w:val="0"/>
                <w:sz w:val="27"/>
                <w:szCs w:val="27"/>
                <w:lang w:eastAsia="zh-CN"/>
              </w:rPr>
              <w:t>四</w:t>
            </w:r>
            <w:bookmarkStart w:id="0" w:name="_GoBack"/>
            <w:bookmarkEnd w:id="0"/>
            <w:r>
              <w:rPr>
                <w:rFonts w:ascii="黑体" w:hAnsi="宋体" w:eastAsia="黑体" w:cs="黑体"/>
                <w:i w:val="0"/>
                <w:iCs w:val="0"/>
                <w:caps w:val="0"/>
                <w:color w:val="000000" w:themeColor="text1"/>
                <w:spacing w:val="0"/>
                <w:sz w:val="27"/>
                <w:szCs w:val="27"/>
                <w14:textFill>
                  <w14:solidFill>
                    <w14:schemeClr w14:val="tx1"/>
                  </w14:solidFill>
                </w14:textFill>
              </w:rPr>
              <w:t>、</w:t>
            </w:r>
            <w:r>
              <w:rPr>
                <w:rFonts w:hint="eastAsia" w:ascii="黑体" w:hAnsi="宋体" w:eastAsia="黑体" w:cs="黑体"/>
                <w:i w:val="0"/>
                <w:iCs w:val="0"/>
                <w:caps w:val="0"/>
                <w:color w:val="000000" w:themeColor="text1"/>
                <w:spacing w:val="0"/>
                <w:sz w:val="27"/>
                <w:szCs w:val="27"/>
                <w:lang w:eastAsia="zh-CN"/>
                <w14:textFill>
                  <w14:solidFill>
                    <w14:schemeClr w14:val="tx1"/>
                  </w14:solidFill>
                </w14:textFill>
              </w:rPr>
              <w:t>其他行政权力</w:t>
            </w:r>
            <w:r>
              <w:rPr>
                <w:rFonts w:ascii="黑体" w:hAnsi="宋体" w:eastAsia="黑体" w:cs="黑体"/>
                <w:i w:val="0"/>
                <w:iCs w:val="0"/>
                <w:caps w:val="0"/>
                <w:color w:val="000000" w:themeColor="text1"/>
                <w:spacing w:val="0"/>
                <w:sz w:val="27"/>
                <w:szCs w:val="27"/>
                <w14:textFill>
                  <w14:solidFill>
                    <w14:schemeClr w14:val="tx1"/>
                  </w14:solidFill>
                </w14:textFill>
              </w:rPr>
              <w:t>类行政职权运行通用责任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3" w:hRule="atLeast"/>
        </w:trPr>
        <w:tc>
          <w:tcPr>
            <w:tcW w:w="639"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黑体" w:hAnsi="宋体" w:eastAsia="黑体" w:cs="黑体"/>
                <w:i w:val="0"/>
                <w:iCs w:val="0"/>
                <w:caps w:val="0"/>
                <w:color w:val="000000" w:themeColor="text1"/>
                <w:spacing w:val="0"/>
                <w:sz w:val="24"/>
                <w:szCs w:val="24"/>
                <w14:textFill>
                  <w14:solidFill>
                    <w14:schemeClr w14:val="tx1"/>
                  </w14:solidFill>
                </w14:textFill>
              </w:rPr>
              <w:t>序号</w:t>
            </w:r>
          </w:p>
        </w:tc>
        <w:tc>
          <w:tcPr>
            <w:tcW w:w="1978" w:type="dxa"/>
            <w:tcBorders>
              <w:top w:val="single" w:color="auto" w:sz="4"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黑体" w:hAnsi="宋体" w:eastAsia="黑体" w:cs="黑体"/>
                <w:i w:val="0"/>
                <w:iCs w:val="0"/>
                <w:caps w:val="0"/>
                <w:color w:val="000000" w:themeColor="text1"/>
                <w:spacing w:val="0"/>
                <w:sz w:val="24"/>
                <w:szCs w:val="24"/>
                <w14:textFill>
                  <w14:solidFill>
                    <w14:schemeClr w14:val="tx1"/>
                  </w14:solidFill>
                </w14:textFill>
              </w:rPr>
              <w:t>运行环节</w:t>
            </w:r>
          </w:p>
        </w:tc>
        <w:tc>
          <w:tcPr>
            <w:tcW w:w="7883" w:type="dxa"/>
            <w:tcBorders>
              <w:top w:val="single" w:color="auto" w:sz="4"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黑体" w:hAnsi="宋体" w:eastAsia="黑体" w:cs="黑体"/>
                <w:i w:val="0"/>
                <w:iCs w:val="0"/>
                <w:caps w:val="0"/>
                <w:color w:val="000000" w:themeColor="text1"/>
                <w:spacing w:val="0"/>
                <w:sz w:val="24"/>
                <w:szCs w:val="24"/>
                <w14:textFill>
                  <w14:solidFill>
                    <w14:schemeClr w14:val="tx1"/>
                  </w14:solidFill>
                </w14:textFill>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 w:hRule="atLeast"/>
        </w:trPr>
        <w:tc>
          <w:tcPr>
            <w:tcW w:w="639" w:type="dxa"/>
            <w:tcBorders>
              <w:top w:val="single" w:color="auto" w:sz="4" w:space="0"/>
              <w:left w:val="single" w:color="auto" w:sz="6" w:space="0"/>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pPr>
          </w:p>
        </w:tc>
        <w:tc>
          <w:tcPr>
            <w:tcW w:w="1978" w:type="dxa"/>
            <w:tcBorders>
              <w:top w:val="single" w:color="auto" w:sz="4"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pPr>
          </w:p>
        </w:tc>
        <w:tc>
          <w:tcPr>
            <w:tcW w:w="7883" w:type="dxa"/>
            <w:tcBorders>
              <w:top w:val="single" w:color="auto" w:sz="4"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ascii="仿宋_GB2312" w:hAnsi="sans-serif" w:eastAsia="仿宋_GB2312" w:cs="仿宋_GB2312"/>
                <w:i w:val="0"/>
                <w:iCs w:val="0"/>
                <w:caps w:val="0"/>
                <w:color w:val="000000" w:themeColor="text1"/>
                <w:spacing w:val="0"/>
                <w:sz w:val="24"/>
                <w:szCs w:val="24"/>
                <w14:textFill>
                  <w14:solidFill>
                    <w14:schemeClr w14:val="tx1"/>
                  </w14:solidFill>
                </w14:textFill>
              </w:rPr>
              <w:t>1</w:t>
            </w:r>
          </w:p>
        </w:tc>
        <w:tc>
          <w:tcPr>
            <w:tcW w:w="1978"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仿宋_GB2312" w:asciiTheme="minorHAnsi" w:hAnsiTheme="minorHAnsi" w:cstheme="minorBidi"/>
                <w:color w:val="000000" w:themeColor="text1"/>
                <w:kern w:val="0"/>
                <w:sz w:val="24"/>
                <w:szCs w:val="24"/>
                <w:lang w:val="en-US" w:eastAsia="zh-CN" w:bidi="ar"/>
                <w14:textFill>
                  <w14:solidFill>
                    <w14:schemeClr w14:val="tx1"/>
                  </w14:solidFill>
                </w14:textFill>
              </w:rPr>
            </w:pPr>
            <w:r>
              <w:rPr>
                <w:rStyle w:val="6"/>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t>（一）</w:t>
            </w:r>
            <w:r>
              <w:rPr>
                <w:rStyle w:val="6"/>
                <w:rFonts w:hint="eastAsia" w:ascii="仿宋_GB2312" w:hAnsi="sans-serif" w:eastAsia="仿宋_GB2312" w:cs="仿宋_GB2312"/>
                <w:i w:val="0"/>
                <w:iCs w:val="0"/>
                <w:caps w:val="0"/>
                <w:color w:val="000000" w:themeColor="text1"/>
                <w:spacing w:val="0"/>
                <w:sz w:val="24"/>
                <w:szCs w:val="24"/>
                <w:lang w:val="en-US" w:eastAsia="zh-CN"/>
                <w14:textFill>
                  <w14:solidFill>
                    <w14:schemeClr w14:val="tx1"/>
                  </w14:solidFill>
                </w14:textFill>
              </w:rPr>
              <w:t>申请</w:t>
            </w:r>
          </w:p>
        </w:tc>
        <w:tc>
          <w:tcPr>
            <w:tcW w:w="7883"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t>    申请人</w:t>
            </w:r>
            <w:r>
              <w:rPr>
                <w:rFonts w:hint="eastAsia" w:ascii="仿宋_GB2312" w:hAnsi="sans-serif" w:eastAsia="仿宋_GB2312" w:cs="仿宋_GB2312"/>
                <w:i w:val="0"/>
                <w:iCs w:val="0"/>
                <w:caps w:val="0"/>
                <w:color w:val="000000" w:themeColor="text1"/>
                <w:spacing w:val="0"/>
                <w:sz w:val="24"/>
                <w:szCs w:val="24"/>
                <w:lang w:eastAsia="zh-CN"/>
                <w14:textFill>
                  <w14:solidFill>
                    <w14:schemeClr w14:val="tx1"/>
                  </w14:solidFill>
                </w14:textFill>
              </w:rPr>
              <w:t>填报相关信息及</w:t>
            </w:r>
            <w:r>
              <w:rPr>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t>提交材料。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39" w:type="dxa"/>
            <w:tcBorders>
              <w:top w:val="single" w:color="auto" w:sz="4" w:space="0"/>
              <w:left w:val="single" w:color="auto" w:sz="6" w:space="0"/>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24"/>
                <w:szCs w:val="24"/>
                <w:lang w:val="en-US" w:eastAsia="zh-CN"/>
                <w14:textFill>
                  <w14:solidFill>
                    <w14:schemeClr w14:val="tx1"/>
                  </w14:solidFill>
                </w14:textFill>
              </w:rPr>
              <w:t>2</w:t>
            </w:r>
          </w:p>
        </w:tc>
        <w:tc>
          <w:tcPr>
            <w:tcW w:w="1978" w:type="dxa"/>
            <w:tcBorders>
              <w:top w:val="single" w:color="auto" w:sz="4" w:space="0"/>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sans-serif" w:hAnsi="sans-serif" w:eastAsia="sans-serif" w:cs="sans-serif"/>
                <w:i w:val="0"/>
                <w:iCs w:val="0"/>
                <w:caps w:val="0"/>
                <w:color w:val="000000" w:themeColor="text1"/>
                <w:spacing w:val="0"/>
                <w:kern w:val="0"/>
                <w:sz w:val="24"/>
                <w:szCs w:val="24"/>
                <w:lang w:val="en-US" w:eastAsia="zh-CN" w:bidi="ar"/>
                <w14:textFill>
                  <w14:solidFill>
                    <w14:schemeClr w14:val="tx1"/>
                  </w14:solidFill>
                </w14:textFill>
              </w:rPr>
            </w:pPr>
            <w:r>
              <w:rPr>
                <w:rStyle w:val="6"/>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t>（二）</w:t>
            </w:r>
            <w:r>
              <w:rPr>
                <w:rStyle w:val="6"/>
                <w:rFonts w:hint="eastAsia" w:ascii="仿宋_GB2312" w:hAnsi="sans-serif" w:eastAsia="仿宋_GB2312" w:cs="仿宋_GB2312"/>
                <w:i w:val="0"/>
                <w:iCs w:val="0"/>
                <w:caps w:val="0"/>
                <w:color w:val="000000" w:themeColor="text1"/>
                <w:spacing w:val="0"/>
                <w:sz w:val="24"/>
                <w:szCs w:val="24"/>
                <w:lang w:eastAsia="zh-CN"/>
                <w14:textFill>
                  <w14:solidFill>
                    <w14:schemeClr w14:val="tx1"/>
                  </w14:solidFill>
                </w14:textFill>
              </w:rPr>
              <w:t>审核</w:t>
            </w:r>
          </w:p>
        </w:tc>
        <w:tc>
          <w:tcPr>
            <w:tcW w:w="7883" w:type="dxa"/>
            <w:tcBorders>
              <w:top w:val="single" w:color="auto" w:sz="4"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75"/>
              <w:rPr>
                <w:rFonts w:hint="eastAsia" w:ascii="仿宋_GB2312" w:hAnsi="sans-serif" w:eastAsia="仿宋_GB2312" w:cs="仿宋_GB2312"/>
                <w:i w:val="0"/>
                <w:iCs w:val="0"/>
                <w:caps w:val="0"/>
                <w:color w:val="000000" w:themeColor="text1"/>
                <w:spacing w:val="0"/>
                <w:sz w:val="24"/>
                <w:szCs w:val="24"/>
                <w:lang w:val="en-US" w:eastAsia="zh-CN"/>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t>申请人提交的申请材料齐全、符合法定形式，</w:t>
            </w:r>
            <w:r>
              <w:rPr>
                <w:rFonts w:hint="eastAsia" w:ascii="仿宋_GB2312" w:hAnsi="sans-serif" w:eastAsia="仿宋_GB2312" w:cs="仿宋_GB2312"/>
                <w:i w:val="0"/>
                <w:iCs w:val="0"/>
                <w:caps w:val="0"/>
                <w:color w:val="000000" w:themeColor="text1"/>
                <w:spacing w:val="0"/>
                <w:sz w:val="24"/>
                <w:szCs w:val="24"/>
                <w:lang w:val="en-US" w:eastAsia="zh-CN"/>
                <w14:textFill>
                  <w14:solidFill>
                    <w14:schemeClr w14:val="tx1"/>
                  </w14:solidFill>
                </w14:textFill>
              </w:rPr>
              <w:t>审查通过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375" w:firstLineChars="0"/>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cstheme="minorBidi"/>
                <w:color w:val="000000" w:themeColor="text1"/>
                <w:kern w:val="0"/>
                <w:sz w:val="24"/>
                <w:szCs w:val="24"/>
                <w:lang w:val="en-US" w:eastAsia="zh-CN" w:bidi="ar"/>
                <w14:textFill>
                  <w14:solidFill>
                    <w14:schemeClr w14:val="tx1"/>
                  </w14:solidFill>
                </w14:textFill>
              </w:rPr>
              <w:t>3</w:t>
            </w:r>
          </w:p>
        </w:tc>
        <w:tc>
          <w:tcPr>
            <w:tcW w:w="1978"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pPr>
          </w:p>
        </w:tc>
        <w:tc>
          <w:tcPr>
            <w:tcW w:w="7883" w:type="dxa"/>
            <w:tcBorders>
              <w:top w:val="single" w:color="auto" w:sz="4"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375" w:firstLineChars="0"/>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t>若申请人提交的申请材料不齐全、不符合法定形式，一次性告知申请人必须补正的全部内容。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39" w:type="dxa"/>
            <w:tcBorders>
              <w:top w:val="single" w:color="auto" w:sz="4" w:space="0"/>
              <w:left w:val="single" w:color="auto" w:sz="6" w:space="0"/>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978" w:type="dxa"/>
            <w:tcBorders>
              <w:top w:val="single" w:color="auto" w:sz="4"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仿宋_GB2312" w:asciiTheme="minorHAnsi" w:hAnsiTheme="minorHAnsi" w:cstheme="minorBidi"/>
                <w:color w:val="000000" w:themeColor="text1"/>
                <w:kern w:val="0"/>
                <w:sz w:val="24"/>
                <w:szCs w:val="24"/>
                <w:lang w:val="en-US" w:eastAsia="zh-CN" w:bidi="ar"/>
                <w14:textFill>
                  <w14:solidFill>
                    <w14:schemeClr w14:val="tx1"/>
                  </w14:solidFill>
                </w14:textFill>
              </w:rPr>
            </w:pPr>
            <w:r>
              <w:rPr>
                <w:rStyle w:val="6"/>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t>（三）</w:t>
            </w:r>
            <w:r>
              <w:rPr>
                <w:rStyle w:val="6"/>
                <w:rFonts w:hint="eastAsia" w:ascii="仿宋_GB2312" w:hAnsi="sans-serif" w:eastAsia="仿宋_GB2312" w:cs="仿宋_GB2312"/>
                <w:i w:val="0"/>
                <w:iCs w:val="0"/>
                <w:caps w:val="0"/>
                <w:color w:val="000000" w:themeColor="text1"/>
                <w:spacing w:val="0"/>
                <w:sz w:val="24"/>
                <w:szCs w:val="24"/>
                <w:lang w:eastAsia="zh-CN"/>
                <w14:textFill>
                  <w14:solidFill>
                    <w14:schemeClr w14:val="tx1"/>
                  </w14:solidFill>
                </w14:textFill>
              </w:rPr>
              <w:t>备案登记</w:t>
            </w:r>
          </w:p>
        </w:tc>
        <w:tc>
          <w:tcPr>
            <w:tcW w:w="7883" w:type="dxa"/>
            <w:tcBorders>
              <w:top w:val="single" w:color="auto" w:sz="4" w:space="0"/>
              <w:left w:val="nil"/>
              <w:bottom w:val="single" w:color="auto" w:sz="4"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t>    对符合法定条件的申请人</w:t>
            </w:r>
            <w:r>
              <w:rPr>
                <w:rFonts w:hint="eastAsia" w:ascii="仿宋_GB2312" w:hAnsi="sans-serif" w:eastAsia="仿宋_GB2312" w:cs="仿宋_GB2312"/>
                <w:i w:val="0"/>
                <w:iCs w:val="0"/>
                <w:caps w:val="0"/>
                <w:color w:val="000000" w:themeColor="text1"/>
                <w:spacing w:val="0"/>
                <w:sz w:val="24"/>
                <w:szCs w:val="24"/>
                <w:lang w:eastAsia="zh-CN"/>
                <w14:textFill>
                  <w14:solidFill>
                    <w14:schemeClr w14:val="tx1"/>
                  </w14:solidFill>
                </w14:textFill>
              </w:rPr>
              <w:t>审核通过的</w:t>
            </w:r>
            <w:r>
              <w:rPr>
                <w:rFonts w:hint="eastAsia" w:ascii="仿宋_GB2312" w:hAnsi="sans-serif" w:eastAsia="仿宋_GB2312" w:cs="仿宋_GB2312"/>
                <w:i w:val="0"/>
                <w:iCs w:val="0"/>
                <w:caps w:val="0"/>
                <w:color w:val="000000" w:themeColor="text1"/>
                <w:spacing w:val="0"/>
                <w:sz w:val="24"/>
                <w:szCs w:val="24"/>
                <w14:textFill>
                  <w14:solidFill>
                    <w14:schemeClr w14:val="tx1"/>
                  </w14:solidFill>
                </w14:textFill>
              </w:rPr>
              <w:t>应当在法定职权范围和期限</w:t>
            </w:r>
            <w:r>
              <w:rPr>
                <w:rFonts w:hint="eastAsia" w:ascii="仿宋_GB2312" w:hAnsi="sans-serif" w:eastAsia="仿宋_GB2312" w:cs="仿宋_GB2312"/>
                <w:i w:val="0"/>
                <w:iCs w:val="0"/>
                <w:caps w:val="0"/>
                <w:color w:val="000000" w:themeColor="text1"/>
                <w:spacing w:val="0"/>
                <w:sz w:val="24"/>
                <w:szCs w:val="24"/>
                <w:lang w:eastAsia="zh-CN"/>
                <w14:textFill>
                  <w14:solidFill>
                    <w14:schemeClr w14:val="tx1"/>
                  </w14:solidFill>
                </w14:textFill>
              </w:rPr>
              <w:t>告知备案结果。</w:t>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B5EEB"/>
    <w:rsid w:val="02441F1E"/>
    <w:rsid w:val="066C7717"/>
    <w:rsid w:val="077D4FD6"/>
    <w:rsid w:val="0A207EB4"/>
    <w:rsid w:val="0EDB61ED"/>
    <w:rsid w:val="0FD2692E"/>
    <w:rsid w:val="0FFD297C"/>
    <w:rsid w:val="11541AB4"/>
    <w:rsid w:val="15AA55B6"/>
    <w:rsid w:val="182B7833"/>
    <w:rsid w:val="1A8E701D"/>
    <w:rsid w:val="1C8B401D"/>
    <w:rsid w:val="1E0B5EEB"/>
    <w:rsid w:val="1EE95D71"/>
    <w:rsid w:val="29474F87"/>
    <w:rsid w:val="2C813427"/>
    <w:rsid w:val="32777CC8"/>
    <w:rsid w:val="38107BD1"/>
    <w:rsid w:val="40DC3B8A"/>
    <w:rsid w:val="421233DB"/>
    <w:rsid w:val="44160FDC"/>
    <w:rsid w:val="46EA2EE6"/>
    <w:rsid w:val="4BF31E0F"/>
    <w:rsid w:val="4DBC30BE"/>
    <w:rsid w:val="50AC7F8C"/>
    <w:rsid w:val="52410886"/>
    <w:rsid w:val="54104D05"/>
    <w:rsid w:val="56EF4881"/>
    <w:rsid w:val="57323268"/>
    <w:rsid w:val="59145495"/>
    <w:rsid w:val="5ABD2A6D"/>
    <w:rsid w:val="61870E92"/>
    <w:rsid w:val="61A51FCB"/>
    <w:rsid w:val="62F34C34"/>
    <w:rsid w:val="6C5975D6"/>
    <w:rsid w:val="6C7610DE"/>
    <w:rsid w:val="6DCD4032"/>
    <w:rsid w:val="6FF356A3"/>
    <w:rsid w:val="74BC30A8"/>
    <w:rsid w:val="793F7353"/>
    <w:rsid w:val="798C582B"/>
    <w:rsid w:val="7B527334"/>
    <w:rsid w:val="7D09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2021-07-07T04:02:00Z</dcterms:created>
  <dc:creator>炫    飛</dc:creator>
  <cp:lastModifiedBy>Administrator</cp:lastModifiedBy>
  <dcterms:modified xsi:type="dcterms:W3CDTF">2023-12-07T04:56:44Z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D9534C1CE64B4FE2B3CEF09C614D46DC</vt:lpwstr>
  </property>
</Properties>
</file>