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关于《北京市西城区加快推进数据要素市场高质量发展的若干措施》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的起草说明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一、政策制定背景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数据已成为数字经济时代中国经济建设中的核心生产要素，构建全国统一的数据要素市场、加快推进数据要素市场化配置，是党和政府推动数字经济深化发展的重要部署。</w:t>
      </w:r>
      <w:r>
        <w:rPr>
          <w:rFonts w:hint="eastAsia" w:ascii="仿宋_GB2312" w:eastAsia="仿宋_GB2312"/>
          <w:sz w:val="32"/>
        </w:rPr>
        <w:t>为贯彻落实《中共中央</w:t>
      </w:r>
      <w:r>
        <w:rPr>
          <w:rFonts w:ascii="仿宋_GB2312" w:eastAsia="仿宋_GB2312"/>
          <w:sz w:val="32"/>
        </w:rPr>
        <w:t xml:space="preserve"> 国务院关于构建数据基础制度更好发挥数据要素作用的意见》和中共北京市委、北京市人民政府印发的《关于更好发挥数据要素作用进一步加快发展数字经济的实施意见》，深入实施《北京市数字经济促进条例》，立足首都功能核心区战略定位，大力发展数据要素市场，加速建设全球数字经济标杆城市示范区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我区启动了对</w:t>
      </w:r>
      <w:r>
        <w:rPr>
          <w:rFonts w:hint="eastAsia" w:ascii="仿宋_GB2312" w:hAnsi="仿宋" w:eastAsia="仿宋_GB2312"/>
          <w:sz w:val="32"/>
          <w:szCs w:val="32"/>
        </w:rPr>
        <w:t>《北京市西城区加快推进数据要素市场高质量发展的若干措施》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的制定工作。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二、政策制定过程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按照区委区政府的部署要求，区科技和信息化局广泛调研、深入研究、多方论证，启动了对</w:t>
      </w:r>
      <w:r>
        <w:rPr>
          <w:rFonts w:hint="eastAsia" w:ascii="仿宋_GB2312" w:hAnsi="仿宋" w:eastAsia="仿宋_GB2312"/>
          <w:sz w:val="32"/>
          <w:szCs w:val="32"/>
        </w:rPr>
        <w:t>《北京市西城区加快推进数据要素市场高质量发展的若干措施》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的研究起草工作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面向</w:t>
      </w:r>
      <w:r>
        <w:rPr>
          <w:rFonts w:hint="eastAsia" w:ascii="仿宋_GB2312" w:hAnsi="仿宋" w:eastAsia="仿宋_GB2312"/>
          <w:sz w:val="32"/>
          <w:szCs w:val="32"/>
        </w:rPr>
        <w:t>重点企业、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" w:eastAsia="仿宋_GB2312"/>
          <w:sz w:val="32"/>
          <w:szCs w:val="32"/>
        </w:rPr>
        <w:t>专家、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北京市经济和信息化局相关处室等各领域多轮征求意见，多次修改完善，形成了</w:t>
      </w:r>
      <w:r>
        <w:rPr>
          <w:rFonts w:hint="eastAsia" w:ascii="仿宋_GB2312" w:hAnsi="仿宋" w:eastAsia="仿宋_GB2312"/>
          <w:sz w:val="32"/>
          <w:szCs w:val="32"/>
        </w:rPr>
        <w:t>《北京市西城区加快推进数据要素市场高质量发展的若干措施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第一条，规定适用范围，明确支持方向。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着力为全区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val="en-US" w:eastAsia="zh-CN"/>
        </w:rPr>
        <w:t>数据服务产业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发展提供配套支持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eastAsia="zh-CN"/>
        </w:rPr>
        <w:t>，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val="en-US" w:eastAsia="zh-CN"/>
        </w:rPr>
        <w:t>重点支持数据基础设施建设、数据关键技术研发、数据资产化及资本化探索实践等领域。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第二条，推动标准体系建设，完善数据基础制度。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鼓励</w:t>
      </w:r>
      <w:r>
        <w:rPr>
          <w:rFonts w:hint="eastAsia" w:ascii="仿宋_GB2312" w:eastAsia="仿宋_GB2312"/>
          <w:b w:val="0"/>
          <w:bCs/>
          <w:sz w:val="32"/>
          <w:szCs w:val="32"/>
        </w:rPr>
        <w:t>构建适应数据特征、符合数据要素市场发展规律的数据基础制度和标准体系。</w:t>
      </w:r>
      <w:r>
        <w:rPr>
          <w:rFonts w:hint="eastAsia" w:ascii="仿宋_GB2312" w:eastAsia="仿宋_GB2312"/>
          <w:sz w:val="32"/>
          <w:szCs w:val="32"/>
        </w:rPr>
        <w:t>对主导或参与国际数据要素标准制定或国际标准互认的，奖励标准与国家级保持一致。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第三条，夯实数据基础设施，打造数据流通底座。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鼓励</w:t>
      </w:r>
      <w:r>
        <w:rPr>
          <w:rFonts w:hint="eastAsia" w:ascii="仿宋_GB2312" w:eastAsia="仿宋_GB2312"/>
          <w:sz w:val="32"/>
          <w:szCs w:val="32"/>
          <w:lang w:eastAsia="zh-CN"/>
        </w:rPr>
        <w:t>提供通用性、支撑性、服务性、低能耗的数据基础服务，支持</w:t>
      </w:r>
      <w:r>
        <w:rPr>
          <w:rFonts w:hint="eastAsia" w:ascii="仿宋_GB2312" w:eastAsia="仿宋_GB2312"/>
          <w:sz w:val="32"/>
          <w:szCs w:val="32"/>
        </w:rPr>
        <w:t>异地协同建设数据流通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算力基础设施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重点支持</w:t>
      </w:r>
      <w:r>
        <w:rPr>
          <w:rFonts w:hint="eastAsia" w:ascii="仿宋_GB2312" w:eastAsia="仿宋_GB2312"/>
          <w:sz w:val="32"/>
          <w:szCs w:val="32"/>
        </w:rPr>
        <w:t>数据交易中心、</w:t>
      </w:r>
      <w:r>
        <w:rPr>
          <w:rFonts w:hint="eastAsia" w:ascii="仿宋_GB2312" w:eastAsia="仿宋_GB2312"/>
          <w:sz w:val="32"/>
          <w:szCs w:val="32"/>
          <w:lang w:eastAsia="zh-CN"/>
        </w:rPr>
        <w:t>数据</w:t>
      </w:r>
      <w:r>
        <w:rPr>
          <w:rFonts w:hint="eastAsia" w:ascii="仿宋_GB2312" w:eastAsia="仿宋_GB2312"/>
          <w:sz w:val="32"/>
          <w:szCs w:val="32"/>
        </w:rPr>
        <w:t>服务平台类等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服务与培育数据要素市场的项目，</w:t>
      </w:r>
      <w:r>
        <w:rPr>
          <w:rFonts w:hint="eastAsia" w:ascii="仿宋_GB2312" w:eastAsia="仿宋_GB2312"/>
          <w:sz w:val="32"/>
          <w:szCs w:val="32"/>
        </w:rPr>
        <w:t>给予最高500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万元奖励。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探索</w:t>
      </w:r>
      <w:r>
        <w:rPr>
          <w:rFonts w:hint="eastAsia" w:ascii="仿宋_GB2312" w:eastAsia="仿宋_GB2312"/>
          <w:sz w:val="32"/>
          <w:szCs w:val="32"/>
        </w:rPr>
        <w:t>通过发放“数据要素服务券”等方式，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促进数据基础设施应用推广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第四条，鼓励释放数据价值，解放发展数字生产力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支持数据创新平台建设，助力数据关键技术创新应用，</w:t>
      </w:r>
      <w:r>
        <w:rPr>
          <w:rFonts w:hint="eastAsia" w:ascii="仿宋_GB2312" w:hAnsi="仿宋" w:eastAsia="仿宋_GB2312"/>
          <w:sz w:val="32"/>
          <w:szCs w:val="32"/>
        </w:rPr>
        <w:t>对重点实验室等高水平创新平台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及实现关键技术应用突破的项目，分别给予</w:t>
      </w:r>
      <w:r>
        <w:rPr>
          <w:rFonts w:hint="eastAsia" w:ascii="仿宋_GB2312" w:hAnsi="仿宋" w:eastAsia="仿宋_GB2312"/>
          <w:sz w:val="32"/>
          <w:szCs w:val="32"/>
        </w:rPr>
        <w:t>最高1000万元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100万元</w:t>
      </w:r>
      <w:r>
        <w:rPr>
          <w:rFonts w:hint="eastAsia" w:ascii="仿宋_GB2312" w:hAnsi="仿宋" w:eastAsia="仿宋_GB2312"/>
          <w:sz w:val="32"/>
          <w:szCs w:val="32"/>
        </w:rPr>
        <w:t>的奖励。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鼓励数据开放、流通、汇聚、应用，</w:t>
      </w:r>
      <w:r>
        <w:rPr>
          <w:rFonts w:hint="eastAsia" w:ascii="仿宋_GB2312" w:eastAsia="仿宋_GB2312"/>
          <w:sz w:val="32"/>
          <w:szCs w:val="32"/>
        </w:rPr>
        <w:t>对获得国家、北京市</w:t>
      </w:r>
      <w:r>
        <w:rPr>
          <w:rFonts w:hint="eastAsia" w:ascii="仿宋_GB2312" w:hAnsi="仿宋" w:eastAsia="仿宋_GB2312"/>
          <w:sz w:val="32"/>
          <w:szCs w:val="32"/>
        </w:rPr>
        <w:t>授权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认定的</w:t>
      </w:r>
      <w:r>
        <w:rPr>
          <w:rFonts w:hint="eastAsia" w:ascii="仿宋_GB2312" w:hAnsi="仿宋" w:eastAsia="仿宋_GB2312"/>
          <w:sz w:val="32"/>
          <w:szCs w:val="32"/>
        </w:rPr>
        <w:t>运营公共数据专区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数据服务平台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给予数据服务平台</w:t>
      </w:r>
      <w:r>
        <w:rPr>
          <w:rFonts w:hint="eastAsia" w:ascii="仿宋_GB2312" w:eastAsia="仿宋_GB2312"/>
          <w:sz w:val="32"/>
          <w:szCs w:val="32"/>
          <w:lang w:eastAsia="zh-CN"/>
        </w:rPr>
        <w:t>建设方</w:t>
      </w:r>
      <w:r>
        <w:rPr>
          <w:rFonts w:hint="eastAsia" w:ascii="仿宋_GB2312" w:eastAsia="仿宋_GB2312"/>
          <w:sz w:val="32"/>
          <w:szCs w:val="32"/>
        </w:rPr>
        <w:t>最高1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第五条，建设数据要素市场，推进社会数据有序流通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重点支持参与数据要素市场体系建设，推动挖掘数据资产价值，在数据的首登记、首挂牌、首交易、首开放、首评估、首入表、首认证及数据资产价值评估等方面，参照国家或北京市奖励标准配套资金支持。</w:t>
      </w:r>
      <w:r>
        <w:rPr>
          <w:rFonts w:hint="eastAsia" w:ascii="仿宋_GB2312" w:eastAsia="仿宋_GB2312"/>
          <w:bCs/>
          <w:sz w:val="32"/>
          <w:szCs w:val="32"/>
        </w:rPr>
        <w:t>积极开放行业数据全生命周期应用场景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支持打造行业数据资产登记节点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建设行业数据产业基地或数据交易中心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第六条，优化产业发展生态，大力培育数据服务产业。重点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支持以“马连道·茶·中国数据街”为代表的高品质产业承载空间建设及重点楼宇改造升级，给予建设或运营主体最高5000万元的资金奖励。支持企业提升数据管理能力，</w:t>
      </w:r>
      <w:r>
        <w:rPr>
          <w:rFonts w:hint="eastAsia" w:ascii="仿宋_GB2312" w:hAnsi="仿宋" w:eastAsia="仿宋_GB2312"/>
          <w:sz w:val="32"/>
          <w:szCs w:val="32"/>
        </w:rPr>
        <w:t>支持中小企业发展数据相关业务，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着力构建产业链发展体系，</w:t>
      </w:r>
      <w:r>
        <w:rPr>
          <w:rFonts w:hint="eastAsia" w:ascii="仿宋_GB2312" w:hAnsi="仿宋" w:eastAsia="仿宋_GB2312"/>
          <w:sz w:val="32"/>
          <w:szCs w:val="32"/>
        </w:rPr>
        <w:t>鼓励“链长”以及相关企事业单位开展“补链强链延链”行动，给予最高1500万元的奖励。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第七条，发挥重点企业引领作用，推动优质企业集聚。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" w:eastAsia="仿宋_GB2312"/>
          <w:sz w:val="32"/>
          <w:szCs w:val="32"/>
        </w:rPr>
        <w:t>支持设立或迁入数据集团、数据公司或数据研究院，给予最高5000万元的开办费用奖励，最高2000万元的增资奖励，最高3</w:t>
      </w:r>
      <w:r>
        <w:rPr>
          <w:rFonts w:ascii="仿宋_GB2312" w:hAnsi="仿宋" w:eastAsia="仿宋_GB2312"/>
          <w:sz w:val="32"/>
          <w:szCs w:val="32"/>
        </w:rPr>
        <w:t>000</w:t>
      </w:r>
      <w:r>
        <w:rPr>
          <w:rFonts w:hint="eastAsia" w:ascii="仿宋_GB2312" w:hAnsi="仿宋" w:eastAsia="仿宋_GB2312"/>
          <w:sz w:val="32"/>
          <w:szCs w:val="32"/>
        </w:rPr>
        <w:t>万元的租房和购房奖励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鼓励企业扩大营收，对年度营收在2000万元以上，且营收增速达到30%及以上，给予不超过600万元的奖励。鼓励各单位以一季度“开门红”为实现全年目标任务打下基础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第八条，优化人才保障机制，服务数据人才更好发展。</w:t>
      </w:r>
      <w:r>
        <w:rPr>
          <w:rFonts w:hint="eastAsia" w:ascii="仿宋_GB2312" w:eastAsia="仿宋_GB2312"/>
          <w:bCs/>
          <w:sz w:val="32"/>
          <w:szCs w:val="32"/>
        </w:rPr>
        <w:t>整合区域优质资源，按照业务规模、市场地位、创新能力、综合贡献、发展潜力等因素进行综合评定，对符合条件的人才实施更积极、更开放、更有效的奖励政策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第九条，提升服务保障水平，打造创新发展生态体系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</w:rPr>
        <w:t>积极构建功能完备、系统高效、共建共享的创新生态体系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。聚焦“马连道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·茶·中国数据街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”等重点区域，</w:t>
      </w:r>
      <w:r>
        <w:rPr>
          <w:rFonts w:hint="eastAsia" w:ascii="仿宋_GB2312" w:eastAsia="仿宋_GB2312"/>
          <w:sz w:val="32"/>
          <w:szCs w:val="32"/>
        </w:rPr>
        <w:t>打造“全过程、全方位、全周期、全链条”的服务机制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发挥金融在优化资源配置方面的引领作用，畅通金融机构与实体经济高效对接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</w:rPr>
        <w:t>搭建交流推广平台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在品牌建设、运营发展、平台搭建等方面给予支持。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第十条，明确政策申报原则，充分发挥政策效能。</w:t>
      </w:r>
      <w:r>
        <w:rPr>
          <w:rFonts w:hint="eastAsia" w:ascii="仿宋_GB2312" w:eastAsia="仿宋_GB2312"/>
          <w:sz w:val="32"/>
          <w:szCs w:val="32"/>
        </w:rPr>
        <w:t>同一项目、同一事项，同时符合本</w:t>
      </w:r>
      <w:r>
        <w:rPr>
          <w:rFonts w:hint="eastAsia" w:ascii="仿宋_GB2312" w:eastAsia="仿宋_GB2312"/>
          <w:sz w:val="32"/>
          <w:szCs w:val="32"/>
          <w:lang w:eastAsia="zh-CN"/>
        </w:rPr>
        <w:t>措施</w:t>
      </w:r>
      <w:r>
        <w:rPr>
          <w:rFonts w:hint="eastAsia" w:ascii="仿宋_GB2312" w:eastAsia="仿宋_GB2312"/>
          <w:sz w:val="32"/>
          <w:szCs w:val="32"/>
        </w:rPr>
        <w:t>和西城区其他专项支持政策的，按照从高从优不重复的原则给予支持。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B7AC"/>
    <w:multiLevelType w:val="singleLevel"/>
    <w:tmpl w:val="3D11B7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JjNzIwNjdiMWRmNjE4YTFmZTMzOTE4OGRlNTEifQ=="/>
  </w:docVars>
  <w:rsids>
    <w:rsidRoot w:val="1BA0770A"/>
    <w:rsid w:val="0E1E3CF0"/>
    <w:rsid w:val="18003D99"/>
    <w:rsid w:val="1BA0770A"/>
    <w:rsid w:val="262D66A1"/>
    <w:rsid w:val="32DE09E7"/>
    <w:rsid w:val="4F871FB3"/>
    <w:rsid w:val="52AF3E17"/>
    <w:rsid w:val="54ED3248"/>
    <w:rsid w:val="58955F9F"/>
    <w:rsid w:val="680B5B3B"/>
    <w:rsid w:val="6B8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1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/>
      <w:b/>
      <w:kern w:val="0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2023-12-03T06:11:00Z</dcterms:created>
  <dc:creator>瘦不到100就跳楼</dc:creator>
  <cp:lastModifiedBy>瘦不到100就跳楼</cp:lastModifiedBy>
  <dcterms:modified xsi:type="dcterms:W3CDTF">2023-12-15T08:27:48Z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745FF468985E4165B2EFFF049A59C1CE_11</vt:lpwstr>
  </property>
</Properties>
</file>