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outlineLvl w:val="0"/>
        <w:rPr>
          <w:rFonts w:hint="eastAsia" w:ascii="方正小标宋简体" w:hAnsi="Calibri" w:eastAsia="方正小标宋简体" w:cs="Times New Roman"/>
          <w:bCs/>
          <w:snapToGrid w:val="0"/>
          <w:kern w:val="0"/>
          <w:sz w:val="44"/>
        </w:rPr>
      </w:pPr>
      <w:r>
        <w:rPr>
          <w:rFonts w:hint="eastAsia" w:ascii="方正小标宋简体" w:hAnsi="Calibri" w:eastAsia="方正小标宋简体" w:cs="Times New Roman"/>
          <w:bCs/>
          <w:snapToGrid w:val="0"/>
          <w:kern w:val="0"/>
          <w:sz w:val="44"/>
        </w:rPr>
        <w:t>北京市西城区人民政府西长安街街道办事处</w:t>
      </w:r>
    </w:p>
    <w:p>
      <w:pPr>
        <w:suppressAutoHyphens/>
        <w:spacing w:line="560" w:lineRule="exact"/>
        <w:jc w:val="center"/>
        <w:outlineLvl w:val="0"/>
        <w:rPr>
          <w:rFonts w:hint="eastAsia" w:ascii="方正小标宋简体" w:hAnsi="Calibri" w:eastAsia="方正小标宋简体" w:cs="Times New Roman"/>
          <w:bCs/>
          <w:snapToGrid w:val="0"/>
          <w:kern w:val="0"/>
          <w:sz w:val="44"/>
        </w:rPr>
      </w:pPr>
      <w:r>
        <w:rPr>
          <w:rFonts w:hint="eastAsia" w:ascii="方正小标宋简体" w:hAnsi="Calibri" w:eastAsia="方正小标宋简体" w:cs="Times New Roman"/>
          <w:bCs/>
          <w:snapToGrid w:val="0"/>
          <w:kern w:val="0"/>
          <w:sz w:val="44"/>
        </w:rPr>
        <w:t>202</w:t>
      </w:r>
      <w:r>
        <w:rPr>
          <w:rFonts w:hint="eastAsia" w:ascii="方正小标宋简体" w:hAnsi="Calibri" w:eastAsia="方正小标宋简体" w:cs="Times New Roman"/>
          <w:bCs/>
          <w:snapToGrid w:val="0"/>
          <w:kern w:val="0"/>
          <w:sz w:val="44"/>
          <w:lang w:val="en-US" w:eastAsia="zh-CN"/>
        </w:rPr>
        <w:t>3</w:t>
      </w:r>
      <w:r>
        <w:rPr>
          <w:rFonts w:hint="eastAsia" w:ascii="方正小标宋简体" w:hAnsi="Calibri" w:eastAsia="方正小标宋简体" w:cs="Times New Roman"/>
          <w:bCs/>
          <w:snapToGrid w:val="0"/>
          <w:kern w:val="0"/>
          <w:sz w:val="44"/>
        </w:rPr>
        <w:t>年法治政府建设年度情况报告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区委、</w:t>
      </w:r>
      <w:r>
        <w:rPr>
          <w:rFonts w:ascii="Times New Roman" w:hAnsi="Times New Roman" w:eastAsia="仿宋_GB2312"/>
          <w:color w:val="auto"/>
          <w:sz w:val="32"/>
          <w:szCs w:val="32"/>
        </w:rPr>
        <w:t>区政府：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ascii="Times New Roman" w:hAnsi="Times New Roman" w:eastAsia="仿宋_GB2312"/>
          <w:color w:val="auto"/>
          <w:sz w:val="32"/>
          <w:szCs w:val="32"/>
          <w:shd w:val="clear" w:color="auto" w:fill="FFFFFF"/>
        </w:rPr>
        <w:t>西长安街街道以习近平新时代中国特色社会主义思想为指导，认真学习领会党的</w:t>
      </w:r>
      <w:r>
        <w:rPr>
          <w:rFonts w:hint="eastAsia" w:ascii="Times New Roman" w:hAnsi="Times New Roman" w:eastAsia="仿宋_GB2312"/>
          <w:color w:val="auto"/>
          <w:sz w:val="32"/>
          <w:szCs w:val="32"/>
          <w:shd w:val="clear" w:color="auto" w:fill="FFFFFF"/>
        </w:rPr>
        <w:t>二十大</w:t>
      </w:r>
      <w:r>
        <w:rPr>
          <w:rFonts w:ascii="Times New Roman" w:hAnsi="Times New Roman" w:eastAsia="仿宋_GB2312"/>
          <w:color w:val="auto"/>
          <w:sz w:val="32"/>
          <w:szCs w:val="32"/>
          <w:shd w:val="clear" w:color="auto" w:fill="FFFFFF"/>
        </w:rPr>
        <w:t>精神，坚决维护宪法权威，深入推进依法行政，各项工作法治化、规范化水平进一步提升，法治政府建设取得新进展。</w:t>
      </w:r>
      <w:r>
        <w:rPr>
          <w:rFonts w:hint="eastAsia" w:ascii="Times New Roman" w:hAnsi="Times New Roman" w:eastAsia="仿宋_GB2312"/>
          <w:color w:val="auto"/>
          <w:sz w:val="32"/>
          <w:szCs w:val="32"/>
          <w:shd w:val="clear" w:color="auto" w:fill="FFFFFF"/>
        </w:rPr>
        <w:t>现将</w:t>
      </w:r>
      <w:r>
        <w:rPr>
          <w:rFonts w:hint="eastAsia" w:ascii="仿宋_GB2312" w:eastAsia="仿宋_GB2312"/>
          <w:color w:val="auto"/>
          <w:sz w:val="32"/>
          <w:szCs w:val="32"/>
        </w:rPr>
        <w:t>涉及本单位的情况报告如下：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Times New Roman" w:hAnsi="Times New Roman" w:eastAsia="黑体"/>
          <w:color w:val="auto"/>
          <w:kern w:val="0"/>
          <w:sz w:val="32"/>
          <w:szCs w:val="32"/>
          <w:shd w:val="clear" w:color="auto" w:fill="FFFFFF"/>
        </w:rPr>
        <w:t>一、本年度</w:t>
      </w:r>
      <w:r>
        <w:rPr>
          <w:rFonts w:hint="eastAsia" w:ascii="Times New Roman" w:hAnsi="Times New Roman" w:eastAsia="黑体"/>
          <w:color w:val="auto"/>
          <w:kern w:val="0"/>
          <w:sz w:val="32"/>
          <w:szCs w:val="32"/>
          <w:shd w:val="clear" w:color="auto" w:fill="FFFFFF"/>
          <w:lang w:eastAsia="zh-CN"/>
        </w:rPr>
        <w:t>目前</w:t>
      </w:r>
      <w:r>
        <w:rPr>
          <w:rFonts w:hint="eastAsia" w:ascii="Times New Roman" w:hAnsi="Times New Roman" w:eastAsia="黑体"/>
          <w:color w:val="auto"/>
          <w:kern w:val="0"/>
          <w:sz w:val="32"/>
          <w:szCs w:val="32"/>
          <w:shd w:val="clear" w:color="auto" w:fill="FFFFFF"/>
        </w:rPr>
        <w:t>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olor w:val="auto"/>
          <w:sz w:val="32"/>
          <w:szCs w:val="32"/>
          <w:lang w:val="en-US" w:eastAsia="zh-CN"/>
        </w:rPr>
      </w:pPr>
      <w:r>
        <w:rPr>
          <w:rFonts w:hint="eastAsia" w:ascii="楷体" w:hAnsi="楷体" w:eastAsia="楷体" w:cs="楷体"/>
          <w:b/>
          <w:color w:val="auto"/>
          <w:sz w:val="32"/>
          <w:szCs w:val="32"/>
        </w:rPr>
        <w:t>（一）</w:t>
      </w:r>
      <w:r>
        <w:rPr>
          <w:rFonts w:hint="eastAsia" w:ascii="楷体" w:hAnsi="楷体" w:eastAsia="楷体" w:cs="楷体"/>
          <w:b/>
          <w:color w:val="auto"/>
          <w:kern w:val="0"/>
          <w:sz w:val="32"/>
          <w:szCs w:val="32"/>
          <w:shd w:val="clear" w:color="auto" w:fill="FFFFFF"/>
          <w:lang w:eastAsia="zh-CN"/>
        </w:rPr>
        <w:t>完善</w:t>
      </w:r>
      <w:r>
        <w:rPr>
          <w:rFonts w:hint="eastAsia" w:ascii="楷体" w:hAnsi="楷体" w:eastAsia="楷体" w:cs="楷体"/>
          <w:b/>
          <w:color w:val="auto"/>
          <w:kern w:val="0"/>
          <w:sz w:val="32"/>
          <w:szCs w:val="32"/>
          <w:shd w:val="clear" w:color="auto" w:fill="FFFFFF"/>
        </w:rPr>
        <w:t>法治政府建设推进机制。</w:t>
      </w:r>
      <w:r>
        <w:rPr>
          <w:rFonts w:hint="eastAsia" w:ascii="Times New Roman" w:hAnsi="Times New Roman" w:eastAsia="仿宋_GB2312"/>
          <w:color w:val="auto"/>
          <w:sz w:val="32"/>
          <w:szCs w:val="32"/>
        </w:rPr>
        <w:t>重点对《法治政府建设实施纲要（2021—2025年）》贯彻落实情况和行政执法“三项制度”（行政执法公示制度、执法全过程记录制度、重大执法决定法制审核制度）工作进行督查，总结工作经验，查找短板不足。推动法治政府建设全方位、全过程融入日常工作，实现督查督促常态化，营造了法治政府建设的良好氛围。</w:t>
      </w:r>
      <w:r>
        <w:rPr>
          <w:rFonts w:hint="eastAsia" w:ascii="Times New Roman" w:hAnsi="Times New Roman" w:eastAsia="仿宋_GB2312"/>
          <w:color w:val="auto"/>
          <w:sz w:val="32"/>
          <w:szCs w:val="32"/>
          <w:lang w:val="zh-CN" w:eastAsia="zh-CN"/>
        </w:rPr>
        <w:t>统筹开展“红墙先锋工程”和“双提升”工程，打造西长安街“红墙先锋工程”“4355”体系，建立“一图一表一报一册”工作机制，</w:t>
      </w:r>
      <w:r>
        <w:rPr>
          <w:rFonts w:hint="eastAsia" w:ascii="Times New Roman" w:hAnsi="Times New Roman" w:eastAsia="仿宋_GB2312"/>
          <w:color w:val="auto"/>
          <w:sz w:val="32"/>
          <w:szCs w:val="32"/>
          <w:lang w:val="en-US" w:eastAsia="zh-CN"/>
        </w:rPr>
        <w:t>法治政府建设提质增效。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olor w:val="auto"/>
          <w:sz w:val="32"/>
          <w:szCs w:val="32"/>
        </w:rPr>
      </w:pPr>
      <w:r>
        <w:rPr>
          <w:rFonts w:hint="eastAsia" w:ascii="楷体" w:hAnsi="楷体" w:eastAsia="楷体" w:cs="楷体"/>
          <w:b/>
          <w:color w:val="auto"/>
          <w:sz w:val="32"/>
          <w:szCs w:val="32"/>
        </w:rPr>
        <w:t>（二）强化行政行为制约监督。</w:t>
      </w:r>
      <w:r>
        <w:rPr>
          <w:rFonts w:hint="eastAsia" w:ascii="Times New Roman" w:hAnsi="Times New Roman" w:eastAsia="仿宋_GB2312"/>
          <w:color w:val="auto"/>
          <w:sz w:val="32"/>
          <w:szCs w:val="32"/>
        </w:rPr>
        <w:t>严格队伍管理、落实执法责任；改善执法协作、提升执法效能；加强监督指导、完善考评体系。通过重点工作任务的推进实施，不断提升执法行为的规范性、权力运行的效能性、执法体系的科学性。</w:t>
      </w:r>
    </w:p>
    <w:p>
      <w:pPr>
        <w:pStyle w:val="2"/>
        <w:keepNext w:val="0"/>
        <w:keepLines w:val="0"/>
        <w:pageBreakBefore w:val="0"/>
        <w:numPr>
          <w:ilvl w:val="0"/>
          <w:numId w:val="0"/>
        </w:numPr>
        <w:kinsoku/>
        <w:wordWrap/>
        <w:overflowPunct/>
        <w:topLinePunct w:val="0"/>
        <w:autoSpaceDE/>
        <w:autoSpaceDN/>
        <w:bidi w:val="0"/>
        <w:spacing w:line="560" w:lineRule="exact"/>
        <w:ind w:right="0" w:rightChars="0" w:firstLine="643"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（三）主动完善各类工作制度。</w:t>
      </w:r>
      <w:r>
        <w:rPr>
          <w:rFonts w:hint="eastAsia" w:ascii="Times New Roman" w:hAnsi="Times New Roman" w:eastAsia="仿宋_GB2312" w:cs="Times New Roman"/>
          <w:b w:val="0"/>
          <w:color w:val="auto"/>
          <w:kern w:val="2"/>
          <w:sz w:val="32"/>
          <w:szCs w:val="32"/>
          <w:lang w:val="en-US" w:eastAsia="zh-CN" w:bidi="ar-SA"/>
        </w:rPr>
        <w:t>司法所根据实际工作经验，出台三个居委会涉法事务指导意见，包括社区指定监护人、证明居民经常居住地和推荐民事诉讼代理人事项，明确了相应法律规定、办理机构、受理范围、基本材料、工作程序等内容，提供规范的合同模板，充分考虑了实用性和可操作性，解决了社区对居民提出的部分涉法事务需求“不敢回应、不及时回应、回应地不够准确”的问题。理顺工作制度，包括纪检案件会商机制服务中央单位“主动对接、协调承办、主责办理、会商研讨、办结回访、登记统计”机制、财源建设工作“定期走访、线下咨询、双向联动、资源共享、服务包落实、企业解难纾困”机制、背街小巷环境精细化治理机制等，工作进一步标准化、规范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楷体" w:hAnsi="楷体" w:eastAsia="楷体" w:cs="楷体"/>
          <w:b/>
          <w:color w:val="auto"/>
          <w:sz w:val="32"/>
          <w:szCs w:val="32"/>
        </w:rPr>
        <w:t>（四）强化政务公开机制建设。</w:t>
      </w:r>
      <w:r>
        <w:rPr>
          <w:rFonts w:hint="eastAsia" w:ascii="Times New Roman" w:hAnsi="Times New Roman" w:eastAsia="仿宋_GB2312" w:cs="Times New Roman"/>
          <w:b w:val="0"/>
          <w:color w:val="auto"/>
          <w:kern w:val="2"/>
          <w:sz w:val="32"/>
          <w:szCs w:val="32"/>
          <w:lang w:val="en-US" w:eastAsia="zh-CN" w:bidi="ar-SA"/>
        </w:rPr>
        <w:t>街道高度重视网站信息更新工作，及时更新发布街道政府信息公开指南及目录。对即将公开的信息组织会商，相关部门严格把关，由专人定期进行网站内容检查，发现问题立行立改，确保更新信息准确无误。高度重视推进依申请公开标准化规范化建设，健全政府信息公开申请全流程工作机制，畅通依申请公开专门受理渠道，完善部门会商机制。2023年，按要求将西长安街街道办事处2022年行政执法统计年报、2023年执法检查计划、2023年前三个季度执法检查单结果已在北京市西城区人民政府网站行政执法公示专栏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eastAsia="zh-CN"/>
        </w:rPr>
        <w:t>五</w:t>
      </w:r>
      <w:r>
        <w:rPr>
          <w:rFonts w:hint="eastAsia" w:ascii="楷体" w:hAnsi="楷体" w:eastAsia="楷体" w:cs="楷体"/>
          <w:b/>
          <w:color w:val="auto"/>
          <w:sz w:val="32"/>
          <w:szCs w:val="32"/>
        </w:rPr>
        <w:t>）加强地区法治宣传，推进辖区司法工作。</w:t>
      </w:r>
      <w:r>
        <w:rPr>
          <w:rFonts w:hint="eastAsia" w:ascii="Times New Roman" w:hAnsi="Times New Roman" w:eastAsia="仿宋_GB2312" w:cs="Times New Roman"/>
          <w:b w:val="0"/>
          <w:color w:val="auto"/>
          <w:kern w:val="2"/>
          <w:sz w:val="32"/>
          <w:szCs w:val="32"/>
          <w:lang w:val="en-US" w:eastAsia="zh-CN" w:bidi="ar-SA"/>
        </w:rPr>
        <w:t>司法所开展法治进社区、进校园等活动，通过抓好重要法治宣传日节点，推进“法律十进”工作，做到法律宣传突出重点、注重实效。自创法治文化形象“安安”，吸引更多居民主动参与到普法全过程，开通“安安说法”微信专栏，通过图解、短视频等方式，讲解宪法、民法典、老年人权益保障、调解等法律法规，今年累计推送信息40余篇；线下活动中制作各类宣传标识，开展宣传活动20余次，发放宣传资料2000余份。打造“一街一室一园”普法阵地，及时更新黄南普法文化街宣传内容，新设立未英普法公园，继续拓展普法范围。创设“长安联合释法团”，街道司法所邀请顾问律师、法官、仲裁员、公证员、鉴定人员、专职调解员等法律专业人员，每月巡回走访11个社区进行“法治体检”，对工作中存在的法律风险进行提示和预警，对社区依法治理、规范发展等提出意见和建议，对社区治理中的法治“疑难杂症”“对症下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eastAsia="zh-CN"/>
        </w:rPr>
        <w:t>六</w:t>
      </w:r>
      <w:r>
        <w:rPr>
          <w:rFonts w:hint="eastAsia" w:ascii="楷体" w:hAnsi="楷体" w:eastAsia="楷体" w:cs="楷体"/>
          <w:b/>
          <w:color w:val="auto"/>
          <w:sz w:val="32"/>
          <w:szCs w:val="32"/>
        </w:rPr>
        <w:t>）加强人民调解组织建设，增强调解力量。</w:t>
      </w:r>
      <w:r>
        <w:rPr>
          <w:rFonts w:hint="eastAsia" w:ascii="Times New Roman" w:hAnsi="Times New Roman" w:eastAsia="仿宋_GB2312" w:cs="Times New Roman"/>
          <w:b w:val="0"/>
          <w:color w:val="auto"/>
          <w:kern w:val="2"/>
          <w:sz w:val="32"/>
          <w:szCs w:val="32"/>
          <w:lang w:val="en-US" w:eastAsia="zh-CN" w:bidi="ar-SA"/>
        </w:rPr>
        <w:t>积极运用“立体化长安调解1234模式”，以街道调解委员会为主阵地，横向有联合调解室、公益法律服务室、访调对接调解室、一民调解室、众和人民调解室，纵向有各社区调解委员会的立体化调解组织网络体系，通过政策的指引、法律的普及和人情的沟通进行调解工作的介入，积极参与到12345热线调解工作中，不断增强调解工作的服务精准性，2023年西长安街街道各人民调解委员会调解成功370件。其次，积极做好贯穿全年的矛盾纠纷排查化解活动，各级人民调解组织和人民调解员共进行日常排查、专项排查、重点排查等共计排查1510件。按照市、区安保工作的要求启动日报告机制，动员各级人民调解组织和人民调解员，有效开展矛盾纠纷日常排查，开展婚姻家庭邻里矛盾纠纷等专项排查，就地调解，防止纠纷激化，实现矛盾不上交。最后，完善本街道行政调解职责清单，依照《西长安街街道办事处行政调解工作办法》，落实主体责任，完善行政调解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olor w:val="auto"/>
          <w:kern w:val="0"/>
          <w:sz w:val="32"/>
          <w:szCs w:val="32"/>
          <w:shd w:val="clear" w:color="auto" w:fill="FFFFFF"/>
        </w:rPr>
      </w:pPr>
      <w:r>
        <w:rPr>
          <w:rFonts w:hint="eastAsia" w:ascii="Times New Roman" w:hAnsi="Times New Roman" w:eastAsia="黑体"/>
          <w:color w:val="auto"/>
          <w:kern w:val="0"/>
          <w:sz w:val="32"/>
          <w:szCs w:val="32"/>
          <w:shd w:val="clear" w:color="auto" w:fill="FFFFFF"/>
        </w:rPr>
        <w:t>二、本年度推进法治政府建设存在的不足和原因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楷体_GB2312" w:hAnsi="楷体_GB2312" w:eastAsia="楷体_GB2312" w:cs="楷体_GB2312"/>
          <w:b/>
          <w:bCs w:val="0"/>
          <w:color w:val="auto"/>
          <w:kern w:val="0"/>
          <w:sz w:val="32"/>
          <w:szCs w:val="32"/>
          <w:lang w:val="en-US" w:eastAsia="zh-CN" w:bidi="ar"/>
        </w:rPr>
        <w:t>（一）法治学习与实践的结合程度有待提升。</w:t>
      </w:r>
      <w:r>
        <w:rPr>
          <w:rFonts w:hint="eastAsia" w:ascii="Times New Roman" w:hAnsi="Times New Roman" w:eastAsia="仿宋_GB2312" w:cs="Times New Roman"/>
          <w:b w:val="0"/>
          <w:color w:val="auto"/>
          <w:kern w:val="2"/>
          <w:sz w:val="32"/>
          <w:szCs w:val="32"/>
          <w:lang w:val="en-US" w:eastAsia="zh-CN" w:bidi="ar-SA"/>
        </w:rPr>
        <w:t>法治教育与社区治理实践结合仍不够充分，理论指导法治建设的成效还不够显著，需将先进理论与实际工作结合、落到实处。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楷体_GB2312" w:hAnsi="楷体_GB2312" w:eastAsia="楷体_GB2312" w:cs="楷体_GB2312"/>
          <w:b/>
          <w:bCs w:val="0"/>
          <w:color w:val="auto"/>
          <w:kern w:val="0"/>
          <w:sz w:val="32"/>
          <w:szCs w:val="32"/>
          <w:lang w:val="en-US" w:eastAsia="zh-CN" w:bidi="ar"/>
        </w:rPr>
        <w:t>（二）法治品牌效应有待增强。</w:t>
      </w:r>
      <w:r>
        <w:rPr>
          <w:rFonts w:hint="eastAsia" w:ascii="Times New Roman" w:hAnsi="Times New Roman" w:eastAsia="仿宋_GB2312" w:cs="Times New Roman"/>
          <w:b w:val="0"/>
          <w:color w:val="auto"/>
          <w:kern w:val="2"/>
          <w:sz w:val="32"/>
          <w:szCs w:val="32"/>
          <w:lang w:val="en-US" w:eastAsia="zh-CN" w:bidi="ar-SA"/>
        </w:rPr>
        <w:t>街道在普法工作上有所创新，但法治宣传品牌效应仍需增强，民众知晓率有待提高，更需要继续整合辖区法治文化资源，形成合力。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楷体_GB2312" w:hAnsi="楷体_GB2312" w:eastAsia="楷体_GB2312" w:cs="楷体_GB2312"/>
          <w:b/>
          <w:bCs w:val="0"/>
          <w:color w:val="auto"/>
          <w:kern w:val="0"/>
          <w:sz w:val="32"/>
          <w:szCs w:val="32"/>
          <w:lang w:val="en-US" w:eastAsia="zh-CN" w:bidi="ar"/>
        </w:rPr>
        <w:t>（三）执法规范化建设待提档升级。</w:t>
      </w:r>
      <w:r>
        <w:rPr>
          <w:rFonts w:hint="eastAsia" w:ascii="Times New Roman" w:hAnsi="Times New Roman" w:eastAsia="仿宋_GB2312" w:cs="Times New Roman"/>
          <w:b w:val="0"/>
          <w:color w:val="auto"/>
          <w:kern w:val="2"/>
          <w:sz w:val="32"/>
          <w:szCs w:val="32"/>
          <w:lang w:val="en-US" w:eastAsia="zh-CN" w:bidi="ar-SA"/>
        </w:rPr>
        <w:t>需要鼓励执法人员端正态度，加强学习，提升执法能力与水平。在研究激励机制上下功夫，确保辖区涉及的违法形态得到有效控制。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olor w:val="auto"/>
          <w:kern w:val="0"/>
          <w:sz w:val="32"/>
          <w:szCs w:val="32"/>
          <w:shd w:val="clear" w:color="auto" w:fill="FFFFFF"/>
        </w:rPr>
      </w:pPr>
      <w:r>
        <w:rPr>
          <w:rFonts w:hint="eastAsia" w:ascii="Times New Roman" w:hAnsi="Times New Roman" w:eastAsia="黑体"/>
          <w:color w:val="auto"/>
          <w:kern w:val="0"/>
          <w:sz w:val="32"/>
          <w:szCs w:val="32"/>
          <w:shd w:val="clear" w:color="auto" w:fill="FFFFFF"/>
        </w:rPr>
        <w:t>三、本年度党政主要负责人履行推进法治建设第一责任人职责，加强法治政府建设的有关情况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西长安街街道工委、办事处高度重视法治政府建设，逐项落实《党政主要负责人履行推进法治建设第一责任人职责规定》要求，将其摆在街道工作的重要位置，与中心工作同部署、同推进。街道工委、办事处先后多次召开工委会、主任办公会、专题会研究依法行政相关工作，切实履行依法治街重要组织者、推动者和实践者职责，工委书记、办事处主任对法治建设重要工作亲自部署、重点环节亲自协调、重要任务亲自督办，确保法治建设第一责任人职责落实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楷体_GB2312" w:hAnsi="楷体_GB2312" w:eastAsia="楷体_GB2312" w:cs="楷体_GB2312"/>
          <w:b/>
          <w:bCs w:val="0"/>
          <w:color w:val="auto"/>
          <w:kern w:val="0"/>
          <w:sz w:val="32"/>
          <w:szCs w:val="32"/>
          <w:lang w:val="en-US" w:eastAsia="zh-CN" w:bidi="ar"/>
        </w:rPr>
        <w:t>（一）健全组织，压实法治责任。</w:t>
      </w:r>
      <w:r>
        <w:rPr>
          <w:rFonts w:hint="eastAsia" w:ascii="Times New Roman" w:hAnsi="Times New Roman" w:eastAsia="仿宋_GB2312" w:cs="Times New Roman"/>
          <w:b w:val="0"/>
          <w:color w:val="auto"/>
          <w:kern w:val="2"/>
          <w:sz w:val="32"/>
          <w:szCs w:val="32"/>
          <w:lang w:val="en-US" w:eastAsia="zh-CN" w:bidi="ar-SA"/>
        </w:rPr>
        <w:t>推动法治政府建设全方位、全过程融入日常工作，实现督查督促常态化，营造了法治政府建设的良好氛围。确立司法所主要负责人列席会议制度，今年已列席主任办公会33次、工委会34次，司法所所长发表法律意见、解读常用法律法规，参与研究制定本街道有关重大公共措施、经济和社会发展等重要规划，研讨重大公共建设项目、涉及重大公共利益或者社会群众、社区群众切身利益的其他重大事项，切实增强领导干部依法决策、依法行政、依法管理、依法办事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楷体_GB2312" w:hAnsi="楷体_GB2312" w:eastAsia="楷体_GB2312" w:cs="楷体_GB2312"/>
          <w:b/>
          <w:bCs w:val="0"/>
          <w:color w:val="auto"/>
          <w:kern w:val="0"/>
          <w:sz w:val="32"/>
          <w:szCs w:val="32"/>
          <w:lang w:val="en-US" w:eastAsia="zh-CN" w:bidi="ar"/>
        </w:rPr>
        <w:t>（二）集体学习，提高法治素养。</w:t>
      </w:r>
      <w:r>
        <w:rPr>
          <w:rFonts w:hint="eastAsia" w:ascii="Times New Roman" w:hAnsi="Times New Roman" w:eastAsia="仿宋_GB2312" w:cs="Times New Roman"/>
          <w:b w:val="0"/>
          <w:color w:val="auto"/>
          <w:kern w:val="2"/>
          <w:sz w:val="32"/>
          <w:szCs w:val="32"/>
          <w:lang w:val="en-US" w:eastAsia="zh-CN" w:bidi="ar-SA"/>
        </w:rPr>
        <w:t>落实街道国家工作人员学法用法制度，中心组示范领学，专家指导帮学，干部、社工赶超比学，团结带领街道全面、深入学习。西长安街街道党工委把深入学习贯彻习近平法治思想作为重大政治任务，定期开展理论学习中心组专题学习，紧紧抓住“关键少数”，将领导干部学法守法用法作为法治政府建设工作的重要内容。组织领导干部及机关人员学法，工委会会前学法3次、主任办公会会前学法14次。处级领导、各科室科长、社区服务站站长及社区社工开展了以“扎实推进依法行政”为主题的党的二十大精神宣讲报告会学习1次。全体干部每年开展2次法治学习。开办“红雁领航”机关干部综合素质提升班，专设依法行政课程，详细学习依法行政的核心内容及基本要求。</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楷体" w:hAnsi="楷体" w:eastAsia="楷体" w:cs="楷体"/>
          <w:b/>
          <w:bCs/>
          <w:color w:val="auto"/>
          <w:sz w:val="32"/>
          <w:szCs w:val="32"/>
        </w:rPr>
        <w:t>（三）依法依规，</w:t>
      </w:r>
      <w:r>
        <w:rPr>
          <w:rFonts w:hint="eastAsia" w:ascii="楷体" w:hAnsi="楷体" w:eastAsia="楷体" w:cs="楷体"/>
          <w:b/>
          <w:bCs/>
          <w:color w:val="auto"/>
          <w:sz w:val="32"/>
          <w:szCs w:val="32"/>
          <w:lang w:eastAsia="zh-CN"/>
        </w:rPr>
        <w:t>提升</w:t>
      </w:r>
      <w:r>
        <w:rPr>
          <w:rFonts w:hint="eastAsia" w:ascii="楷体" w:hAnsi="楷体" w:eastAsia="楷体" w:cs="楷体"/>
          <w:b/>
          <w:bCs/>
          <w:color w:val="auto"/>
          <w:sz w:val="32"/>
          <w:szCs w:val="32"/>
        </w:rPr>
        <w:t>执法水平。</w:t>
      </w:r>
      <w:r>
        <w:rPr>
          <w:rFonts w:hint="eastAsia" w:ascii="Times New Roman" w:hAnsi="Times New Roman" w:eastAsia="仿宋_GB2312" w:cs="Times New Roman"/>
          <w:b w:val="0"/>
          <w:color w:val="auto"/>
          <w:kern w:val="2"/>
          <w:sz w:val="32"/>
          <w:szCs w:val="32"/>
          <w:lang w:val="en-US" w:eastAsia="zh-CN" w:bidi="ar-SA"/>
        </w:rPr>
        <w:t>严格遵守重大行政执法决定法制审核制度，制定街道重大行政执法决定事项目录和审核流程，加强执法活动规范性合法性管理；完善重大行政处罚决定集体讨论制度，成立案件审理委员会，严格按照流程作出重大执法决定，提高案件审理效率，降低行政诉讼风险。2023年召开重大执法案件案审会5次；参加行政复议3次，提交相关证据材料。坚持行政执法全过程记录，发挥行政机关法制机构监督机制，对执法程序、执法纪律进行监督；加强听证、行政复议、行政诉讼流程培训工作，制定街道行政复议行政诉讼工作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olor w:val="auto"/>
          <w:kern w:val="0"/>
          <w:sz w:val="32"/>
          <w:szCs w:val="32"/>
          <w:shd w:val="clear" w:color="auto" w:fill="FFFFFF"/>
        </w:rPr>
      </w:pPr>
      <w:r>
        <w:rPr>
          <w:rFonts w:hint="eastAsia" w:ascii="Times New Roman" w:hAnsi="Times New Roman" w:eastAsia="黑体"/>
          <w:color w:val="auto"/>
          <w:kern w:val="0"/>
          <w:sz w:val="32"/>
          <w:szCs w:val="32"/>
          <w:shd w:val="clear" w:color="auto" w:fill="FFFFFF"/>
        </w:rPr>
        <w:t>四、下一年度推进法治政府建设的主要安排</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把准法治建设“方向标尺”，持续筑牢地区安全防线。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全力以赴做好重大活动服务保障。进一步突出强化综治中心全面建设，</w:t>
      </w:r>
      <w:r>
        <w:rPr>
          <w:rFonts w:hint="eastAsia" w:ascii="Times New Roman" w:hAnsi="Times New Roman" w:eastAsia="仿宋_GB2312" w:cs="Times New Roman"/>
          <w:b w:val="0"/>
          <w:color w:val="auto"/>
          <w:kern w:val="2"/>
          <w:sz w:val="32"/>
          <w:szCs w:val="32"/>
          <w:lang w:val="en-US" w:eastAsia="zh-CN" w:bidi="ar-SA"/>
        </w:rPr>
        <w:t>健全完善工作机制，细化优化工作标准，提高隐患排查能力。创新开展司法工作，继续孵化“一街一室一园”公共法律文化圈，推广普法卡通形象“安安”，营造普法在身边的氛围。打造街道级精</w:t>
      </w:r>
      <w:bookmarkStart w:id="0" w:name="_GoBack"/>
      <w:bookmarkEnd w:id="0"/>
      <w:r>
        <w:rPr>
          <w:rFonts w:hint="eastAsia" w:ascii="Times New Roman" w:hAnsi="Times New Roman" w:eastAsia="仿宋_GB2312" w:cs="Times New Roman"/>
          <w:b w:val="0"/>
          <w:color w:val="auto"/>
          <w:kern w:val="2"/>
          <w:sz w:val="32"/>
          <w:szCs w:val="32"/>
          <w:lang w:val="en-US" w:eastAsia="zh-CN" w:bidi="ar-SA"/>
        </w:rPr>
        <w:t>品公共法律服务站，规范和完善依法行政工作流程和机制。持续深入开展大排查大整治，督促企业落实安全生产主体责任，加大力度推广“企安安”系统应用。优化“立体化长安调解1234模式”的运行机制，落实信访“一把手工程”，全力化解信访积案。</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擦亮共建共治“金字招牌”，持续提升基层治理能力。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完善“接诉即办”工作机制，解决群众“急难愁盼”，细化分解任务，深入推动主动治理、未诉先办。关心关爱社工，强化社工队伍建设。优化整合基层一线力量，切实用好三支治理团队。深化邻里文化氛围，打造1-2个社区议事厅示范点和楼门院示范点。持续巩固服务站转型升级成果，做好街道、社区两级社会工作服务体系规范化建设，巩固街道社会工作服务中心及5个社区社会工作服务站点建设成果。</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绘就城市建设“精美蓝图”，持续抓实城市动态精细化治理。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color w:val="auto"/>
          <w:kern w:val="2"/>
          <w:sz w:val="32"/>
          <w:szCs w:val="32"/>
          <w:lang w:val="zh-TW" w:eastAsia="zh-CN" w:bidi="ar-SA"/>
        </w:rPr>
      </w:pPr>
      <w:r>
        <w:rPr>
          <w:rFonts w:hint="eastAsia" w:ascii="Times New Roman" w:hAnsi="Times New Roman" w:eastAsia="仿宋_GB2312" w:cs="Times New Roman"/>
          <w:b w:val="0"/>
          <w:color w:val="auto"/>
          <w:kern w:val="2"/>
          <w:sz w:val="32"/>
          <w:szCs w:val="32"/>
          <w:lang w:val="zh-TW" w:eastAsia="zh-TW" w:bidi="ar-SA"/>
        </w:rPr>
        <w:t>深入落实北京城市新总规和核心区控规，积极</w:t>
      </w:r>
      <w:r>
        <w:rPr>
          <w:rFonts w:hint="eastAsia" w:ascii="Times New Roman" w:hAnsi="Times New Roman" w:eastAsia="仿宋_GB2312" w:cs="Times New Roman"/>
          <w:b w:val="0"/>
          <w:color w:val="auto"/>
          <w:kern w:val="2"/>
          <w:sz w:val="32"/>
          <w:szCs w:val="32"/>
          <w:lang w:val="zh-TW" w:eastAsia="zh-CN" w:bidi="ar-SA"/>
        </w:rPr>
        <w:t>配合</w:t>
      </w:r>
      <w:r>
        <w:rPr>
          <w:rFonts w:hint="eastAsia" w:ascii="Times New Roman" w:hAnsi="Times New Roman" w:eastAsia="仿宋_GB2312" w:cs="Times New Roman"/>
          <w:b w:val="0"/>
          <w:color w:val="auto"/>
          <w:kern w:val="2"/>
          <w:sz w:val="32"/>
          <w:szCs w:val="32"/>
          <w:lang w:val="zh-TW" w:eastAsia="zh-TW" w:bidi="ar-SA"/>
        </w:rPr>
        <w:t>推进</w:t>
      </w:r>
      <w:r>
        <w:rPr>
          <w:rFonts w:hint="eastAsia" w:ascii="Times New Roman" w:hAnsi="Times New Roman" w:eastAsia="仿宋_GB2312" w:cs="Times New Roman"/>
          <w:b w:val="0"/>
          <w:color w:val="auto"/>
          <w:kern w:val="2"/>
          <w:sz w:val="32"/>
          <w:szCs w:val="32"/>
          <w:lang w:val="en-US" w:eastAsia="zh-CN" w:bidi="ar-SA"/>
        </w:rPr>
        <w:t>西单-积水潭桥街区保护更新项目</w:t>
      </w:r>
      <w:r>
        <w:rPr>
          <w:rFonts w:hint="eastAsia" w:ascii="Times New Roman" w:hAnsi="Times New Roman" w:eastAsia="仿宋_GB2312" w:cs="Times New Roman"/>
          <w:b w:val="0"/>
          <w:color w:val="auto"/>
          <w:kern w:val="2"/>
          <w:sz w:val="32"/>
          <w:szCs w:val="32"/>
          <w:lang w:val="zh-TW" w:eastAsia="zh-CN" w:bidi="ar-SA"/>
        </w:rPr>
        <w:t>。持续推进街区更新，开展地区环境综合整治。持续改善平房院落居住环境，创建10个“最美院落”，持续开展私房危房翻修加固、直管公房解危翻建和低洼院落改造工程，完成36条背街小巷达标验收。持续抓好两件“关键小事”。扎实完成“疏整促”、大气污染防治、防汛、河长制等工作任务。</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优化群众服务“最后一公里”，持续增进民生福祉。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color w:val="auto"/>
          <w:kern w:val="2"/>
          <w:sz w:val="32"/>
          <w:szCs w:val="32"/>
          <w:lang w:val="zh-TW" w:eastAsia="zh-TW" w:bidi="ar-SA"/>
        </w:rPr>
      </w:pPr>
      <w:r>
        <w:rPr>
          <w:rFonts w:hint="eastAsia" w:ascii="Times New Roman" w:hAnsi="Times New Roman" w:eastAsia="仿宋_GB2312" w:cs="Times New Roman"/>
          <w:b w:val="0"/>
          <w:color w:val="auto"/>
          <w:kern w:val="2"/>
          <w:sz w:val="32"/>
          <w:szCs w:val="32"/>
          <w:lang w:val="en-US" w:eastAsia="zh-CN" w:bidi="ar-SA"/>
        </w:rPr>
        <w:t>提升热线服务质效，坚持“靶向施策、分类推进”，精准研判精确施策解民忧。全面推进全国金牌劳动调解组织建设，以“群众有理”“工作有失”“问题有解”的心态推动案件办结。强化残联综合阵地建设，不断完善残疾人家园功能，开展更多助残惠残服务。探索社会化拥军新模式，持续延伸拓展社会化拥军试点工作巩固军政军民团结良好局面。推进养老服务联合体建设，丰富服务供给，提升养老服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kern w:val="0"/>
          <w:sz w:val="32"/>
          <w:szCs w:val="32"/>
          <w:shd w:val="clear" w:color="auto" w:fill="FFFFFF"/>
        </w:rPr>
        <w:t>五</w:t>
      </w:r>
      <w:r>
        <w:rPr>
          <w:rFonts w:hint="eastAsia" w:ascii="黑体" w:hAnsi="黑体" w:eastAsia="黑体" w:cs="黑体"/>
          <w:color w:val="auto"/>
          <w:sz w:val="32"/>
          <w:szCs w:val="32"/>
        </w:rPr>
        <w:t>、其他需要报告的情况。</w:t>
      </w:r>
    </w:p>
    <w:p>
      <w:pPr>
        <w:pStyle w:val="3"/>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p>
    <w:sectPr>
      <w:footerReference r:id="rId3" w:type="default"/>
      <w:pgSz w:w="11906" w:h="16838"/>
      <w:pgMar w:top="2098" w:right="141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05883"/>
    <w:multiLevelType w:val="singleLevel"/>
    <w:tmpl w:val="622058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NWE4YzdkMTY1ZWVhYzM5MzJlM2Y2ZGQxMDgyZjgifQ=="/>
  </w:docVars>
  <w:rsids>
    <w:rsidRoot w:val="00D12A8D"/>
    <w:rsid w:val="00040A38"/>
    <w:rsid w:val="00060071"/>
    <w:rsid w:val="00091304"/>
    <w:rsid w:val="001D078E"/>
    <w:rsid w:val="002861C8"/>
    <w:rsid w:val="00287A02"/>
    <w:rsid w:val="002A3465"/>
    <w:rsid w:val="003300C3"/>
    <w:rsid w:val="00337F49"/>
    <w:rsid w:val="003B117E"/>
    <w:rsid w:val="003F0F24"/>
    <w:rsid w:val="00462699"/>
    <w:rsid w:val="005D7902"/>
    <w:rsid w:val="00607727"/>
    <w:rsid w:val="006314FE"/>
    <w:rsid w:val="006F1DC0"/>
    <w:rsid w:val="00724981"/>
    <w:rsid w:val="00725D97"/>
    <w:rsid w:val="007B3802"/>
    <w:rsid w:val="00847C54"/>
    <w:rsid w:val="00905C4F"/>
    <w:rsid w:val="00956AA8"/>
    <w:rsid w:val="009D5521"/>
    <w:rsid w:val="009E131B"/>
    <w:rsid w:val="009F1763"/>
    <w:rsid w:val="00A2717F"/>
    <w:rsid w:val="00A926D3"/>
    <w:rsid w:val="00C228B4"/>
    <w:rsid w:val="00C24635"/>
    <w:rsid w:val="00C72914"/>
    <w:rsid w:val="00C80E90"/>
    <w:rsid w:val="00C92505"/>
    <w:rsid w:val="00CE471D"/>
    <w:rsid w:val="00D12A8D"/>
    <w:rsid w:val="00DA6A8C"/>
    <w:rsid w:val="00DF5B1B"/>
    <w:rsid w:val="00EB0B58"/>
    <w:rsid w:val="00F14832"/>
    <w:rsid w:val="00F15175"/>
    <w:rsid w:val="00F340EA"/>
    <w:rsid w:val="00F476CA"/>
    <w:rsid w:val="00FA7C29"/>
    <w:rsid w:val="00FC0928"/>
    <w:rsid w:val="02F90867"/>
    <w:rsid w:val="05051127"/>
    <w:rsid w:val="05524B72"/>
    <w:rsid w:val="07447FA4"/>
    <w:rsid w:val="082D75EC"/>
    <w:rsid w:val="08AA3A37"/>
    <w:rsid w:val="0DF554EE"/>
    <w:rsid w:val="0EB2374E"/>
    <w:rsid w:val="107B66AF"/>
    <w:rsid w:val="1131387E"/>
    <w:rsid w:val="165A2612"/>
    <w:rsid w:val="1BCF6506"/>
    <w:rsid w:val="20962864"/>
    <w:rsid w:val="21030EE4"/>
    <w:rsid w:val="21BE5065"/>
    <w:rsid w:val="24EF6A1F"/>
    <w:rsid w:val="26DB3755"/>
    <w:rsid w:val="2C522FCB"/>
    <w:rsid w:val="303A6E9F"/>
    <w:rsid w:val="392E425F"/>
    <w:rsid w:val="39346C75"/>
    <w:rsid w:val="39AE5359"/>
    <w:rsid w:val="39B400FB"/>
    <w:rsid w:val="418B1001"/>
    <w:rsid w:val="430B3014"/>
    <w:rsid w:val="47B6066E"/>
    <w:rsid w:val="492B74B3"/>
    <w:rsid w:val="4BB14869"/>
    <w:rsid w:val="4CE14043"/>
    <w:rsid w:val="4D772FEA"/>
    <w:rsid w:val="517A4FC0"/>
    <w:rsid w:val="53994B4A"/>
    <w:rsid w:val="54BA0C94"/>
    <w:rsid w:val="5ED57688"/>
    <w:rsid w:val="606768FB"/>
    <w:rsid w:val="631A1356"/>
    <w:rsid w:val="66D918D3"/>
    <w:rsid w:val="68AA1256"/>
    <w:rsid w:val="699159A5"/>
    <w:rsid w:val="69E07C98"/>
    <w:rsid w:val="70EC3C32"/>
    <w:rsid w:val="70F06C96"/>
    <w:rsid w:val="754B6E9D"/>
    <w:rsid w:val="793679DD"/>
    <w:rsid w:val="795609ED"/>
    <w:rsid w:val="7EA67BD8"/>
    <w:rsid w:val="7FE52A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keepNext w:val="0"/>
      <w:keepLines w:val="0"/>
      <w:widowControl w:val="0"/>
      <w:suppressLineNumbers w:val="0"/>
      <w:spacing w:before="0" w:beforeAutospacing="0" w:after="0" w:afterAutospacing="0"/>
      <w:ind w:left="0" w:right="0" w:firstLine="883" w:firstLineChars="200"/>
      <w:jc w:val="both"/>
      <w:outlineLvl w:val="0"/>
    </w:pPr>
    <w:rPr>
      <w:rFonts w:hint="default" w:ascii="Cambria" w:hAnsi="Cambria" w:eastAsia="仿宋_GB2312" w:cs="仿宋_GB2312"/>
      <w:b/>
      <w:kern w:val="2"/>
      <w:sz w:val="32"/>
      <w:szCs w:val="32"/>
      <w:lang w:val="en-US" w:eastAsia="zh-CN" w:bidi="ar"/>
    </w:rPr>
  </w:style>
  <w:style w:type="paragraph" w:styleId="3">
    <w:name w:val="Plain Text"/>
    <w:basedOn w:val="1"/>
    <w:next w:val="1"/>
    <w:qFormat/>
    <w:uiPriority w:val="0"/>
    <w:rPr>
      <w:rFonts w:ascii="宋体" w:hAnsi="Courier New"/>
    </w:r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Times New Roman"/>
      <w:kern w:val="0"/>
      <w:sz w:val="24"/>
    </w:r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99"/>
    <w:rPr>
      <w:kern w:val="2"/>
      <w:sz w:val="18"/>
      <w:szCs w:val="18"/>
    </w:rPr>
  </w:style>
  <w:style w:type="character" w:customStyle="1" w:styleId="12">
    <w:name w:val="批注框文本 Char"/>
    <w:basedOn w:val="9"/>
    <w:link w:val="4"/>
    <w:qFormat/>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565</Words>
  <Characters>3224</Characters>
  <Lines>26</Lines>
  <Paragraphs>7</Paragraphs>
  <TotalTime>24</TotalTime>
  <ScaleCrop>false</ScaleCrop>
  <LinksUpToDate>false</LinksUpToDate>
  <CharactersWithSpaces>3782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2022-12-27T05:59:00Z</dcterms:created>
  <dc:creator>Furuijun</dc:creator>
  <cp:lastModifiedBy>1408</cp:lastModifiedBy>
  <cp:lastPrinted>2023-12-15T02:24:00Z</cp:lastPrinted>
  <dcterms:modified xsi:type="dcterms:W3CDTF">2023-12-15T09:38:02Z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FFD85234F82740EE8C6021A9209C2A84</vt:lpwstr>
  </property>
</Properties>
</file>