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ascii="方正小标宋简体" w:hAnsi="方正小标宋简体" w:eastAsia="方正小标宋简体" w:cs="方正小标宋简体"/>
          <w:i w:val="0"/>
          <w:iCs w:val="0"/>
          <w:caps w:val="0"/>
          <w:color w:val="000000"/>
          <w:spacing w:val="0"/>
          <w:sz w:val="36"/>
          <w:szCs w:val="36"/>
        </w:rPr>
        <w:t>行政职权运行通用责任清单</w:t>
      </w:r>
      <w:bookmarkStart w:id="0" w:name="_GoBack"/>
      <w:bookmarkEnd w:id="0"/>
    </w:p>
    <w:p/>
    <w:tbl>
      <w:tblPr>
        <w:tblStyle w:val="3"/>
        <w:tblW w:w="10500" w:type="dxa"/>
        <w:tblInd w:w="-96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639"/>
        <w:gridCol w:w="1625"/>
        <w:gridCol w:w="353"/>
        <w:gridCol w:w="78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10500" w:type="dxa"/>
            <w:gridSpan w:val="4"/>
            <w:tcBorders>
              <w:top w:val="single" w:color="auto" w:sz="6" w:space="0"/>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黑体" w:hAnsi="宋体" w:eastAsia="黑体" w:cs="黑体"/>
                <w:i w:val="0"/>
                <w:iCs w:val="0"/>
                <w:caps w:val="0"/>
                <w:color w:val="000000"/>
                <w:spacing w:val="0"/>
                <w:sz w:val="27"/>
                <w:szCs w:val="27"/>
              </w:rPr>
              <w:t>一、行政许可类行政职权运行通用责任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序号</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运行环节</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ascii="仿宋_GB2312" w:hAnsi="sans-serif" w:eastAsia="仿宋_GB2312" w:cs="仿宋_GB2312"/>
                <w:i w:val="0"/>
                <w:iCs w:val="0"/>
                <w:caps w:val="0"/>
                <w:color w:val="000000"/>
                <w:spacing w:val="0"/>
                <w:sz w:val="24"/>
                <w:szCs w:val="24"/>
              </w:rPr>
              <w:t>1</w:t>
            </w:r>
          </w:p>
        </w:tc>
        <w:tc>
          <w:tcPr>
            <w:tcW w:w="1978" w:type="dxa"/>
            <w:gridSpan w:val="2"/>
            <w:vMerge w:val="restart"/>
            <w:tcBorders>
              <w:top w:val="nil"/>
              <w:left w:val="nil"/>
              <w:bottom w:val="nil"/>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（一）受理</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接收申请人提交的材料。若申请人提交的申请材料不齐全、不符合法定形式，应当一次性告知申请人必须补正的全部内容。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2</w:t>
            </w:r>
          </w:p>
        </w:tc>
        <w:tc>
          <w:tcPr>
            <w:tcW w:w="1978" w:type="dxa"/>
            <w:gridSpan w:val="2"/>
            <w:vMerge w:val="continue"/>
            <w:tcBorders>
              <w:top w:val="nil"/>
              <w:left w:val="nil"/>
              <w:bottom w:val="nil"/>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受理或者不予受理行政许可申请，应当出具加盖行政机关专用印章和注明日期的书面凭证。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8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3</w:t>
            </w:r>
          </w:p>
        </w:tc>
        <w:tc>
          <w:tcPr>
            <w:tcW w:w="1978" w:type="dxa"/>
            <w:gridSpan w:val="2"/>
            <w:vMerge w:val="continue"/>
            <w:tcBorders>
              <w:top w:val="nil"/>
              <w:left w:val="nil"/>
              <w:bottom w:val="nil"/>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依法说明不受理行政许可申请或者不予行政许可的理由。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4</w:t>
            </w:r>
          </w:p>
        </w:tc>
        <w:tc>
          <w:tcPr>
            <w:tcW w:w="1978" w:type="dxa"/>
            <w:gridSpan w:val="2"/>
            <w:vMerge w:val="restart"/>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（二）审查</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申请人提交的申请材料齐全、符合法定形式，能够当场作出决定的，当场作出书面的行政许可决定。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5</w:t>
            </w:r>
          </w:p>
        </w:tc>
        <w:tc>
          <w:tcPr>
            <w:tcW w:w="1978" w:type="dxa"/>
            <w:gridSpan w:val="2"/>
            <w:vMerge w:val="continue"/>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根据法定条件和程序，需要对申请材料的实质内容进行核实的，行政机关应当指派2名以上工作人员进行核查。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6</w:t>
            </w:r>
          </w:p>
        </w:tc>
        <w:tc>
          <w:tcPr>
            <w:tcW w:w="1978" w:type="dxa"/>
            <w:gridSpan w:val="2"/>
            <w:vMerge w:val="continue"/>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需依法举行听证的应当依法举行听证。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7</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（三）决定</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对符合法定条件的申请人应当在法定职权范围和期限内尽快作出准予行政许可的决定。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8</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依法根据招标、拍卖结果或者考试成绩择优作出准予行政许可的决定。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9</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依法作出不予行政许可的书面决定的，应当说明理由，并告知申请人享有依法申请行政复议或者提起行政诉讼的权利。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10</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按法定项目和标准予以收费。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11</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default" w:ascii="sans-serif" w:hAnsi="sans-serif" w:eastAsia="sans-serif" w:cs="sans-serif"/>
                <w:i w:val="0"/>
                <w:iCs w:val="0"/>
                <w:caps w:val="0"/>
                <w:color w:val="000000"/>
                <w:spacing w:val="0"/>
                <w:sz w:val="24"/>
                <w:szCs w:val="24"/>
              </w:rPr>
              <w:t>    </w:t>
            </w:r>
            <w:r>
              <w:rPr>
                <w:rFonts w:hint="eastAsia" w:ascii="仿宋_GB2312" w:hAnsi="sans-serif" w:eastAsia="仿宋_GB2312" w:cs="仿宋_GB2312"/>
                <w:i w:val="0"/>
                <w:iCs w:val="0"/>
                <w:caps w:val="0"/>
                <w:color w:val="000000"/>
                <w:spacing w:val="0"/>
                <w:sz w:val="24"/>
                <w:szCs w:val="24"/>
              </w:rPr>
              <w:t>作出的准予行政许可决定，应当予以公开，公众有权查阅。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12</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（四）送达</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送达行政执法文书应当有送达回证，受送达人在送达回证上的签收日期为送达日期。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13</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送达程序参照民事诉讼法有关规定执行。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14</w:t>
            </w:r>
          </w:p>
        </w:tc>
        <w:tc>
          <w:tcPr>
            <w:tcW w:w="1978" w:type="dxa"/>
            <w:gridSpan w:val="2"/>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（五）事后监管</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建立健全监督制度，通过核查反映被许可人从事行政许可事项活动情况的有关材料，履行监督责任。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15</w:t>
            </w:r>
          </w:p>
        </w:tc>
        <w:tc>
          <w:tcPr>
            <w:tcW w:w="1978" w:type="dxa"/>
            <w:gridSpan w:val="2"/>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建立随机抽查制度，对被许可人生产经营的产品依法进行抽样检查、检验、检测，对其生产经营场所依法进行实地检查。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16</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根据法律、行政法规的规定，对直接关系公共安全、人身健康、生命财产安全的重要设备、设施进行定期检验。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17</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实施监督检查时，应当将监督检查的情况和处理结果予以记录，由监督检查人员签字后归档。公众有权查阅监督检查记录。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18</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实施监督检查，不得妨碍被许可人正常的生产经营活动，不得索取或收受被许可人的财物，不得谋取其他利益。</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10500" w:type="dxa"/>
            <w:gridSpan w:val="4"/>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rPr>
              <w:t>二、行政处罚类行政职权运行通用责任清单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序号</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运行环节</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（一）立案</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对符合立案条件的案件及时立案。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2</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（二）调查</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出示执法身份证件，表明执法身份。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3</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应当有2名以上（含2名）行政执法人员共同参加调查取证。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4</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依法调查和保存证据。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9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5</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适用简易程序的，当场制作行政处罚决定书并当场交付，在事后难以执行及特殊情况下应当当场收缴罚款。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6</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适用简易程序的，执法人员当场作出的行政处罚决定应当报所属行政机关备案。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7</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（三）审查</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审理案件调查报告，对案件违法事实、证据、调查取证程序、法律适用、处罚种类和幅度、当事人陈述和申辩理由等方面进行审查，提出处理意见（主要证据不足时，以适当的方式补充调查）。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8</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构成犯罪的，移送司法机关依法追究刑事责任。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9</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（四）告知</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在作出行政处罚前，应告知当事人作出行政处罚决定的事实、理由及依据，并告知当事人依法享有的权利。</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10</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依法告知当事人有举行听证的权利，当事人要求听证的，应当依法组织听证。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11</w:t>
            </w:r>
          </w:p>
        </w:tc>
        <w:tc>
          <w:tcPr>
            <w:tcW w:w="1978" w:type="dxa"/>
            <w:gridSpan w:val="2"/>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（五）决定</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充分听取当事人的意见，对当事人提出的事实、理由和证据，应当进行复核；当事人提出的事实、理由或者证据成立的，应当采纳，不得因当事人申辩而加重处罚。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12</w:t>
            </w:r>
          </w:p>
        </w:tc>
        <w:tc>
          <w:tcPr>
            <w:tcW w:w="1978" w:type="dxa"/>
            <w:gridSpan w:val="2"/>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对情节复杂或者重大违法行为给予较重的行政处罚，应当集体讨论决定。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13</w:t>
            </w:r>
          </w:p>
        </w:tc>
        <w:tc>
          <w:tcPr>
            <w:tcW w:w="1978" w:type="dxa"/>
            <w:gridSpan w:val="2"/>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依法决定给予行政处罚，制作行政处罚决定书，并在处罚决定书中告知对处罚决定不服的可以依法申请行政复议或者提起行政诉讼。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14</w:t>
            </w:r>
          </w:p>
        </w:tc>
        <w:tc>
          <w:tcPr>
            <w:tcW w:w="1978" w:type="dxa"/>
            <w:gridSpan w:val="2"/>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对当事人的同一个违法行为，不得给予两次以上罚款的行政处罚。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15</w:t>
            </w:r>
          </w:p>
        </w:tc>
        <w:tc>
          <w:tcPr>
            <w:tcW w:w="1978" w:type="dxa"/>
            <w:gridSpan w:val="2"/>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实施行政处罚时，应当责令当事人改正或者限期改正违法行为。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16</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（六）送达</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行政处罚决定书应当在宣告后当场交付当事人；当事人不在场的，行政机关应当在7日内依照民事诉讼法的有关规定，将行政处罚决定书送达当事人。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17</w:t>
            </w:r>
          </w:p>
        </w:tc>
        <w:tc>
          <w:tcPr>
            <w:tcW w:w="1978" w:type="dxa"/>
            <w:gridSpan w:val="2"/>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（七）执行</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使用法定部门制发的罚款、没收财物单据进行罚款、没收财物等处罚。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18</w:t>
            </w:r>
          </w:p>
        </w:tc>
        <w:tc>
          <w:tcPr>
            <w:tcW w:w="1978" w:type="dxa"/>
            <w:gridSpan w:val="2"/>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对当事人的同一个违法行为，不得给予两次以上罚款的行政处罚。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19</w:t>
            </w:r>
          </w:p>
        </w:tc>
        <w:tc>
          <w:tcPr>
            <w:tcW w:w="1978" w:type="dxa"/>
            <w:gridSpan w:val="2"/>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实施行政处罚时，应当责令当事人改正或者限期改正违法行为。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10500" w:type="dxa"/>
            <w:gridSpan w:val="4"/>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rPr>
              <w:t>三、行政确认类行政职权运行通用责任清单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序号</w:t>
            </w:r>
          </w:p>
        </w:tc>
        <w:tc>
          <w:tcPr>
            <w:tcW w:w="16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运行环节</w:t>
            </w:r>
          </w:p>
        </w:tc>
        <w:tc>
          <w:tcPr>
            <w:tcW w:w="823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w:t>
            </w:r>
          </w:p>
        </w:tc>
        <w:tc>
          <w:tcPr>
            <w:tcW w:w="1625" w:type="dxa"/>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（一）受理</w:t>
            </w:r>
          </w:p>
        </w:tc>
        <w:tc>
          <w:tcPr>
            <w:tcW w:w="823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对符合确认条件的，当场受理。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2</w:t>
            </w:r>
          </w:p>
        </w:tc>
        <w:tc>
          <w:tcPr>
            <w:tcW w:w="1625" w:type="dxa"/>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823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申请材料不齐全或者不符合法定形式的，应当一次性告知申请人需要补正的全部内容和合理的补正期限。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3</w:t>
            </w:r>
          </w:p>
        </w:tc>
        <w:tc>
          <w:tcPr>
            <w:tcW w:w="1625" w:type="dxa"/>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823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对不符合受理条件的，应当书面告知办理人不予办理行政确认的理由和依据。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4</w:t>
            </w:r>
          </w:p>
        </w:tc>
        <w:tc>
          <w:tcPr>
            <w:tcW w:w="1625" w:type="dxa"/>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（二）确认</w:t>
            </w:r>
          </w:p>
        </w:tc>
        <w:tc>
          <w:tcPr>
            <w:tcW w:w="823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在法定期限（承诺期限）内完成确认。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5</w:t>
            </w:r>
          </w:p>
        </w:tc>
        <w:tc>
          <w:tcPr>
            <w:tcW w:w="1625" w:type="dxa"/>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823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严格按照流程图规定进行研究确认，不得提高确认标准、扩大确认范围等。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6</w:t>
            </w:r>
          </w:p>
        </w:tc>
        <w:tc>
          <w:tcPr>
            <w:tcW w:w="1625" w:type="dxa"/>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823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按照一定的技术规范要求以书面形式作出决定，并发放确认文书。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7</w:t>
            </w:r>
          </w:p>
        </w:tc>
        <w:tc>
          <w:tcPr>
            <w:tcW w:w="1625" w:type="dxa"/>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823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不符合确认要求的不予确认，并说明理由。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8</w:t>
            </w:r>
          </w:p>
        </w:tc>
        <w:tc>
          <w:tcPr>
            <w:tcW w:w="16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（三）送达</w:t>
            </w:r>
          </w:p>
        </w:tc>
        <w:tc>
          <w:tcPr>
            <w:tcW w:w="823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送达程序参照民事诉讼法有关规定执行。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9</w:t>
            </w:r>
          </w:p>
        </w:tc>
        <w:tc>
          <w:tcPr>
            <w:tcW w:w="16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（四）事后监管</w:t>
            </w:r>
          </w:p>
        </w:tc>
        <w:tc>
          <w:tcPr>
            <w:tcW w:w="8236"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建立健全事后监管制度，依法履行监督责任。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rPr>
        <w:tc>
          <w:tcPr>
            <w:tcW w:w="10500" w:type="dxa"/>
            <w:gridSpan w:val="4"/>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rPr>
              <w:t>四、行政强制类（行政强制措施）行政职权运行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default" w:ascii="sans-serif" w:hAnsi="sans-serif" w:eastAsia="sans-serif" w:cs="sans-serif"/>
                <w:i w:val="0"/>
                <w:iCs w:val="0"/>
                <w:caps w:val="0"/>
                <w:color w:val="000000"/>
                <w:spacing w:val="0"/>
                <w:sz w:val="27"/>
                <w:szCs w:val="27"/>
              </w:rPr>
              <w:t>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序号</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运行环节</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（一）决定</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实施前应当先报告，经批准后作出实施行政强制措施的决定。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2</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批准实施行政强制措施应当符合法定条件。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3</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（二）执行</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由2名以上具备资格的行政执法人员实施，其他人员不得实施。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4</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行政执法人员应当现场出示执法身份证件。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0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5</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实施行政强制措施时应当通知当事人到场，并告知当事人采取行政强制措施的理由、依据以及当事人依法享有的权利、救济途径。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6</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充分听取当事人的意见，对当事人提出的事实、理由和证据，应当进行复核，当事人提出的事实、理由或者证据成立的，应当采纳。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411"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7</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制作现场笔录，现场笔录由当事人和行政执法人员签名或者盖章，当事人拒绝的，在笔录中予以注明。当事人不到场的，邀请见证人到场，由见证人和行政执法人员在现场笔录上签名或者盖章。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8</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实施限制公民人身自由的行政强制措施，应当场告知或者实施行政强制措施后立即通知当事人家属实施行政强制措施的行政机关、地点和期限。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9</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对依法应当没收或法律、行政法规规定应当销毁的，应当依法予以没收或销毁。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10</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情况紧急，需要当场实施行政强制措施的，行政执法人员应当在24小时内向行政机关负责人报告，并补办批准手续。</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11</w:t>
            </w:r>
          </w:p>
        </w:tc>
        <w:tc>
          <w:tcPr>
            <w:tcW w:w="1978" w:type="dxa"/>
            <w:gridSpan w:val="2"/>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（三）解除</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对符合解除行政强制措施条件的，应当依法解除行政强制措施。</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12</w:t>
            </w:r>
          </w:p>
        </w:tc>
        <w:tc>
          <w:tcPr>
            <w:tcW w:w="1978" w:type="dxa"/>
            <w:gridSpan w:val="2"/>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对构成犯罪的，依法、及时移送司法机关。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13</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（四）事后监管</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建立健全事后监管制度，依法履行监督责任。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60" w:hRule="atLeast"/>
        </w:trPr>
        <w:tc>
          <w:tcPr>
            <w:tcW w:w="10500" w:type="dxa"/>
            <w:gridSpan w:val="4"/>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rPr>
              <w:t>五、行政强制类（行政强制执行）行政职权运行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rPr>
              <w:t>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序号</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运行环节</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（一）催告</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行政机关作出强制执行决定前，应当事先书面催告当事人履行义务。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2</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催告书应当直接送达当事人。当事人拒绝接收或者无法直接送达当事人的，依照民事诉讼法的有关规定送达。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3</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催告期间，对有证据证明有转移或者隐匿财物迹象的，可以作出立即强制执行决定。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2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4</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（二）决定</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充分听取当事人的意见，对当事人提出的事实、理由和证据，应当进行记录、复核。当事人提出的事实、理由或者证据成立的，应当采纳。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5</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经催告，当事人逾期仍不履行行政决定，且无正当理由的，应当作出书面强制执行决定。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6</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行政强制执行决定书催告书应当直接送达当事人。当事人拒绝接收或者无法直接送达当事人的，依照民事诉讼法的有关规定送达。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8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7</w:t>
            </w:r>
          </w:p>
        </w:tc>
        <w:tc>
          <w:tcPr>
            <w:tcW w:w="1978" w:type="dxa"/>
            <w:gridSpan w:val="2"/>
            <w:vMerge w:val="restart"/>
            <w:tcBorders>
              <w:top w:val="nil"/>
              <w:left w:val="nil"/>
              <w:bottom w:val="nil"/>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（三）执行</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依法实施行政强制执行。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1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8</w:t>
            </w:r>
          </w:p>
        </w:tc>
        <w:tc>
          <w:tcPr>
            <w:tcW w:w="1978" w:type="dxa"/>
            <w:gridSpan w:val="2"/>
            <w:vMerge w:val="continue"/>
            <w:tcBorders>
              <w:top w:val="nil"/>
              <w:left w:val="nil"/>
              <w:bottom w:val="nil"/>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不得在夜间或者法定节假日实施行政强制执行，情况紧急的除外；不得对居民生活采取停止供水、供电、供热、供燃气等方式迫使当事人履行相关行政决定。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9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9</w:t>
            </w:r>
          </w:p>
        </w:tc>
        <w:tc>
          <w:tcPr>
            <w:tcW w:w="1978" w:type="dxa"/>
            <w:gridSpan w:val="2"/>
            <w:vMerge w:val="continue"/>
            <w:tcBorders>
              <w:top w:val="nil"/>
              <w:left w:val="nil"/>
              <w:bottom w:val="nil"/>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对违法的建筑物、构筑物、设施等需要强制拆除的，应当予以公告，限期当事人自行拆除。当事人在法定期限内不申请行政复议或者提起行政诉讼，又不拆除的，可依法强制拆除。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8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10</w:t>
            </w:r>
          </w:p>
        </w:tc>
        <w:tc>
          <w:tcPr>
            <w:tcW w:w="1978" w:type="dxa"/>
            <w:gridSpan w:val="2"/>
            <w:vMerge w:val="continue"/>
            <w:tcBorders>
              <w:top w:val="nil"/>
              <w:left w:val="nil"/>
              <w:bottom w:val="nil"/>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划拨的存款、汇款以及拍卖和依法处理所得的款项应当上缴国库或者划入财政专户，不得以任何形式截留、私分或者变相私分。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11</w:t>
            </w:r>
          </w:p>
        </w:tc>
        <w:tc>
          <w:tcPr>
            <w:tcW w:w="1978" w:type="dxa"/>
            <w:gridSpan w:val="2"/>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（四）事后监管</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建立健全事后监管制度，依法履行监督责任。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10500" w:type="dxa"/>
            <w:gridSpan w:val="4"/>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rPr>
              <w:t>六、行政征收类（税费类）行政职权运行通用责任清单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序号</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运行环节</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（一）受理</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一次性告知申报人需提交的申报材料及办理流程。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2</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（二）</w:t>
            </w:r>
            <w:r>
              <w:rPr>
                <w:rStyle w:val="5"/>
                <w:rFonts w:hint="eastAsia" w:ascii="仿宋_GB2312" w:hAnsi="sans-serif" w:eastAsia="仿宋_GB2312" w:cs="仿宋_GB2312"/>
                <w:i w:val="0"/>
                <w:iCs w:val="0"/>
                <w:caps w:val="0"/>
                <w:color w:val="000000"/>
                <w:spacing w:val="0"/>
                <w:sz w:val="24"/>
                <w:szCs w:val="24"/>
              </w:rPr>
              <w:t>审核</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对申报材料依法及时进行审核。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3</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（三）决定</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依法出具纳税或缴费凭证。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4</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当事人缴纳超过应缴纳的税费，应当退还。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5</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不得截留、私分或擅自开支征收款。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4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6</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（四）事后监管</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开展检查，及时稽查，加强日常监管。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10500" w:type="dxa"/>
            <w:gridSpan w:val="4"/>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rPr>
              <w:t>七、行政征收类（实物类）行政职权运行通用责任清单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序号</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运行环节</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（一）制定方案</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拟定征收补偿方案。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2</w:t>
            </w:r>
          </w:p>
        </w:tc>
        <w:tc>
          <w:tcPr>
            <w:tcW w:w="1978" w:type="dxa"/>
            <w:gridSpan w:val="2"/>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（二）决定</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应当在社会稳定风险评估基础上作出征收决定。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3</w:t>
            </w:r>
          </w:p>
        </w:tc>
        <w:tc>
          <w:tcPr>
            <w:tcW w:w="1978" w:type="dxa"/>
            <w:gridSpan w:val="2"/>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应当及时公告征收决定。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4</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（三）实施</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依据征收决定进行征收。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7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5</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nil"/>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根据补偿安置方案进行补偿、安置。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6</w:t>
            </w:r>
          </w:p>
        </w:tc>
        <w:tc>
          <w:tcPr>
            <w:tcW w:w="1978" w:type="dxa"/>
            <w:gridSpan w:val="2"/>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（四）事后监管</w:t>
            </w:r>
          </w:p>
        </w:tc>
        <w:tc>
          <w:tcPr>
            <w:tcW w:w="7883" w:type="dxa"/>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应当依法建立征收补偿档案。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7</w:t>
            </w:r>
          </w:p>
        </w:tc>
        <w:tc>
          <w:tcPr>
            <w:tcW w:w="1978" w:type="dxa"/>
            <w:gridSpan w:val="2"/>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对征收补偿费用管理和使用情况进行监督。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10500" w:type="dxa"/>
            <w:gridSpan w:val="4"/>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rPr>
              <w:t>八、行政裁决类行政职权运行通用责任清单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3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序号</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运行环节</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w:t>
            </w:r>
          </w:p>
        </w:tc>
        <w:tc>
          <w:tcPr>
            <w:tcW w:w="1978" w:type="dxa"/>
            <w:gridSpan w:val="2"/>
            <w:vMerge w:val="restart"/>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（一）受理</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对符合受理条件的，应当制作受理通知书，并送达申请人。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3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2</w:t>
            </w:r>
          </w:p>
        </w:tc>
        <w:tc>
          <w:tcPr>
            <w:tcW w:w="1978" w:type="dxa"/>
            <w:gridSpan w:val="2"/>
            <w:vMerge w:val="continue"/>
            <w:tcBorders>
              <w:top w:val="nil"/>
              <w:left w:val="nil"/>
              <w:bottom w:val="single" w:color="auto"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申请材料不齐全或者不符合法定形式的，应当一次性告知申请人需要补正的全部内容和合理的补正期限。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8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3</w:t>
            </w:r>
          </w:p>
        </w:tc>
        <w:tc>
          <w:tcPr>
            <w:tcW w:w="1978" w:type="dxa"/>
            <w:gridSpan w:val="2"/>
            <w:tcBorders>
              <w:top w:val="nil"/>
              <w:left w:val="nil"/>
              <w:bottom w:val="single" w:color="000000" w:sz="6" w:space="0"/>
              <w:right w:val="single" w:color="auto" w:sz="6" w:space="0"/>
            </w:tcBorders>
            <w:shd w:val="clear" w:color="auto" w:fill="auto"/>
            <w:tcMar>
              <w:left w:w="105" w:type="dxa"/>
              <w:right w:w="105"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对不符合受理条件的，应当书面告知申请人不予受理的理由和依据。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4</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（二）审理</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在法定期限内进行审理。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5</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通知争议申请人及对方当事人，并要求对方当事人在规定的期限内提交相关材料。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1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6</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对争议的事实、证据材料进行审查，针对疑问情况或经当事人请求，举行公开听证，由当事人双方当面陈述案情，进行辩论、举证、质证，以查明案情。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7</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审理时对确有必要的应当进行实地调查。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8</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（三）裁决</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根据事实和法律、法规作出裁决，制作并向双方当事人送达裁决书。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5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9</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（四）执行</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裁决生效后，争议当事人应当自觉履行。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60" w:hRule="atLeast"/>
        </w:trPr>
        <w:tc>
          <w:tcPr>
            <w:tcW w:w="10500" w:type="dxa"/>
            <w:gridSpan w:val="4"/>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rPr>
              <w:t>九、行政给付行政职权运行通用责任清单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序号</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运行环节</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0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w:t>
            </w:r>
          </w:p>
        </w:tc>
        <w:tc>
          <w:tcPr>
            <w:tcW w:w="1978" w:type="dxa"/>
            <w:gridSpan w:val="2"/>
            <w:vMerge w:val="restart"/>
            <w:tcBorders>
              <w:top w:val="nil"/>
              <w:left w:val="nil"/>
              <w:bottom w:val="nil"/>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（一）受理</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对符合受理条件的，应当受理，并制作受理通知书；对不符合受理条件的不予受理，并书面告知申请人不予受理的理由和依据。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2</w:t>
            </w:r>
          </w:p>
        </w:tc>
        <w:tc>
          <w:tcPr>
            <w:tcW w:w="1978" w:type="dxa"/>
            <w:gridSpan w:val="2"/>
            <w:vMerge w:val="continue"/>
            <w:tcBorders>
              <w:top w:val="nil"/>
              <w:left w:val="nil"/>
              <w:bottom w:val="nil"/>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申请材料不齐全或者不符合法定形式的，应当一次性告知申请人需要补正的全部内容和合理的补正期限。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3</w:t>
            </w:r>
          </w:p>
        </w:tc>
        <w:tc>
          <w:tcPr>
            <w:tcW w:w="1978" w:type="dxa"/>
            <w:gridSpan w:val="2"/>
            <w:tcBorders>
              <w:top w:val="single" w:color="auto" w:sz="6" w:space="0"/>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（二）审查</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在法定期限（承诺期限）内完成审查。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81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4</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（三）决定</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对于符合条件的，作出给于给付的决定，明确给付标准以及后续办事事宜，并通知申请人前来领取。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5</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对不符合给付条件的，书面告知申请人不予给付的理由和依据。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6</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（四）给付</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按照规定标准予以给付。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4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7</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（五）事后监管</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开展检查，加强日常监管。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10500" w:type="dxa"/>
            <w:gridSpan w:val="4"/>
            <w:tcBorders>
              <w:top w:val="nil"/>
              <w:left w:val="single" w:color="auto" w:sz="6" w:space="0"/>
              <w:bottom w:val="single" w:color="auto" w:sz="6" w:space="0"/>
              <w:right w:val="nil"/>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rPr>
              <w:t>十、行政奖励类行政职权运行通用责任清单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序号</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运行环节</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（一）制定方案</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依法科学制定奖励方案，明确奖励条件、程序等内容。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2</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（二）审核公示</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对符合条件的推荐对象进行审核审定，并进行公示。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3</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依法、及时调查核实举报投诉涉及问题。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4</w:t>
            </w:r>
          </w:p>
        </w:tc>
        <w:tc>
          <w:tcPr>
            <w:tcW w:w="1978" w:type="dxa"/>
            <w:gridSpan w:val="2"/>
            <w:vMerge w:val="restart"/>
            <w:tcBorders>
              <w:top w:val="nil"/>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（三）实施奖励</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依法、及时按程序报批决定奖励的等级和金额。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5</w:t>
            </w:r>
          </w:p>
        </w:tc>
        <w:tc>
          <w:tcPr>
            <w:tcW w:w="1978" w:type="dxa"/>
            <w:gridSpan w:val="2"/>
            <w:vMerge w:val="continue"/>
            <w:tcBorders>
              <w:top w:val="nil"/>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及时通知当事人领取奖励。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20" w:hRule="atLeast"/>
        </w:trPr>
        <w:tc>
          <w:tcPr>
            <w:tcW w:w="10500" w:type="dxa"/>
            <w:gridSpan w:val="4"/>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7"/>
                <w:szCs w:val="27"/>
              </w:rPr>
              <w:t>十一、行政检查类行政职权运行通用责任清单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0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序号</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运行环节</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黑体" w:hAnsi="宋体" w:eastAsia="黑体" w:cs="黑体"/>
                <w:i w:val="0"/>
                <w:iCs w:val="0"/>
                <w:caps w:val="0"/>
                <w:color w:val="000000"/>
                <w:spacing w:val="0"/>
                <w:sz w:val="24"/>
                <w:szCs w:val="24"/>
              </w:rPr>
              <w:t>责任事项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w:t>
            </w:r>
          </w:p>
        </w:tc>
        <w:tc>
          <w:tcPr>
            <w:tcW w:w="1978" w:type="dxa"/>
            <w:gridSpan w:val="2"/>
            <w:vMerge w:val="restart"/>
            <w:tcBorders>
              <w:top w:val="nil"/>
              <w:left w:val="nil"/>
              <w:bottom w:val="nil"/>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（一）制定方案</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实施检查前应当依法制定含有正当理由、事项和内容的检查方案。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2</w:t>
            </w:r>
          </w:p>
        </w:tc>
        <w:tc>
          <w:tcPr>
            <w:tcW w:w="1978" w:type="dxa"/>
            <w:gridSpan w:val="2"/>
            <w:vMerge w:val="continue"/>
            <w:tcBorders>
              <w:top w:val="nil"/>
              <w:left w:val="nil"/>
              <w:bottom w:val="nil"/>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同一行政机关的多个内设机构和下属机构对同一当事人不同事项的行政检查，能够合并检查的应当合并检查。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3</w:t>
            </w:r>
          </w:p>
        </w:tc>
        <w:tc>
          <w:tcPr>
            <w:tcW w:w="1978" w:type="dxa"/>
            <w:gridSpan w:val="2"/>
            <w:vMerge w:val="continue"/>
            <w:tcBorders>
              <w:top w:val="nil"/>
              <w:left w:val="nil"/>
              <w:bottom w:val="nil"/>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上下级行政机关应当按照级别管辖和地域管辖相结合的原则合理划分检查范围，避免重复检查。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3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4</w:t>
            </w:r>
          </w:p>
        </w:tc>
        <w:tc>
          <w:tcPr>
            <w:tcW w:w="1978" w:type="dxa"/>
            <w:gridSpan w:val="2"/>
            <w:vMerge w:val="restart"/>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（二）实施检查</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依照检查方案规定的时限、范围开展检查。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9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5</w:t>
            </w:r>
          </w:p>
        </w:tc>
        <w:tc>
          <w:tcPr>
            <w:tcW w:w="1978" w:type="dxa"/>
            <w:gridSpan w:val="2"/>
            <w:vMerge w:val="continue"/>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实施检查时应当出示执法身份证件、检查方案。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6</w:t>
            </w:r>
          </w:p>
        </w:tc>
        <w:tc>
          <w:tcPr>
            <w:tcW w:w="1978" w:type="dxa"/>
            <w:gridSpan w:val="2"/>
            <w:vMerge w:val="continue"/>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依法查阅资料、查看现场、听取当事人陈述申辩并取证。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6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7</w:t>
            </w:r>
          </w:p>
        </w:tc>
        <w:tc>
          <w:tcPr>
            <w:tcW w:w="1978" w:type="dxa"/>
            <w:gridSpan w:val="2"/>
            <w:vMerge w:val="continue"/>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实施检查应当不影响当事人的正常生产经营活动与生活。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5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8</w:t>
            </w:r>
          </w:p>
        </w:tc>
        <w:tc>
          <w:tcPr>
            <w:tcW w:w="1978" w:type="dxa"/>
            <w:gridSpan w:val="2"/>
            <w:vMerge w:val="continue"/>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依法告知当事人检查中发现的违法行为及处理意见，对不服处理意见的，可以依法申请行政复议或提起行政诉讼。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7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9</w:t>
            </w:r>
          </w:p>
        </w:tc>
        <w:tc>
          <w:tcPr>
            <w:tcW w:w="1978" w:type="dxa"/>
            <w:gridSpan w:val="2"/>
            <w:vMerge w:val="continue"/>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对检查中发现的违法行为应当予以制止和纠正。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10</w:t>
            </w:r>
          </w:p>
        </w:tc>
        <w:tc>
          <w:tcPr>
            <w:tcW w:w="1978" w:type="dxa"/>
            <w:gridSpan w:val="2"/>
            <w:vMerge w:val="continue"/>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实施行政检查中不得乱收费、乱罚款、乱摊派，严禁吃、拿、卡、要。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20"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11</w:t>
            </w:r>
          </w:p>
        </w:tc>
        <w:tc>
          <w:tcPr>
            <w:tcW w:w="1978" w:type="dxa"/>
            <w:gridSpan w:val="2"/>
            <w:vMerge w:val="continue"/>
            <w:tcBorders>
              <w:top w:val="single" w:color="auto" w:sz="6" w:space="0"/>
              <w:left w:val="nil"/>
              <w:bottom w:val="single" w:color="000000" w:sz="6" w:space="0"/>
              <w:right w:val="single" w:color="auto" w:sz="6" w:space="0"/>
            </w:tcBorders>
            <w:shd w:val="clear" w:color="auto" w:fill="auto"/>
            <w:tcMar>
              <w:left w:w="105" w:type="dxa"/>
              <w:right w:w="105" w:type="dxa"/>
            </w:tcMar>
            <w:vAlign w:val="center"/>
          </w:tcPr>
          <w:p>
            <w:pPr>
              <w:rPr>
                <w:rFonts w:hint="default" w:ascii="sans-serif" w:hAnsi="sans-serif" w:eastAsia="sans-serif" w:cs="sans-serif"/>
                <w:i w:val="0"/>
                <w:iCs w:val="0"/>
                <w:caps w:val="0"/>
                <w:color w:val="000000"/>
                <w:spacing w:val="0"/>
                <w:sz w:val="24"/>
                <w:szCs w:val="24"/>
              </w:rPr>
            </w:pP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不得放弃、推诿、拖延、拒绝履行检查职责。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5" w:hRule="atLeast"/>
        </w:trPr>
        <w:tc>
          <w:tcPr>
            <w:tcW w:w="639"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Fonts w:hint="eastAsia" w:ascii="仿宋_GB2312" w:hAnsi="sans-serif" w:eastAsia="仿宋_GB2312" w:cs="仿宋_GB2312"/>
                <w:i w:val="0"/>
                <w:iCs w:val="0"/>
                <w:caps w:val="0"/>
                <w:color w:val="000000"/>
                <w:spacing w:val="0"/>
                <w:sz w:val="24"/>
                <w:szCs w:val="24"/>
              </w:rPr>
              <w:t>12</w:t>
            </w:r>
          </w:p>
        </w:tc>
        <w:tc>
          <w:tcPr>
            <w:tcW w:w="1978" w:type="dxa"/>
            <w:gridSpan w:val="2"/>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pPr>
            <w:r>
              <w:rPr>
                <w:rStyle w:val="5"/>
                <w:rFonts w:hint="eastAsia" w:ascii="仿宋_GB2312" w:hAnsi="sans-serif" w:eastAsia="仿宋_GB2312" w:cs="仿宋_GB2312"/>
                <w:i w:val="0"/>
                <w:iCs w:val="0"/>
                <w:caps w:val="0"/>
                <w:color w:val="000000"/>
                <w:spacing w:val="0"/>
                <w:sz w:val="24"/>
                <w:szCs w:val="24"/>
              </w:rPr>
              <w:t>（三）事后监管</w:t>
            </w:r>
          </w:p>
        </w:tc>
        <w:tc>
          <w:tcPr>
            <w:tcW w:w="7883"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pPr>
            <w:r>
              <w:rPr>
                <w:rFonts w:hint="eastAsia" w:ascii="仿宋_GB2312" w:hAnsi="sans-serif" w:eastAsia="仿宋_GB2312" w:cs="仿宋_GB2312"/>
                <w:i w:val="0"/>
                <w:iCs w:val="0"/>
                <w:caps w:val="0"/>
                <w:color w:val="000000"/>
                <w:spacing w:val="0"/>
                <w:sz w:val="24"/>
                <w:szCs w:val="24"/>
              </w:rPr>
              <w:t>    对检查情况进行汇总、分类、归档备查，并跟踪监测。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639" w:type="dxa"/>
            <w:tcBorders>
              <w:top w:val="nil"/>
              <w:left w:val="nil"/>
              <w:bottom w:val="nil"/>
              <w:right w:val="nil"/>
            </w:tcBorders>
            <w:shd w:val="clear" w:color="auto" w:fill="auto"/>
            <w:tcMar>
              <w:top w:w="75" w:type="dxa"/>
              <w:left w:w="150" w:type="dxa"/>
              <w:bottom w:w="75" w:type="dxa"/>
              <w:right w:w="150"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1625" w:type="dxa"/>
            <w:tcBorders>
              <w:top w:val="nil"/>
              <w:left w:val="nil"/>
              <w:bottom w:val="nil"/>
              <w:right w:val="nil"/>
            </w:tcBorders>
            <w:shd w:val="clear" w:color="auto" w:fill="auto"/>
            <w:tcMar>
              <w:top w:w="75" w:type="dxa"/>
              <w:left w:w="150" w:type="dxa"/>
              <w:bottom w:w="75" w:type="dxa"/>
              <w:right w:w="150"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353" w:type="dxa"/>
            <w:tcBorders>
              <w:top w:val="nil"/>
              <w:left w:val="nil"/>
              <w:bottom w:val="nil"/>
              <w:right w:val="nil"/>
            </w:tcBorders>
            <w:shd w:val="clear" w:color="auto" w:fill="auto"/>
            <w:tcMar>
              <w:top w:w="75" w:type="dxa"/>
              <w:left w:w="150" w:type="dxa"/>
              <w:bottom w:w="75" w:type="dxa"/>
              <w:right w:w="150"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c>
          <w:tcPr>
            <w:tcW w:w="7883" w:type="dxa"/>
            <w:tcBorders>
              <w:top w:val="nil"/>
              <w:left w:val="nil"/>
              <w:bottom w:val="nil"/>
              <w:right w:val="nil"/>
            </w:tcBorders>
            <w:shd w:val="clear" w:color="auto" w:fill="auto"/>
            <w:tcMar>
              <w:top w:w="75" w:type="dxa"/>
              <w:left w:w="150" w:type="dxa"/>
              <w:bottom w:w="75" w:type="dxa"/>
              <w:right w:w="150" w:type="dxa"/>
            </w:tcMar>
            <w:vAlign w:val="center"/>
          </w:tcPr>
          <w:p>
            <w:pPr>
              <w:keepNext w:val="0"/>
              <w:keepLines w:val="0"/>
              <w:widowControl/>
              <w:suppressLineNumbers w:val="0"/>
              <w:jc w:val="left"/>
              <w:rPr>
                <w:rFonts w:hint="default" w:ascii="sans-serif" w:hAnsi="sans-serif" w:eastAsia="sans-serif" w:cs="sans-serif"/>
                <w:i w:val="0"/>
                <w:iCs w:val="0"/>
                <w:caps w:val="0"/>
                <w:color w:val="000000"/>
                <w:spacing w:val="0"/>
                <w:sz w:val="24"/>
                <w:szCs w:val="24"/>
              </w:rPr>
            </w:pPr>
          </w:p>
        </w:tc>
      </w:tr>
    </w:tbl>
    <w:p>
      <w:pPr>
        <w:keepNext w:val="0"/>
        <w:keepLines w:val="0"/>
        <w:widowControl/>
        <w:suppressLineNumbers w:val="0"/>
        <w:jc w:val="lef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Arial Unicode MS"/>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sans-serif">
    <w:altName w:val="Segoe Print"/>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E0B5EEB"/>
    <w:rsid w:val="1E0B5EEB"/>
    <w:rsid w:val="56F760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2021-07-07T04:02:00Z</dcterms:created>
  <dc:creator>炫    飛</dc:creator>
  <cp:lastModifiedBy>李博方</cp:lastModifiedBy>
  <dcterms:modified xsi:type="dcterms:W3CDTF">2023-12-20T07:28:32Z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y fmtid="{D5CDD505-2E9C-101B-9397-08002B2CF9AE}" pid="3" name="ICV">
    <vt:lpwstr>92A45CF85368489DA543E7B7D57703FF</vt:lpwstr>
  </property>
</Properties>
</file>