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西城</w:t>
      </w:r>
      <w:r>
        <w:rPr>
          <w:rFonts w:hint="eastAsia" w:asciiTheme="majorEastAsia" w:hAnsiTheme="majorEastAsia" w:eastAsiaTheme="majorEastAsia"/>
          <w:sz w:val="36"/>
          <w:szCs w:val="36"/>
        </w:rPr>
        <w:t>区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国动</w:t>
      </w:r>
      <w:r>
        <w:rPr>
          <w:rFonts w:hint="eastAsia" w:asciiTheme="majorEastAsia" w:hAnsiTheme="majorEastAsia" w:eastAsiaTheme="majorEastAsia"/>
          <w:sz w:val="36"/>
          <w:szCs w:val="36"/>
        </w:rPr>
        <w:t>办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（人防办）</w:t>
      </w:r>
      <w:r>
        <w:rPr>
          <w:rFonts w:hint="eastAsia" w:asciiTheme="majorEastAsia" w:hAnsiTheme="majorEastAsia" w:eastAsiaTheme="majorEastAsia"/>
          <w:sz w:val="36"/>
          <w:szCs w:val="36"/>
        </w:rPr>
        <w:t>行政处罚立案依据和救济渠道</w:t>
      </w:r>
    </w:p>
    <w:p/>
    <w:p>
      <w:pPr>
        <w:pStyle w:val="4"/>
        <w:shd w:val="clear" w:color="auto" w:fill="FFFFFF"/>
        <w:spacing w:before="0" w:beforeAutospacing="0" w:after="300" w:afterAutospacing="0" w:line="560" w:lineRule="atLeast"/>
        <w:jc w:val="both"/>
        <w:rPr>
          <w:rFonts w:ascii="微软雅黑" w:hAnsi="微软雅黑" w:eastAsia="微软雅黑"/>
          <w:color w:val="404040"/>
        </w:rPr>
      </w:pPr>
      <w:r>
        <w:rPr>
          <w:rFonts w:hint="eastAsia" w:ascii="黑体" w:hAnsi="黑体" w:eastAsia="黑体"/>
          <w:color w:val="404040"/>
          <w:sz w:val="32"/>
          <w:szCs w:val="32"/>
        </w:rPr>
        <w:t>一、立案依据</w:t>
      </w:r>
    </w:p>
    <w:p>
      <w:pPr>
        <w:pStyle w:val="4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hint="eastAsia"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根据《北京市人防行政处罚规程》，制定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西城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区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国动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办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（人防办）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行政处罚立案依据。</w:t>
      </w:r>
    </w:p>
    <w:p>
      <w:pPr>
        <w:pStyle w:val="4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适用一般程序的行政处罚案件，应当立案调查。</w:t>
      </w:r>
    </w:p>
    <w:p>
      <w:pPr>
        <w:pStyle w:val="4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人防行政执法人员对拟立案调查的案件应当填写《立案审批表》，报主管领导审批，主管领导批准时间即为立案日期。</w:t>
      </w:r>
    </w:p>
    <w:p>
      <w:pPr>
        <w:pStyle w:val="4"/>
        <w:shd w:val="clear" w:color="auto" w:fill="FFFFFF"/>
        <w:spacing w:before="0" w:beforeAutospacing="0" w:after="300" w:afterAutospacing="0" w:line="560" w:lineRule="atLeast"/>
        <w:jc w:val="both"/>
        <w:rPr>
          <w:rFonts w:ascii="微软雅黑" w:hAnsi="微软雅黑" w:eastAsia="微软雅黑"/>
          <w:color w:val="404040"/>
        </w:rPr>
      </w:pPr>
      <w:r>
        <w:rPr>
          <w:rFonts w:hint="eastAsia" w:ascii="黑体" w:hAnsi="黑体" w:eastAsia="黑体"/>
          <w:color w:val="404040"/>
          <w:sz w:val="32"/>
          <w:szCs w:val="32"/>
        </w:rPr>
        <w:t>二、救济渠道</w:t>
      </w:r>
    </w:p>
    <w:p>
      <w:pPr>
        <w:pStyle w:val="4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（一）行政复议。公民、法人或者其他组织不服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西城区国动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办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（人防办）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作出的行政处罚决定的，有权自接到行政处罚决定书之日起六十日内，向北京市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西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城区人民政府申请行政复议。</w:t>
      </w:r>
    </w:p>
    <w:p>
      <w:pPr>
        <w:pStyle w:val="4"/>
        <w:shd w:val="clear" w:color="auto" w:fill="FFFFFF"/>
        <w:spacing w:before="0" w:beforeAutospacing="0" w:after="300" w:afterAutospacing="0" w:line="560" w:lineRule="atLeast"/>
        <w:ind w:firstLine="640"/>
        <w:jc w:val="both"/>
        <w:rPr>
          <w:rFonts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（二）行政诉讼。公民、法人或者其他组织不服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西城区国动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办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（人防办）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作出的行政处罚决定的，有权自接到行政处罚决定书之日起六个月内，向北京市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西</w:t>
      </w:r>
      <w:bookmarkStart w:id="0" w:name="_GoBack"/>
      <w:bookmarkEnd w:id="0"/>
      <w:r>
        <w:rPr>
          <w:rFonts w:hint="eastAsia" w:ascii="仿宋_GB2312" w:hAnsi="微软雅黑" w:eastAsia="仿宋_GB2312"/>
          <w:color w:val="404040"/>
          <w:sz w:val="32"/>
          <w:szCs w:val="32"/>
        </w:rPr>
        <w:t>城区人民法院提起行政诉讼。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Y2IwMjVmMWY4YzQ1NGU0MTZhZDc5YTkyNTdiZGEifQ=="/>
  </w:docVars>
  <w:rsids>
    <w:rsidRoot w:val="005717E4"/>
    <w:rsid w:val="0044080B"/>
    <w:rsid w:val="00466C28"/>
    <w:rsid w:val="005717E4"/>
    <w:rsid w:val="00676589"/>
    <w:rsid w:val="008C0D7A"/>
    <w:rsid w:val="00D552AE"/>
    <w:rsid w:val="00EB43F8"/>
    <w:rsid w:val="07E374E0"/>
    <w:rsid w:val="155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2022-07-05T01:38:00Z</dcterms:created>
  <dc:creator>高杰</dc:creator>
  <cp:lastModifiedBy>佳</cp:lastModifiedBy>
  <dcterms:modified xsi:type="dcterms:W3CDTF">2023-12-21T06:47:23Z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A3AB0E214A3540E69A438950118F04F9_13</vt:lpwstr>
  </property>
</Properties>
</file>