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西城区发展和改革委员会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本报告中所列数据的统计期限自20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年1月1日起至20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日止。本报告的电子版可在西城区政府网站（http://www.bjxch.gov.cn）的政府信息公开专栏中下载。如对本报告有任何疑问，请与西城区发展和改革委员会办公室联系（地址：广安门南街2号；联系电话：010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83926723）。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40404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404040"/>
          <w:kern w:val="0"/>
          <w:sz w:val="32"/>
          <w:szCs w:val="32"/>
          <w:highlight w:val="none"/>
          <w:lang w:eastAsia="zh-CN"/>
        </w:rPr>
        <w:t>总体情况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 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年，我委全面贯彻中央、市委及区委重大部署及会议精神，坚持以习近平新时代中国特色社会主义思想为指导，深入落实首都城市战略定位，凝心聚力、攻坚克难， 作为综合协调部门，我委紧紧围绕全区中心工作和发展改革重点任务，切实以企业和群众需求为导向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坚持“公开为常态，不公开为例外”，深入贯彻《政府信息公开条例》，优化惠企政策服务，助力企业纾困解难。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组织上，我委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加强政务公开组织领导，成立以主要领导为组长的西城区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发展和改革委员会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政务公开领导小组，领导小组下设办公室，并配备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相应工作人员，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提升对信息公开工作的重视程度，提高政府信息公开工作责任感和自觉性。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工作上，我委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持续做好政府信息公开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，确保接待场所电脑、电话、传真机等办公设备使用正常，确保网络的通畅，及时查收邮件。20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年，本单位政府信息公开工作正常运转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全年主动公开政府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依申请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规范性文件7条，制发的规范性文件100%公开。主动公开重点领域信息（财政预决算、“三公经费”和行政经费信息）3条，通过西城区人民政府官网进行意见征集4次，围绕“中小微企业担保风险补偿、能源审计、专业服务业高质量发展、重点企业培育服务、中小微企业高质量发展等群众关注的热点发布政策解读6条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404040"/>
          <w:spacing w:val="0"/>
          <w:kern w:val="0"/>
          <w:sz w:val="32"/>
          <w:szCs w:val="32"/>
          <w:highlight w:val="none"/>
          <w:shd w:val="clear"/>
          <w:lang w:eastAsia="zh-CN"/>
        </w:rPr>
      </w:pPr>
      <w:r>
        <w:rPr>
          <w:rFonts w:hint="eastAsia" w:ascii="黑体" w:hAnsi="黑体" w:eastAsia="黑体" w:cs="黑体"/>
          <w:color w:val="404040"/>
          <w:kern w:val="0"/>
          <w:sz w:val="32"/>
          <w:szCs w:val="32"/>
          <w:highlight w:val="none"/>
        </w:rPr>
        <w:t>主动公开政府信息情况</w:t>
      </w:r>
    </w:p>
    <w:tbl>
      <w:tblPr>
        <w:tblStyle w:val="9"/>
        <w:tblW w:w="89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本年废止件数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sz w:val="15"/>
                <w:highlight w:val="none"/>
                <w:lang w:val="en-US" w:eastAsia="zh-CN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行政许可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65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行政处罚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行政强制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行政事业性收费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40404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404040"/>
          <w:kern w:val="0"/>
          <w:sz w:val="32"/>
          <w:szCs w:val="32"/>
          <w:highlight w:val="none"/>
        </w:rPr>
        <w:t>三、收到和处理政府信息公开申请情况</w:t>
      </w:r>
    </w:p>
    <w:tbl>
      <w:tblPr>
        <w:tblStyle w:val="9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商业企业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科研机构</w:t>
            </w:r>
          </w:p>
        </w:tc>
        <w:tc>
          <w:tcPr>
            <w:tcW w:w="708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</w:t>
            </w:r>
          </w:p>
        </w:tc>
        <w:tc>
          <w:tcPr>
            <w:tcW w:w="7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（一）予以公开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（三）不予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公开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1.属于国家秘密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2.其他法律行政法规禁止公开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3.危及“三安全一稳定”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4.保护第三方合法权益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5.属于三类内部事务信息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6.属于四类过程性信息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7.属于行政执法案卷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8.属于行政查询事项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（四）无法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提供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1.本机关不掌握相关政府信息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2.没有现成信息需要另行制作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3.补正后申请内容仍不明确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（五）不予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处理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1.信访举报投诉类申请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2.重复申请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3.要求提供公开出版物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4.无正当理由大量反复申请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（六）其他处理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（七）总计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四、结转下年度继续办理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tbl>
      <w:tblPr>
        <w:tblStyle w:val="9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其他结果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尚未审结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总计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其他结果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尚未审结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当前在官网上主动公开的内容多是围绕通知、政策及规范性文件等内容，对于业务类的信息借助官网公开的比较少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。下一步会借鉴相关部门做法，逐步丰富我委主动公开内容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提升政府公信力执行力，增强社会公众获得感认同感。</w:t>
      </w:r>
    </w:p>
    <w:p>
      <w:pPr>
        <w:pStyle w:val="8"/>
        <w:numPr>
          <w:ilvl w:val="-1"/>
          <w:numId w:val="0"/>
        </w:numPr>
        <w:spacing w:line="560" w:lineRule="exact"/>
        <w:ind w:left="0" w:leftChars="0" w:firstLine="672" w:firstLineChars="200"/>
        <w:rPr>
          <w:rFonts w:hint="eastAsia" w:ascii="黑体" w:hAnsi="黑体" w:eastAsia="黑体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highlight w:val="none"/>
          <w:lang w:val="en-US" w:eastAsia="zh-CN" w:bidi="ar-SA"/>
        </w:rPr>
        <w:t>六、其他需要报告的事项</w:t>
      </w:r>
      <w:bookmarkStart w:id="0" w:name="_GoBack"/>
      <w:bookmarkEnd w:id="0"/>
    </w:p>
    <w:tbl>
      <w:tblPr>
        <w:tblStyle w:val="9"/>
        <w:tblW w:w="8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8"/>
        <w:gridCol w:w="2565"/>
        <w:gridCol w:w="234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734" w:type="dxa"/>
            <w:gridSpan w:val="4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eastAsia="宋体"/>
                <w:highlight w:val="none"/>
                <w:lang w:eastAsia="zh-CN"/>
              </w:rPr>
              <w:t>年度依申请公开收费情况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涉及收费的申请件数（件）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发出缴费通知金额（元）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收到缴费金额（元）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eastAsia="宋体"/>
                <w:highlight w:val="none"/>
                <w:lang w:eastAsia="zh-CN"/>
              </w:rPr>
              <w:t>本部门工作情况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98" w:type="dxa"/>
            <w:tcBorders>
              <w:top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eastAsia="宋体"/>
                <w:highlight w:val="none"/>
                <w:lang w:eastAsia="zh-CN"/>
              </w:rPr>
              <w:t>汇总</w:t>
            </w:r>
          </w:p>
        </w:tc>
        <w:tc>
          <w:tcPr>
            <w:tcW w:w="256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</w:tr>
    </w:tbl>
    <w:p>
      <w:pPr>
        <w:rPr>
          <w:rFonts w:hint="default" w:eastAsia="宋体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04A8"/>
    <w:multiLevelType w:val="singleLevel"/>
    <w:tmpl w:val="677D04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53F1"/>
    <w:rsid w:val="09B949C4"/>
    <w:rsid w:val="0B5F6985"/>
    <w:rsid w:val="0FE1576C"/>
    <w:rsid w:val="115C17CB"/>
    <w:rsid w:val="1973216C"/>
    <w:rsid w:val="19D077FE"/>
    <w:rsid w:val="23966966"/>
    <w:rsid w:val="394853F1"/>
    <w:rsid w:val="3CD56880"/>
    <w:rsid w:val="3E62515C"/>
    <w:rsid w:val="40395106"/>
    <w:rsid w:val="44CA64DB"/>
    <w:rsid w:val="48A47213"/>
    <w:rsid w:val="49BF245E"/>
    <w:rsid w:val="4AC01759"/>
    <w:rsid w:val="4EAB4919"/>
    <w:rsid w:val="50923E87"/>
    <w:rsid w:val="5B0900F5"/>
    <w:rsid w:val="66947DEB"/>
    <w:rsid w:val="68C97BA4"/>
    <w:rsid w:val="76F67658"/>
    <w:rsid w:val="77343379"/>
    <w:rsid w:val="7C0B4B98"/>
    <w:rsid w:val="7F9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2021-12-27T09:36:00Z</dcterms:created>
  <dc:creator>NTKO</dc:creator>
  <cp:lastModifiedBy>XYSD</cp:lastModifiedBy>
  <cp:lastPrinted>2024-01-08T02:22:20Z</cp:lastPrinted>
  <dcterms:modified xsi:type="dcterms:W3CDTF">2024-01-08T02:34:28Z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