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西城区教育委员会2023年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行政执法统计年报</w:t>
      </w:r>
    </w:p>
    <w:p>
      <w:pPr>
        <w:pStyle w:val="2"/>
        <w:spacing w:line="6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在区委区政府的领导下，区教委进一步完善教育执法工作机制，深入开展教育行政执法工作，严格落实行政执法“三项制度”要求，推进执法信息公开。全年结合“双减”、学校办学、校园安全等重要工作，认真履职、严格执法。现将2023年行政执法工作情况统计如下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执法主体名称：北京市西城区教育委员会。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执法主体数量：1个。</w:t>
      </w:r>
    </w:p>
    <w:p>
      <w:pPr>
        <w:pStyle w:val="2"/>
        <w:numPr>
          <w:ilvl w:val="0"/>
          <w:numId w:val="1"/>
        </w:numPr>
        <w:spacing w:line="560" w:lineRule="exact"/>
        <w:ind w:firstLine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执法主体的执法岗位设置及执法人员在岗情况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行政执法主体为北京市西城区教育委员会；2023年度共有执法人员17人，共核定A、B类执法岗位17人，在岗率100%。</w:t>
      </w:r>
    </w:p>
    <w:tbl>
      <w:tblPr>
        <w:tblStyle w:val="6"/>
        <w:tblW w:w="6048" w:type="dxa"/>
        <w:tblInd w:w="1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内设执法机构名称</w:t>
            </w:r>
          </w:p>
        </w:tc>
        <w:tc>
          <w:tcPr>
            <w:tcW w:w="2616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在岗人数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民办教育管理科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校外教育培训科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学前教育科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学校后勤科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小学教育科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中学教育科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人事科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职成科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规划科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法制科</w:t>
            </w:r>
          </w:p>
        </w:tc>
        <w:tc>
          <w:tcPr>
            <w:tcW w:w="2616" w:type="dxa"/>
          </w:tcPr>
          <w:p>
            <w:pPr>
              <w:pStyle w:val="2"/>
              <w:spacing w:line="560" w:lineRule="exact"/>
              <w:ind w:firstLine="56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</w:tr>
    </w:tbl>
    <w:p>
      <w:pPr>
        <w:pStyle w:val="2"/>
        <w:numPr>
          <w:ilvl w:val="0"/>
          <w:numId w:val="1"/>
        </w:numPr>
        <w:spacing w:line="560" w:lineRule="exact"/>
        <w:ind w:firstLine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执法力量投入情况</w:t>
      </w:r>
    </w:p>
    <w:p>
      <w:pPr>
        <w:pStyle w:val="2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2023年，西城区教委</w:t>
      </w:r>
      <w:r>
        <w:rPr>
          <w:rFonts w:hint="eastAsia" w:ascii="仿宋_GB2312" w:eastAsia="仿宋_GB2312"/>
          <w:sz w:val="32"/>
          <w:szCs w:val="32"/>
        </w:rPr>
        <w:t>17名执法人员，全员在岗，全员参与执法。按市区工作要求，启动行政执法移动终端配置，并通过移动端办结检查、上传执法数据。全年加强</w:t>
      </w:r>
      <w:r>
        <w:rPr>
          <w:rFonts w:hint="eastAsia" w:ascii="仿宋_GB2312" w:hAnsi="Calibri" w:eastAsia="仿宋_GB2312" w:cs="Times New Roman"/>
          <w:sz w:val="32"/>
          <w:szCs w:val="32"/>
        </w:rPr>
        <w:t>对执法人员业务培训力度，通过案例研讨、案件旁听、培训讲座等形式，切实提高执法人员专业水平，完成人均年度60学时培训要求。</w:t>
      </w:r>
    </w:p>
    <w:p>
      <w:pPr>
        <w:pStyle w:val="2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四、政务服务事项办理情况</w:t>
      </w:r>
    </w:p>
    <w:p>
      <w:pPr>
        <w:spacing w:line="560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</w:t>
      </w:r>
      <w:r>
        <w:rPr>
          <w:rFonts w:ascii="仿宋_GB2312" w:eastAsia="仿宋_GB2312"/>
          <w:sz w:val="32"/>
          <w:szCs w:val="32"/>
        </w:rPr>
        <w:t>区教委目前</w:t>
      </w:r>
      <w:r>
        <w:rPr>
          <w:rFonts w:hint="eastAsia" w:ascii="仿宋_GB2312" w:eastAsia="仿宋_GB2312"/>
          <w:sz w:val="32"/>
          <w:szCs w:val="32"/>
        </w:rPr>
        <w:t>无行政处罚事项，</w:t>
      </w:r>
      <w:r>
        <w:rPr>
          <w:rFonts w:ascii="仿宋_GB2312" w:eastAsia="仿宋_GB2312"/>
          <w:sz w:val="32"/>
          <w:szCs w:val="32"/>
        </w:rPr>
        <w:t>行政许可和其他权力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政务服务事项</w:t>
      </w:r>
      <w:r>
        <w:rPr>
          <w:rFonts w:hint="eastAsia" w:ascii="仿宋_GB2312" w:eastAsia="仿宋_GB2312"/>
          <w:sz w:val="32"/>
          <w:szCs w:val="32"/>
        </w:rPr>
        <w:t>共40项。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办理初级中学、小学、幼儿园教师资格认定737件；办理民办学校办学地址、举办者及学校名称、层次、类别变更审批13件，办理民办学校终止办学审批9件。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五、执法检查计划执行情况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</w:rPr>
        <w:t>2023年全年共完成行政执法检查658件，人均检查量38件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。其中，对学前教育机构检查</w:t>
      </w:r>
      <w:r>
        <w:rPr>
          <w:rFonts w:hint="eastAsia" w:ascii="仿宋_GB2312" w:hAnsi="仿宋" w:eastAsia="仿宋_GB2312" w:cs="仿宋"/>
          <w:sz w:val="32"/>
          <w:szCs w:val="32"/>
        </w:rPr>
        <w:t>80件，对义务教育机构检查325件，对学校安全工作检查127件，对民办教育机构检查126件。完成跨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部门“双随机、一公开”联合检查</w:t>
      </w:r>
      <w:r>
        <w:rPr>
          <w:rFonts w:hint="eastAsia" w:ascii="仿宋_GB2312" w:hAnsi="仿宋" w:eastAsia="仿宋_GB2312" w:cs="仿宋"/>
          <w:sz w:val="32"/>
          <w:szCs w:val="32"/>
        </w:rPr>
        <w:t>60件。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六、行政处罚、行政强制案件的办理情况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西城区教委无行政处罚、行政强制职权。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七、投诉、举报案件的受理和分类办理情况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2023年共办理“12345”热线15993件，较去年增加1798件。市级考评解决率、满意率、响应率、综合成绩持续提升。</w:t>
      </w:r>
      <w:r>
        <w:rPr>
          <w:rFonts w:hint="eastAsia" w:ascii="仿宋_GB2312" w:eastAsia="仿宋_GB2312"/>
          <w:sz w:val="32"/>
          <w:szCs w:val="32"/>
        </w:rPr>
        <w:t>2023年度投诉、举报案件</w:t>
      </w:r>
      <w:r>
        <w:rPr>
          <w:rFonts w:hint="eastAsia" w:ascii="仿宋_GB2312" w:hAnsi="仿宋" w:eastAsia="仿宋_GB2312" w:cs="仿宋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0件。</w:t>
      </w:r>
    </w:p>
    <w:p>
      <w:pPr>
        <w:pStyle w:val="2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八、行政机关认为需公示的其他情况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无。</w:t>
      </w: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4240" w:firstLineChars="13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北京市西城区教育委员会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2024年1月1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8A87"/>
    <w:multiLevelType w:val="singleLevel"/>
    <w:tmpl w:val="9B608A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9"/>
    <w:rsid w:val="00182741"/>
    <w:rsid w:val="00286119"/>
    <w:rsid w:val="008D1279"/>
    <w:rsid w:val="00E03A84"/>
    <w:rsid w:val="00FE5F61"/>
    <w:rsid w:val="04815E44"/>
    <w:rsid w:val="04BF67A5"/>
    <w:rsid w:val="0C126F51"/>
    <w:rsid w:val="1DD45179"/>
    <w:rsid w:val="21180E08"/>
    <w:rsid w:val="276B24EC"/>
    <w:rsid w:val="29342D16"/>
    <w:rsid w:val="395A0EC9"/>
    <w:rsid w:val="486A1C2D"/>
    <w:rsid w:val="4C4B60E2"/>
    <w:rsid w:val="54575E0A"/>
    <w:rsid w:val="580A0923"/>
    <w:rsid w:val="584C2AD7"/>
    <w:rsid w:val="58A504FB"/>
    <w:rsid w:val="59B140DC"/>
    <w:rsid w:val="629D419A"/>
    <w:rsid w:val="69E314F9"/>
    <w:rsid w:val="7C7008FE"/>
    <w:rsid w:val="7D2F0117"/>
    <w:rsid w:val="7D926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147</Words>
  <Characters>844</Characters>
  <Lines>7</Lines>
  <Paragraphs>1</Paragraphs>
  <TotalTime>2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2024-01-12T05:52:00Z</dcterms:created>
  <dc:creator>Administrator</dc:creator>
  <cp:lastModifiedBy>Administrator</cp:lastModifiedBy>
  <dcterms:modified xsi:type="dcterms:W3CDTF">2024-01-12T05:53:55Z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