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北京市西城区科学技术和信息化局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2023年政府信息公开工作年度报告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jc w:val="center"/>
        <w:textAlignment w:val="auto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lang w:bidi="ar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bidi="ar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72" w:firstLineChars="200"/>
        <w:jc w:val="left"/>
        <w:textAlignment w:val="auto"/>
        <w:rPr>
          <w:rFonts w:hint="eastAsia" w:ascii="黑体" w:hAnsi="宋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一、总体情况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2023年，西城区科技和信息化局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习近平新时代中国特色社会主义思想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为指导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认真贯彻落实《政府信息公开条例》各项工作要求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，结合年度重点中心工作，</w:t>
      </w:r>
      <w:r>
        <w:rPr>
          <w:rFonts w:hint="eastAsia" w:ascii="仿宋_GB2312" w:hAnsi="仿宋" w:eastAsia="仿宋_GB2312" w:cs="仿宋"/>
          <w:sz w:val="32"/>
          <w:szCs w:val="32"/>
        </w:rPr>
        <w:t>紧抓发展科技创新、数字经济、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智慧城市</w:t>
      </w:r>
      <w:r>
        <w:rPr>
          <w:rFonts w:hint="eastAsia" w:ascii="仿宋_GB2312" w:hAnsi="仿宋" w:eastAsia="仿宋_GB2312" w:cs="仿宋"/>
          <w:sz w:val="32"/>
          <w:szCs w:val="32"/>
        </w:rPr>
        <w:t>等工作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坚持人民至上，坚持公开透明，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畅通政企沟通渠道，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全力优化营商环境，确保“政策到位、举措到位、服务到位”，扎实开展政务公开各项工作。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主动公开情况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根据《政府信息公开条例》第二十条、第二十一条内容，我局202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年全年主动公开信息3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。通过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西城区政府网站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信息公开专栏，主动公开通知公告、信息公开指南、公开年报；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更新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部门动态、机构设置、领导介绍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等相关信息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公开202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年部门预算信息、2022年决算信息。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对照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《西城区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2023年政务公开工作要点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》，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按照要求完成重点工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作信息公开和重点领域信息公开，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本单位工作职责，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在本单位网站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进行主动公开。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发布《北京市西城区科技专项项目管理办法》、《北京市西城区科普基地管理办法》，发布《北京市西城区公共数据管理实施细则》在北京西城“政策文件”栏目公开管理办法及实施细则。在北京西城“通知公告”栏目，公开关于2023年度北京市科学技术奖提名情况的公示、关于2022年度北京市科学技术奖提名工作的通知、关于西城区财政科技专项科技创新类项目结题验收情况的公告、关于2023年西城区园区外高新技术企业认定管理工作的通知等12项科技创新、大数据、科学普及类工作的通知公告，加大政策引导和扶持力度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spacing w:before="75" w:beforeAutospacing="0" w:after="75" w:afterAutospacing="0" w:line="560" w:lineRule="exact"/>
        <w:ind w:left="0" w:leftChars="0" w:right="0" w:firstLine="640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依申请公开办理情况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2023年未承办依申请公开工作件。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spacing w:before="75" w:beforeAutospacing="0" w:after="75" w:afterAutospacing="0" w:line="560" w:lineRule="exact"/>
        <w:ind w:left="0" w:leftChars="0" w:right="0" w:firstLine="640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政府信息公开平台建设情况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技术支撑区政府各项重点工作，完成区政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网站“第五次全国经济普查”、“什刹海街道金名片”、“惠企政策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”、“文化服务”等专题栏目以及数字政策平台建设，丰富基层治理数字化、智能化建设手段，加强政府服务水平，将政务信息及时、有效的推送到服务对象手中，用技术力量助力全区信息公开工作推进。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spacing w:line="560" w:lineRule="exact"/>
        <w:ind w:firstLine="640"/>
        <w:rPr>
          <w:rFonts w:hint="eastAsia" w:ascii="黑体" w:hAnsi="宋体" w:eastAsia="黑体" w:cs="黑体"/>
          <w:sz w:val="32"/>
          <w:szCs w:val="32"/>
          <w:highlight w:val="none"/>
        </w:rPr>
      </w:pPr>
      <w:r>
        <w:rPr>
          <w:rFonts w:hint="eastAsia" w:ascii="黑体" w:hAnsi="宋体" w:eastAsia="黑体" w:cs="黑体"/>
          <w:sz w:val="32"/>
          <w:szCs w:val="32"/>
          <w:highlight w:val="none"/>
          <w:lang w:bidi="ar"/>
        </w:rPr>
        <w:t>主动公开政府信息情况</w:t>
      </w:r>
    </w:p>
    <w:tbl>
      <w:tblPr>
        <w:tblStyle w:val="7"/>
        <w:tblpPr w:leftFromText="180" w:rightFromText="180" w:vertAnchor="text" w:horzAnchor="page" w:tblpX="1199" w:tblpY="34"/>
        <w:tblOverlap w:val="never"/>
        <w:tblW w:w="97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5"/>
        <w:widowControl/>
      </w:pPr>
    </w:p>
    <w:p>
      <w:pPr>
        <w:pStyle w:val="5"/>
        <w:widowControl/>
      </w:pPr>
    </w:p>
    <w:p>
      <w:pPr>
        <w:numPr>
          <w:ilvl w:val="0"/>
          <w:numId w:val="2"/>
        </w:numPr>
        <w:spacing w:line="560" w:lineRule="exact"/>
        <w:ind w:firstLine="64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p>
      <w:pPr>
        <w:ind w:left="629"/>
        <w:rPr>
          <w:rFonts w:hint="eastAsia" w:ascii="黑体" w:hAnsi="宋体" w:eastAsia="黑体" w:cs="黑体"/>
          <w:sz w:val="24"/>
        </w:rPr>
      </w:pPr>
    </w:p>
    <w:tbl>
      <w:tblPr>
        <w:tblStyle w:val="7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rPr>
          <w:rFonts w:hint="eastAsia" w:ascii="黑体" w:hAnsi="宋体" w:eastAsia="黑体" w:cs="黑体"/>
          <w:sz w:val="32"/>
          <w:szCs w:val="32"/>
          <w:highlight w:val="yellow"/>
          <w:lang w:bidi="ar"/>
        </w:rPr>
      </w:pPr>
    </w:p>
    <w:p>
      <w:pPr>
        <w:spacing w:line="560" w:lineRule="exact"/>
        <w:ind w:firstLine="640" w:firstLineChars="200"/>
        <w:rPr>
          <w:rFonts w:hint="eastAsia" w:ascii="黑体" w:hAnsi="宋体" w:eastAsia="黑体" w:cs="黑体"/>
          <w:sz w:val="32"/>
          <w:szCs w:val="32"/>
          <w:highlight w:val="none"/>
        </w:rPr>
      </w:pPr>
      <w:r>
        <w:rPr>
          <w:rFonts w:hint="eastAsia" w:ascii="黑体" w:hAnsi="宋体" w:eastAsia="黑体" w:cs="黑体"/>
          <w:sz w:val="32"/>
          <w:szCs w:val="32"/>
          <w:highlight w:val="none"/>
          <w:lang w:bidi="ar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7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</w:tbl>
    <w:p>
      <w:pPr>
        <w:widowControl/>
        <w:jc w:val="left"/>
      </w:pP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675"/>
        <w:rPr>
          <w:rFonts w:hint="default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right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主要问题：需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围绕重点领域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进一步加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大主动公开力度。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right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改进措施：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1.深入落实西城区政务公开工作要点，按照要求完成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智慧城市建设、数字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经济标杆城市建设、科技创新发展、科学技术普及、社会信用体系建设等方面信息公开。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2.结合职能职责持续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做好重点政策宣传，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信息公开及时规范，提高政务服务水平，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提升政策宣传质量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right="0" w:firstLine="672" w:firstLineChars="200"/>
        <w:jc w:val="left"/>
        <w:rPr>
          <w:rFonts w:hint="default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675"/>
        <w:jc w:val="left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本报告所列数据的统计期限,自202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年1月1日起至12月31日止。如需了解更多政府信息，请登录西城区人民政府网站查询，网址为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instrText xml:space="preserve"> HYPERLINK "http://www.bjxch.gov.cn/%E3%80%82"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http://www.bjxch.gov.cn/。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885FFB"/>
    <w:multiLevelType w:val="singleLevel"/>
    <w:tmpl w:val="BA885FF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A9DE897"/>
    <w:multiLevelType w:val="multilevel"/>
    <w:tmpl w:val="BA9DE897"/>
    <w:lvl w:ilvl="0" w:tentative="0">
      <w:start w:val="2"/>
      <w:numFmt w:val="chineseCounting"/>
      <w:suff w:val="nothing"/>
      <w:lvlText w:val="%1、"/>
      <w:lvlJc w:val="left"/>
      <w:pPr>
        <w:ind w:left="-1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65F74"/>
    <w:rsid w:val="109E1350"/>
    <w:rsid w:val="121627BC"/>
    <w:rsid w:val="139151A4"/>
    <w:rsid w:val="15027387"/>
    <w:rsid w:val="1710117F"/>
    <w:rsid w:val="18146A4C"/>
    <w:rsid w:val="26075E30"/>
    <w:rsid w:val="26385E52"/>
    <w:rsid w:val="27350C7A"/>
    <w:rsid w:val="2842629D"/>
    <w:rsid w:val="29CF4BA7"/>
    <w:rsid w:val="36453FF8"/>
    <w:rsid w:val="411532F9"/>
    <w:rsid w:val="41251DF1"/>
    <w:rsid w:val="435642BC"/>
    <w:rsid w:val="463C665E"/>
    <w:rsid w:val="47DC7E1A"/>
    <w:rsid w:val="486C1AB1"/>
    <w:rsid w:val="51412789"/>
    <w:rsid w:val="53881879"/>
    <w:rsid w:val="60266A33"/>
    <w:rsid w:val="625C40F3"/>
    <w:rsid w:val="6B131038"/>
    <w:rsid w:val="6C013AB5"/>
    <w:rsid w:val="72AB4602"/>
    <w:rsid w:val="72F81C05"/>
    <w:rsid w:val="77340A77"/>
    <w:rsid w:val="7C5D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next w:val="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Indent"/>
    <w:basedOn w:val="1"/>
    <w:next w:val="4"/>
    <w:qFormat/>
    <w:uiPriority w:val="0"/>
    <w:pPr>
      <w:ind w:firstLine="420" w:firstLineChars="200"/>
    </w:pPr>
  </w:style>
  <w:style w:type="paragraph" w:styleId="4">
    <w:name w:val="Body Text Indent"/>
    <w:basedOn w:val="1"/>
    <w:next w:val="3"/>
    <w:qFormat/>
    <w:uiPriority w:val="0"/>
    <w:pPr>
      <w:spacing w:line="520" w:lineRule="exact"/>
      <w:ind w:firstLine="600"/>
    </w:pPr>
    <w:rPr>
      <w:rFonts w:ascii="仿宋_GB2312" w:hAnsi="Times New Roman" w:eastAsia="仿宋_GB2312" w:cs="Times New Roman"/>
      <w:sz w:val="30"/>
    </w:rPr>
  </w:style>
  <w:style w:type="paragraph" w:styleId="5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等线" w:hAnsi="Courier New" w:eastAsia="等线" w:cs="Courier New"/>
      <w:kern w:val="2"/>
      <w:sz w:val="21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2024-01-03T02:15:00Z</dcterms:created>
  <dc:creator>Administrator.WIN-L4OOLSNCB55</dc:creator>
  <cp:lastModifiedBy>Administrator</cp:lastModifiedBy>
  <dcterms:modified xsi:type="dcterms:W3CDTF">2024-01-24T01:24:10Z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B2110C1A4E954D61A49694972E95CE98</vt:lpwstr>
  </property>
</Properties>
</file>