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北京市西城区广安门内街道办事处</w:t>
      </w:r>
    </w:p>
    <w:p>
      <w:pPr>
        <w:pStyle w:val="6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left="0" w:firstLine="42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《中华人民共和国政府信息公开条例》（以下简称条例）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第五十条之规定，制作本报告。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left="0" w:firstLine="42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主动公开工作情况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2023年,广内街道坚决贯彻落实《中华人民共和国政府信息公开条例》、西城区《2023年政务公开工作要点》，按照“主动服务、便民快捷”的工作目标，积极推进政府信息主动公开工作。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为了更好的完成主动公开的信息工作,随着工作事项变化及时更新《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广内街道政府信息主动公开全清单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，形成动态长效管理机制。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主动公开信息共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826条。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left="0" w:firstLine="42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（二）依申请公开办理情况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，广内街道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共受理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，本年办理结案27件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申请人涉及自然人，从申请内容看，主要涉及违法建设、12345热线、综合执法等方面信息，按照“公开为常态，不公开为例外”进行一一答复。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被行政复议18件，维持原行政行为1件，驳回申请人复议申请17件。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年未发生政府信息公开行政复议和行政诉讼败诉情况。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广内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依申请提供政府信息共收取检索、复印、邮递等成本费用共计0元。广内街道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对政府信息公开申请人减免收取检索、复印、邮递等成本费用共计0元。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left="0" w:firstLine="42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（三）政府信息资源的规范化、标准化管理情况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内街道成立以街道办事处主任为组长的街道信息公开领导小组,领导小组下设信息公开办公室,作为常设办事机构,配备1名工作人员。不断完善政府信息公开工作的各项制度,如公文属性源头管理制度、信息公开保密审查制度、微信公众号管理制度等,规范信息公开流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（四）政府信息公开平台建设情况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广内街道设立1个专门的信息公开申请受理点,开辟公共查阅点2处，分别为街道公共服务大厅、街道公共图书馆，上架政府公报、办事指南等资料提供居民查阅。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default" w:ascii="仿宋_GB2312" w:hAnsi="ˎ̥" w:eastAsia="仿宋_GB2312" w:cs="宋体"/>
          <w:color w:val="000000" w:themeColor="text1"/>
          <w:kern w:val="0"/>
          <w:sz w:val="32"/>
          <w:szCs w:val="32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公开专栏作为街道政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务公开工作重要阵地，做好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专栏设置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和信息整合，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开通社会救助、服务事项与办事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指南、通知公告、业务动态等二级栏目，由专人负责维护，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内容进行动态管理,做到有变动即刻调整,确保公开链接准确、实效、适时、便民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，2023年全年更新信息571条。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“掌上广内”公众号累计推送文章808篇，总阅读量达到了38.1万次。针对性设计制作各类海报、展板4000余张，布置宣传栏95处。加强“西城广安门内”等官方微博平台建设，2023年全年微博累计发布各类信息、回复居民提问共500余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政府信息公开监督保障及教育培训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广内街道政府信息公开工作，严格遵守各项条例规定，履行各项相关职责，自觉接受社会监督，自觉配合区政务工作考核组的考评，无针对街道政府信息公开的举报投诉。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积极参与区政务服务管理局组织的2023年度政府信息与政务公开工作专题培训班活动、依申请公开专题研讨会和线上培训会。积极配合区政务服务局关于政府信息公开申请调研活动。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政府信息公开经费投入情况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经费投入无法与其他一般性工作经费投入进行单独区分。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二、主动公开政府信息情况</w:t>
      </w:r>
    </w:p>
    <w:tbl>
      <w:tblPr>
        <w:tblStyle w:val="7"/>
        <w:tblW w:w="88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3"/>
        <w:gridCol w:w="1936"/>
        <w:gridCol w:w="1808"/>
        <w:gridCol w:w="19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left="420" w:leftChars="0" w:right="0" w:righ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left="420" w:leftChars="0" w:right="0" w:rightChars="0"/>
        <w:rPr>
          <w:rFonts w:hint="default" w:ascii="黑体" w:hAnsi="宋体" w:eastAsia="黑体" w:cs="黑体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三、收到和处理政府信息公开申请情况</w:t>
      </w:r>
    </w:p>
    <w:tbl>
      <w:tblPr>
        <w:tblStyle w:val="7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55"/>
        <w:gridCol w:w="2047"/>
        <w:gridCol w:w="746"/>
        <w:gridCol w:w="746"/>
        <w:gridCol w:w="746"/>
        <w:gridCol w:w="860"/>
        <w:gridCol w:w="922"/>
        <w:gridCol w:w="747"/>
        <w:gridCol w:w="7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4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/>
        <w:rPr>
          <w:rFonts w:hint="eastAsia" w:ascii="黑体" w:hAnsi="宋体" w:eastAsia="黑体" w:cs="黑体"/>
          <w:color w:val="0000FF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eastAsia" w:ascii="黑体" w:hAnsi="宋体" w:eastAsia="黑体" w:cs="黑体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四、政府信息公开行政复议和行政诉讼情况</w:t>
      </w:r>
    </w:p>
    <w:tbl>
      <w:tblPr>
        <w:tblStyle w:val="7"/>
        <w:tblpPr w:leftFromText="180" w:rightFromText="180" w:vertAnchor="text" w:horzAnchor="page" w:tblpX="1446" w:tblpY="259"/>
        <w:tblOverlap w:val="never"/>
        <w:tblW w:w="96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/>
        <w:rPr>
          <w:rFonts w:hint="eastAsia" w:ascii="黑体" w:hAnsi="宋体" w:eastAsia="黑体" w:cs="黑体"/>
          <w:color w:val="0000FF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20" w:lineRule="exact"/>
        <w:ind w:right="0" w:rightChars="0" w:firstLine="640" w:firstLineChars="200"/>
        <w:textAlignment w:val="auto"/>
        <w:rPr>
          <w:rFonts w:hint="default" w:ascii="黑体" w:hAnsi="宋体" w:eastAsia="黑体" w:cs="黑体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75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</w:rPr>
        <w:t>（一）提高公开意识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深入落实《条例》的贯彻执行，按照答复及时、内容完整、格式规范的工作原则，加强依申请公开办理工作管理，规范办理程序。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525" w:lineRule="atLeast"/>
        <w:ind w:left="420" w:leftChars="0" w:right="0" w:rightChars="0" w:firstLine="350" w:firstLineChars="10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</w:rPr>
        <w:t>加强业务培训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根据工作实际，紧扣薄弱环节，科学设置培训内容，提升工作能力水平。积极参加市规自委、区政府组织的政务公开工作相关培训，多交流、多沟通、多学习，提高信息公开工作人员业务素质。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525" w:lineRule="atLeast"/>
        <w:ind w:left="420" w:leftChars="0" w:right="0" w:rightChars="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丰富信息公开内容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深化信息公开的内容，加强政策宣传，加大对居民关心的热点、焦点问题方面的信息公开。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after="225" w:afterAutospacing="0" w:line="52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20" w:lineRule="exact"/>
        <w:ind w:right="0" w:rightChars="0" w:firstLine="640" w:firstLineChars="200"/>
        <w:textAlignment w:val="auto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会议开放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210" w:afterAutospacing="0" w:line="52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组织居民参与街道工委会，研究地区党建工作。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组织召开广安门北街20号楼居民“众筹”资金，共解雨水漏水“难题；组织长西社区探讨构建“党建+网格”基层治理模式；与西便门东里社区党委，共同讨论研究“初心驿站”照亮老旧小区，“自治协商”解决治理难题；邀请居民参加街道会议，研究地区党建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政府开放日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2023年6月29日，广内街道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邀请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辖区30余名居民代表，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走进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广内街道文体活动中心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由街道文体组干部向居民介绍街道文体中心职能作用。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（三）2023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年人大建议和政协提案办理结果情况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高度重视人大代表建议和政协委员提案办理工作，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广内街道</w:t>
      </w:r>
      <w:r>
        <w:rPr>
          <w:rFonts w:hint="eastAsia" w:ascii="仿宋_GB2312" w:eastAsia="仿宋_GB2312"/>
          <w:sz w:val="32"/>
          <w:szCs w:val="32"/>
        </w:rPr>
        <w:t>共承接区人大代表建议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承接区人大代表建议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会办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（会办件）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，政协委员提案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会办</w:t>
      </w:r>
      <w:r>
        <w:rPr>
          <w:rFonts w:hint="eastAsia" w:ascii="仿宋_GB2312" w:hAnsi="Times New Roman" w:eastAsia="仿宋_GB2312" w:cs="Times New Roman"/>
          <w:sz w:val="32"/>
          <w:szCs w:val="32"/>
        </w:rPr>
        <w:t>1件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（会办件）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，内容主要涉及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小区规划、业委会物管会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等方</w:t>
      </w:r>
      <w:r>
        <w:rPr>
          <w:rFonts w:hint="eastAsia" w:ascii="仿宋_GB2312" w:eastAsia="仿宋_GB2312"/>
          <w:sz w:val="32"/>
          <w:szCs w:val="32"/>
        </w:rPr>
        <w:t>面，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广内街道积极配合主办单位开展工作并提供书面会办意见,具体答复情况和公开属性由主办单位负责。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本报告所列数据的统计期限,自2023年1月1日起至2023年12月31日止。如需了解更多政府信息，请登录西城区人民政府网站查询，网址为http://www.bjxch.gov.cn/。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北京市西城区人民政府广安门内街道办事处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2024年1月15日</w:t>
      </w:r>
    </w:p>
    <w:bookmarkEnd w:id="0"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2DBA1"/>
    <w:multiLevelType w:val="singleLevel"/>
    <w:tmpl w:val="E682DB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D44414"/>
    <w:multiLevelType w:val="singleLevel"/>
    <w:tmpl w:val="11D444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402A"/>
    <w:rsid w:val="00194C41"/>
    <w:rsid w:val="005A3875"/>
    <w:rsid w:val="00C85B70"/>
    <w:rsid w:val="00F324B6"/>
    <w:rsid w:val="015B2E69"/>
    <w:rsid w:val="019079DF"/>
    <w:rsid w:val="01A97232"/>
    <w:rsid w:val="01E40F4E"/>
    <w:rsid w:val="0256067C"/>
    <w:rsid w:val="025F2020"/>
    <w:rsid w:val="02731FEA"/>
    <w:rsid w:val="029E78FB"/>
    <w:rsid w:val="0334226E"/>
    <w:rsid w:val="03466D94"/>
    <w:rsid w:val="036716B3"/>
    <w:rsid w:val="039C7C25"/>
    <w:rsid w:val="03A30C78"/>
    <w:rsid w:val="03C716D0"/>
    <w:rsid w:val="03E17CD5"/>
    <w:rsid w:val="0421032B"/>
    <w:rsid w:val="04CC0A07"/>
    <w:rsid w:val="04D73E87"/>
    <w:rsid w:val="050C6530"/>
    <w:rsid w:val="055771D1"/>
    <w:rsid w:val="05635305"/>
    <w:rsid w:val="05EE030C"/>
    <w:rsid w:val="06787937"/>
    <w:rsid w:val="06F364ED"/>
    <w:rsid w:val="07DD7F49"/>
    <w:rsid w:val="08461F3B"/>
    <w:rsid w:val="086307F5"/>
    <w:rsid w:val="08E5066F"/>
    <w:rsid w:val="08FF2BA3"/>
    <w:rsid w:val="090841F0"/>
    <w:rsid w:val="09701D1D"/>
    <w:rsid w:val="09AB1903"/>
    <w:rsid w:val="09CB5BBB"/>
    <w:rsid w:val="0B392F14"/>
    <w:rsid w:val="0B5043FC"/>
    <w:rsid w:val="0CDC0E9A"/>
    <w:rsid w:val="0DD95091"/>
    <w:rsid w:val="0E0B053D"/>
    <w:rsid w:val="0EA509EF"/>
    <w:rsid w:val="0EB77716"/>
    <w:rsid w:val="0EEF5EF8"/>
    <w:rsid w:val="0F0657B1"/>
    <w:rsid w:val="0F9A57DA"/>
    <w:rsid w:val="0FC31C6E"/>
    <w:rsid w:val="0FEE5176"/>
    <w:rsid w:val="106F1193"/>
    <w:rsid w:val="10D0687B"/>
    <w:rsid w:val="10EA04F5"/>
    <w:rsid w:val="10F8060C"/>
    <w:rsid w:val="115C6FD8"/>
    <w:rsid w:val="11826F1F"/>
    <w:rsid w:val="11D35950"/>
    <w:rsid w:val="12100DE8"/>
    <w:rsid w:val="124C2413"/>
    <w:rsid w:val="12924F58"/>
    <w:rsid w:val="12E1295B"/>
    <w:rsid w:val="133877EE"/>
    <w:rsid w:val="133A50FE"/>
    <w:rsid w:val="1355443B"/>
    <w:rsid w:val="13AA6197"/>
    <w:rsid w:val="151B59B8"/>
    <w:rsid w:val="15B51EC3"/>
    <w:rsid w:val="15EA598E"/>
    <w:rsid w:val="160D255A"/>
    <w:rsid w:val="16251877"/>
    <w:rsid w:val="1667379F"/>
    <w:rsid w:val="171C07BA"/>
    <w:rsid w:val="1722584C"/>
    <w:rsid w:val="172569CD"/>
    <w:rsid w:val="176C1185"/>
    <w:rsid w:val="178D41B2"/>
    <w:rsid w:val="17C610E4"/>
    <w:rsid w:val="1815773A"/>
    <w:rsid w:val="183C7ACE"/>
    <w:rsid w:val="1890759A"/>
    <w:rsid w:val="18A8012E"/>
    <w:rsid w:val="19DA0284"/>
    <w:rsid w:val="1A0F0887"/>
    <w:rsid w:val="1A150108"/>
    <w:rsid w:val="1A16799A"/>
    <w:rsid w:val="1A763DCD"/>
    <w:rsid w:val="1AC8317B"/>
    <w:rsid w:val="1AE91F11"/>
    <w:rsid w:val="1B0B1FF8"/>
    <w:rsid w:val="1B246A42"/>
    <w:rsid w:val="1B2C443E"/>
    <w:rsid w:val="1B571187"/>
    <w:rsid w:val="1B92137E"/>
    <w:rsid w:val="1C626CA7"/>
    <w:rsid w:val="1CC250FC"/>
    <w:rsid w:val="1D6C3E27"/>
    <w:rsid w:val="1DB603BB"/>
    <w:rsid w:val="1DCA014C"/>
    <w:rsid w:val="1E256EDE"/>
    <w:rsid w:val="1E440876"/>
    <w:rsid w:val="1E97327E"/>
    <w:rsid w:val="1E99064E"/>
    <w:rsid w:val="1EFA0506"/>
    <w:rsid w:val="203B17EF"/>
    <w:rsid w:val="204E4555"/>
    <w:rsid w:val="209D46CA"/>
    <w:rsid w:val="211A2753"/>
    <w:rsid w:val="217A2410"/>
    <w:rsid w:val="21933FEE"/>
    <w:rsid w:val="21CD606E"/>
    <w:rsid w:val="21FD3447"/>
    <w:rsid w:val="226E0E46"/>
    <w:rsid w:val="228842F3"/>
    <w:rsid w:val="22AC4F7F"/>
    <w:rsid w:val="22BA4D88"/>
    <w:rsid w:val="22F80846"/>
    <w:rsid w:val="231D5845"/>
    <w:rsid w:val="2390153F"/>
    <w:rsid w:val="2393471C"/>
    <w:rsid w:val="23A4447E"/>
    <w:rsid w:val="23DB7A83"/>
    <w:rsid w:val="24717738"/>
    <w:rsid w:val="24E659FD"/>
    <w:rsid w:val="251D0E0C"/>
    <w:rsid w:val="254E2768"/>
    <w:rsid w:val="256164BE"/>
    <w:rsid w:val="25BE6475"/>
    <w:rsid w:val="260F3D26"/>
    <w:rsid w:val="267D246A"/>
    <w:rsid w:val="26C27F53"/>
    <w:rsid w:val="26D06B19"/>
    <w:rsid w:val="26EE13C3"/>
    <w:rsid w:val="2745165F"/>
    <w:rsid w:val="278413ED"/>
    <w:rsid w:val="278C3511"/>
    <w:rsid w:val="27E50331"/>
    <w:rsid w:val="28396EED"/>
    <w:rsid w:val="28501FCA"/>
    <w:rsid w:val="28F248FF"/>
    <w:rsid w:val="28FF13DB"/>
    <w:rsid w:val="294658D3"/>
    <w:rsid w:val="29804D56"/>
    <w:rsid w:val="29D73213"/>
    <w:rsid w:val="29D910AF"/>
    <w:rsid w:val="29E30F56"/>
    <w:rsid w:val="29F7579A"/>
    <w:rsid w:val="2A024FCC"/>
    <w:rsid w:val="2A160B47"/>
    <w:rsid w:val="2A905362"/>
    <w:rsid w:val="2AA77DF6"/>
    <w:rsid w:val="2AE6585C"/>
    <w:rsid w:val="2B474C59"/>
    <w:rsid w:val="2BCA063D"/>
    <w:rsid w:val="2BCF21F3"/>
    <w:rsid w:val="2C2C4B30"/>
    <w:rsid w:val="2C850316"/>
    <w:rsid w:val="2CD507DC"/>
    <w:rsid w:val="2CFB3458"/>
    <w:rsid w:val="2D69489B"/>
    <w:rsid w:val="2D76669E"/>
    <w:rsid w:val="2DC6313D"/>
    <w:rsid w:val="2E3A060D"/>
    <w:rsid w:val="2E443D8A"/>
    <w:rsid w:val="2E8F0B1B"/>
    <w:rsid w:val="2EA81CA4"/>
    <w:rsid w:val="2EBE50BE"/>
    <w:rsid w:val="2EE76F3B"/>
    <w:rsid w:val="2F5B0F30"/>
    <w:rsid w:val="2F5F3218"/>
    <w:rsid w:val="2F736AA4"/>
    <w:rsid w:val="2F9E2F6A"/>
    <w:rsid w:val="2FBE0720"/>
    <w:rsid w:val="2FCF1EBB"/>
    <w:rsid w:val="2FD27BBB"/>
    <w:rsid w:val="2FF65D61"/>
    <w:rsid w:val="30B930E0"/>
    <w:rsid w:val="30C24900"/>
    <w:rsid w:val="30EA7729"/>
    <w:rsid w:val="315F2437"/>
    <w:rsid w:val="31824B12"/>
    <w:rsid w:val="31BB22CF"/>
    <w:rsid w:val="31F05297"/>
    <w:rsid w:val="32607DE7"/>
    <w:rsid w:val="32D47A47"/>
    <w:rsid w:val="332D6AB0"/>
    <w:rsid w:val="339205F7"/>
    <w:rsid w:val="33D372C8"/>
    <w:rsid w:val="34104EF7"/>
    <w:rsid w:val="34122AE3"/>
    <w:rsid w:val="348C1357"/>
    <w:rsid w:val="34970617"/>
    <w:rsid w:val="34985FE1"/>
    <w:rsid w:val="34A01508"/>
    <w:rsid w:val="34FC62CB"/>
    <w:rsid w:val="35034437"/>
    <w:rsid w:val="35153653"/>
    <w:rsid w:val="359576BD"/>
    <w:rsid w:val="35C573AC"/>
    <w:rsid w:val="35C60315"/>
    <w:rsid w:val="365F286C"/>
    <w:rsid w:val="366F155E"/>
    <w:rsid w:val="36773A41"/>
    <w:rsid w:val="36987C55"/>
    <w:rsid w:val="36E0107E"/>
    <w:rsid w:val="36E8582A"/>
    <w:rsid w:val="37011C35"/>
    <w:rsid w:val="370A1CA0"/>
    <w:rsid w:val="372B3FCB"/>
    <w:rsid w:val="37DB6575"/>
    <w:rsid w:val="37E16C90"/>
    <w:rsid w:val="37E3280F"/>
    <w:rsid w:val="383C19FD"/>
    <w:rsid w:val="38AC3B56"/>
    <w:rsid w:val="38F84B96"/>
    <w:rsid w:val="39E63781"/>
    <w:rsid w:val="39EE68CB"/>
    <w:rsid w:val="3B04112E"/>
    <w:rsid w:val="3B0F6128"/>
    <w:rsid w:val="3B20491B"/>
    <w:rsid w:val="3B84137F"/>
    <w:rsid w:val="3B865070"/>
    <w:rsid w:val="3C2E2815"/>
    <w:rsid w:val="3C3566D7"/>
    <w:rsid w:val="3C4F105E"/>
    <w:rsid w:val="3CAA47C4"/>
    <w:rsid w:val="3CD53E86"/>
    <w:rsid w:val="3CE56D89"/>
    <w:rsid w:val="3D234E73"/>
    <w:rsid w:val="3D5D223C"/>
    <w:rsid w:val="3D5E1C1E"/>
    <w:rsid w:val="3EEC5546"/>
    <w:rsid w:val="3EF24DAB"/>
    <w:rsid w:val="3F06116B"/>
    <w:rsid w:val="3F120234"/>
    <w:rsid w:val="3FD75680"/>
    <w:rsid w:val="4020019E"/>
    <w:rsid w:val="404B1053"/>
    <w:rsid w:val="40A34145"/>
    <w:rsid w:val="40D714DD"/>
    <w:rsid w:val="413767BE"/>
    <w:rsid w:val="41437572"/>
    <w:rsid w:val="415C18B3"/>
    <w:rsid w:val="41784314"/>
    <w:rsid w:val="41AD0D4D"/>
    <w:rsid w:val="41F178F8"/>
    <w:rsid w:val="420B4D9D"/>
    <w:rsid w:val="42843921"/>
    <w:rsid w:val="42BB3B26"/>
    <w:rsid w:val="42DE5E88"/>
    <w:rsid w:val="433F0FED"/>
    <w:rsid w:val="44421F2F"/>
    <w:rsid w:val="44BA0D69"/>
    <w:rsid w:val="45046156"/>
    <w:rsid w:val="451B4C9F"/>
    <w:rsid w:val="4546334F"/>
    <w:rsid w:val="454A4DD9"/>
    <w:rsid w:val="457A11C7"/>
    <w:rsid w:val="46427DDD"/>
    <w:rsid w:val="46547567"/>
    <w:rsid w:val="46583B9F"/>
    <w:rsid w:val="46873481"/>
    <w:rsid w:val="46930CA9"/>
    <w:rsid w:val="46A86D58"/>
    <w:rsid w:val="46F01D18"/>
    <w:rsid w:val="46F82E36"/>
    <w:rsid w:val="470C42CE"/>
    <w:rsid w:val="470E1DED"/>
    <w:rsid w:val="472F391B"/>
    <w:rsid w:val="47353D19"/>
    <w:rsid w:val="475672B7"/>
    <w:rsid w:val="47AB728D"/>
    <w:rsid w:val="47B4176F"/>
    <w:rsid w:val="47C51F0F"/>
    <w:rsid w:val="47D3492B"/>
    <w:rsid w:val="48137642"/>
    <w:rsid w:val="48677EE9"/>
    <w:rsid w:val="487649F0"/>
    <w:rsid w:val="49554385"/>
    <w:rsid w:val="497469E9"/>
    <w:rsid w:val="49820185"/>
    <w:rsid w:val="498E0E56"/>
    <w:rsid w:val="4AA22DFC"/>
    <w:rsid w:val="4AE95932"/>
    <w:rsid w:val="4B2379A4"/>
    <w:rsid w:val="4B3A3787"/>
    <w:rsid w:val="4B9543EA"/>
    <w:rsid w:val="4C1A1404"/>
    <w:rsid w:val="4C99619F"/>
    <w:rsid w:val="4CFB3714"/>
    <w:rsid w:val="4D401B41"/>
    <w:rsid w:val="4E3A6BF4"/>
    <w:rsid w:val="4F511E63"/>
    <w:rsid w:val="4FD01DE9"/>
    <w:rsid w:val="4FD23246"/>
    <w:rsid w:val="4FF806A1"/>
    <w:rsid w:val="50533992"/>
    <w:rsid w:val="50A313C2"/>
    <w:rsid w:val="50EB2372"/>
    <w:rsid w:val="50FB258C"/>
    <w:rsid w:val="510836F5"/>
    <w:rsid w:val="517E4F16"/>
    <w:rsid w:val="518939A4"/>
    <w:rsid w:val="51A350C3"/>
    <w:rsid w:val="520018F5"/>
    <w:rsid w:val="524922EE"/>
    <w:rsid w:val="52CD7537"/>
    <w:rsid w:val="52E425A7"/>
    <w:rsid w:val="52F660C8"/>
    <w:rsid w:val="5312375D"/>
    <w:rsid w:val="53427C1E"/>
    <w:rsid w:val="53474884"/>
    <w:rsid w:val="53961B48"/>
    <w:rsid w:val="54067900"/>
    <w:rsid w:val="54451391"/>
    <w:rsid w:val="545041B4"/>
    <w:rsid w:val="547F0270"/>
    <w:rsid w:val="54880E5A"/>
    <w:rsid w:val="548A48C4"/>
    <w:rsid w:val="54C41977"/>
    <w:rsid w:val="54C763F7"/>
    <w:rsid w:val="54D86F08"/>
    <w:rsid w:val="54EA7DDD"/>
    <w:rsid w:val="551C4388"/>
    <w:rsid w:val="5544127A"/>
    <w:rsid w:val="55B06489"/>
    <w:rsid w:val="561F7025"/>
    <w:rsid w:val="56B53025"/>
    <w:rsid w:val="571116FE"/>
    <w:rsid w:val="5723167B"/>
    <w:rsid w:val="57822113"/>
    <w:rsid w:val="58D946DF"/>
    <w:rsid w:val="58FE67E5"/>
    <w:rsid w:val="597D0478"/>
    <w:rsid w:val="599A0694"/>
    <w:rsid w:val="5A2D0667"/>
    <w:rsid w:val="5ADC5EA4"/>
    <w:rsid w:val="5B121D2D"/>
    <w:rsid w:val="5C036B16"/>
    <w:rsid w:val="5C133441"/>
    <w:rsid w:val="5C3B6DC8"/>
    <w:rsid w:val="5C4D5C83"/>
    <w:rsid w:val="5C7526C3"/>
    <w:rsid w:val="5CB15C60"/>
    <w:rsid w:val="5CCA1043"/>
    <w:rsid w:val="5CD607FE"/>
    <w:rsid w:val="5D1A47B6"/>
    <w:rsid w:val="5D1E5A64"/>
    <w:rsid w:val="5D4D2366"/>
    <w:rsid w:val="5D5302A1"/>
    <w:rsid w:val="5D9D0230"/>
    <w:rsid w:val="5DCB04ED"/>
    <w:rsid w:val="5E3A4478"/>
    <w:rsid w:val="5E69125E"/>
    <w:rsid w:val="5E8911A6"/>
    <w:rsid w:val="5EAE64DF"/>
    <w:rsid w:val="5EDF13C0"/>
    <w:rsid w:val="5EF43C4B"/>
    <w:rsid w:val="5F00701F"/>
    <w:rsid w:val="5F6564CF"/>
    <w:rsid w:val="5F7812D5"/>
    <w:rsid w:val="5F7C0185"/>
    <w:rsid w:val="5F845714"/>
    <w:rsid w:val="5FD03EC1"/>
    <w:rsid w:val="60496FA4"/>
    <w:rsid w:val="60877953"/>
    <w:rsid w:val="608A2F17"/>
    <w:rsid w:val="60FE223B"/>
    <w:rsid w:val="611A11C0"/>
    <w:rsid w:val="61441B36"/>
    <w:rsid w:val="616852BD"/>
    <w:rsid w:val="620300D6"/>
    <w:rsid w:val="620E7B93"/>
    <w:rsid w:val="62404985"/>
    <w:rsid w:val="624F663B"/>
    <w:rsid w:val="62B65356"/>
    <w:rsid w:val="62C5402A"/>
    <w:rsid w:val="62F01018"/>
    <w:rsid w:val="634615FC"/>
    <w:rsid w:val="634665C1"/>
    <w:rsid w:val="637417AD"/>
    <w:rsid w:val="63DD006D"/>
    <w:rsid w:val="63E15924"/>
    <w:rsid w:val="63F20A69"/>
    <w:rsid w:val="63F83E93"/>
    <w:rsid w:val="64975565"/>
    <w:rsid w:val="649D0C7C"/>
    <w:rsid w:val="64E809FC"/>
    <w:rsid w:val="64F27622"/>
    <w:rsid w:val="65837A94"/>
    <w:rsid w:val="6588381D"/>
    <w:rsid w:val="65C15F36"/>
    <w:rsid w:val="65E30076"/>
    <w:rsid w:val="65F35CB2"/>
    <w:rsid w:val="66924804"/>
    <w:rsid w:val="66F52B54"/>
    <w:rsid w:val="6706790E"/>
    <w:rsid w:val="671154D2"/>
    <w:rsid w:val="674B3B00"/>
    <w:rsid w:val="67E04BC5"/>
    <w:rsid w:val="67F04BC5"/>
    <w:rsid w:val="684E5164"/>
    <w:rsid w:val="69342975"/>
    <w:rsid w:val="6A591A61"/>
    <w:rsid w:val="6A8A0BEB"/>
    <w:rsid w:val="6B1D5E8E"/>
    <w:rsid w:val="6B72477D"/>
    <w:rsid w:val="6B9D1164"/>
    <w:rsid w:val="6BCF33C4"/>
    <w:rsid w:val="6BDE427E"/>
    <w:rsid w:val="6C103AA5"/>
    <w:rsid w:val="6C2D1643"/>
    <w:rsid w:val="6C3A7748"/>
    <w:rsid w:val="6C8D2D69"/>
    <w:rsid w:val="6C917D0F"/>
    <w:rsid w:val="6C9645C9"/>
    <w:rsid w:val="6CE967D7"/>
    <w:rsid w:val="6D1C5D11"/>
    <w:rsid w:val="6D470B12"/>
    <w:rsid w:val="6D471E97"/>
    <w:rsid w:val="6D7527CE"/>
    <w:rsid w:val="6DB730FF"/>
    <w:rsid w:val="6DC10C5D"/>
    <w:rsid w:val="6DE55772"/>
    <w:rsid w:val="6E2E74FF"/>
    <w:rsid w:val="6E3D7F2B"/>
    <w:rsid w:val="6E9C1378"/>
    <w:rsid w:val="6ECD4B28"/>
    <w:rsid w:val="6F0334A7"/>
    <w:rsid w:val="703330A7"/>
    <w:rsid w:val="706012C1"/>
    <w:rsid w:val="709A3EFC"/>
    <w:rsid w:val="70C90405"/>
    <w:rsid w:val="70D249CB"/>
    <w:rsid w:val="71727F5C"/>
    <w:rsid w:val="71863C95"/>
    <w:rsid w:val="71A15E14"/>
    <w:rsid w:val="72083727"/>
    <w:rsid w:val="728946B2"/>
    <w:rsid w:val="72B422F8"/>
    <w:rsid w:val="72C140D4"/>
    <w:rsid w:val="7399237E"/>
    <w:rsid w:val="73DA5318"/>
    <w:rsid w:val="7458680B"/>
    <w:rsid w:val="746149FC"/>
    <w:rsid w:val="7479465F"/>
    <w:rsid w:val="74CA1FBC"/>
    <w:rsid w:val="75134B53"/>
    <w:rsid w:val="75482300"/>
    <w:rsid w:val="757B76E6"/>
    <w:rsid w:val="760770A7"/>
    <w:rsid w:val="763438C6"/>
    <w:rsid w:val="769020E6"/>
    <w:rsid w:val="771C6966"/>
    <w:rsid w:val="7749317A"/>
    <w:rsid w:val="775D61DC"/>
    <w:rsid w:val="7768269C"/>
    <w:rsid w:val="7780018E"/>
    <w:rsid w:val="7793580B"/>
    <w:rsid w:val="779D60CC"/>
    <w:rsid w:val="783F4FFF"/>
    <w:rsid w:val="78500EAC"/>
    <w:rsid w:val="7867630F"/>
    <w:rsid w:val="78CE1B5D"/>
    <w:rsid w:val="79C6148C"/>
    <w:rsid w:val="7A625FB5"/>
    <w:rsid w:val="7B1E1DEA"/>
    <w:rsid w:val="7B3B5BFF"/>
    <w:rsid w:val="7B5B4CF3"/>
    <w:rsid w:val="7BC07B36"/>
    <w:rsid w:val="7BC35DA7"/>
    <w:rsid w:val="7BDF2B03"/>
    <w:rsid w:val="7C3608A5"/>
    <w:rsid w:val="7C5B75F9"/>
    <w:rsid w:val="7D204564"/>
    <w:rsid w:val="7D7D0E64"/>
    <w:rsid w:val="7E382F19"/>
    <w:rsid w:val="7E3C29C0"/>
    <w:rsid w:val="7E426620"/>
    <w:rsid w:val="7E543442"/>
    <w:rsid w:val="7E6C1C13"/>
    <w:rsid w:val="7F126FF9"/>
    <w:rsid w:val="7F2D5F69"/>
    <w:rsid w:val="7F597E4D"/>
    <w:rsid w:val="7F6C1C37"/>
    <w:rsid w:val="7F881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4870</Words>
  <Characters>5122</Characters>
  <Lines>0</Lines>
  <Paragraphs>0</Paragraphs>
  <TotalTime>131</TotalTime>
  <ScaleCrop>false</ScaleCrop>
  <LinksUpToDate>false</LinksUpToDate>
  <CharactersWithSpaces>5257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2019-12-20T02:29:00Z</dcterms:created>
  <dc:creator>美xia</dc:creator>
  <cp:lastModifiedBy>a</cp:lastModifiedBy>
  <cp:lastPrinted>2023-01-06T02:54:00Z</cp:lastPrinted>
  <dcterms:modified xsi:type="dcterms:W3CDTF">2024-01-24T03:06:10Z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