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3"/>
          <w:szCs w:val="43"/>
        </w:rPr>
        <w:t>北京市西城区体育局202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3"/>
          <w:szCs w:val="43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3"/>
          <w:szCs w:val="43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  <w:t>　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</w:rPr>
        <w:t>依据《中华人民共和国政府信息公开条例》(以下简称《政府信息公开条例》)第五十条规定，编制本报告。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15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1.主动公开情况。根据《中华人民共和国政府信息公开条例》第二十条、第二十一条内容，我局加强组织领导与统筹协调。202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年全年主动公开信息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237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。行政处罚、行政许可事项的依据、条件、程序已在北京市西城区人民政府专栏进行公示；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行政确认事项5条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（运动员技术等级称号确认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（二、三级）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、对北京市裁判员技术等级称号的确认（三级）、对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北京市裁判员技术等级称号的确认（二级）、社会体育指导员等级技术称号授予）共计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1030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，均已在北京市西城区政府网站上公布。人大代表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建议主办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、会办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；政协委员提案主办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、单办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件、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会办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均在北京市西城区人民政府专栏进行公示。本年度我局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公务员招聘、录用情况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已公开财政预算（202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年度）、决算信息（202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年度）信息2条。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政府集中采购数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件，采购总金额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207.1734万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元。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2.依申请公开办理情况。202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年度共收到依申请公开申请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1件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，与去年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相比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增加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我局本年度内未发生政府信息公开工作的行政复议案、政府信息公开工作的行政诉讼案和申诉案。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3.政府信息管理情况。按照要求不断完善政府信息主动公开、依申请公开管理制度，健全定期发布协调机制，严格落实保密审查制度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推动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政府信息管理规范化、标准化。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eastAsia" w:ascii="sans-serif" w:hAnsi="sans-serif" w:eastAsia="宋体" w:cs="sans-serif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4.政府信息公开平台建设情况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局网站定期更新维护，积极发布局重大活动信息；积极推进微信公众号的文章发布，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全年累计发布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390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余条，阅读量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余次。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针对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eastAsia="zh-CN"/>
        </w:rPr>
        <w:t>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运会推出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专辑，及时发布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运会相关信息。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发布“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身边的体育馆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专题，主题教育专题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等相关信息。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西体慧小程序上线，在为群众提供网上场馆预订的同时也设置有信息发布板块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及时发布场馆相关信息。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政府信息公开监督保障及教育培训情况。本年度参加全区信息公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开教育培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训1次，共计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人次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主要领导带头学习信息公开制度，听取信息公开工作汇报，研究信息公开工作，明确任务目标，落实工作责任。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主动公开政府信息情况</w:t>
      </w:r>
    </w:p>
    <w:tbl>
      <w:tblPr>
        <w:tblStyle w:val="3"/>
        <w:tblpPr w:leftFromText="180" w:rightFromText="180" w:vertAnchor="text" w:horzAnchor="page" w:tblpX="1263" w:tblpY="374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收到和处理政府信息公开申请情况 </w:t>
      </w:r>
    </w:p>
    <w:tbl>
      <w:tblPr>
        <w:tblStyle w:val="3"/>
        <w:tblpPr w:leftFromText="180" w:rightFromText="180" w:vertAnchor="text" w:horzAnchor="page" w:tblpX="1374" w:tblpY="542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41" w:tblpY="677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15"/>
          <w:sz w:val="31"/>
          <w:szCs w:val="31"/>
          <w:highlight w:val="none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主动公开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工作意识仍需加强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。对于本系统的信息公开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主动性仍有提升空间，对公开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延迟现象，后期将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继续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加强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培训与监督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，提高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人员的业务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水平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，增强主动公开意识，做到应公开及时公开。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5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 （二）依申请公开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标准化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水平需进一步提升。将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继续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规范依申请公开办理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流程，认真研判申请人诉求，优化答复内容，进一步提升依申请公开工作水平。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15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5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　发出收费通知的件数和总金额以及实际收取的总金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31"/>
          <w:szCs w:val="31"/>
          <w:highlight w:val="none"/>
          <w:shd w:val="clear" w:fill="FFFFFF"/>
        </w:rPr>
        <w:t>额均为0。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b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B628C"/>
    <w:multiLevelType w:val="singleLevel"/>
    <w:tmpl w:val="D96B62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396B"/>
    <w:rsid w:val="02C31E14"/>
    <w:rsid w:val="03402A63"/>
    <w:rsid w:val="05627265"/>
    <w:rsid w:val="06362AC0"/>
    <w:rsid w:val="0666792C"/>
    <w:rsid w:val="06CE372F"/>
    <w:rsid w:val="09F1646C"/>
    <w:rsid w:val="0CBB296F"/>
    <w:rsid w:val="10E365C2"/>
    <w:rsid w:val="117243A5"/>
    <w:rsid w:val="11FC4B10"/>
    <w:rsid w:val="1B0867D3"/>
    <w:rsid w:val="1C5A721F"/>
    <w:rsid w:val="1DAC5C38"/>
    <w:rsid w:val="261C4094"/>
    <w:rsid w:val="29433EEE"/>
    <w:rsid w:val="2BE92C98"/>
    <w:rsid w:val="2C7D0F8D"/>
    <w:rsid w:val="2F7047E3"/>
    <w:rsid w:val="30EE4C54"/>
    <w:rsid w:val="34E77D57"/>
    <w:rsid w:val="39294336"/>
    <w:rsid w:val="395908C3"/>
    <w:rsid w:val="39C946E8"/>
    <w:rsid w:val="39CE5D5D"/>
    <w:rsid w:val="3B0A47F0"/>
    <w:rsid w:val="3D866C20"/>
    <w:rsid w:val="3EC45B0A"/>
    <w:rsid w:val="3EF9145C"/>
    <w:rsid w:val="3FB76970"/>
    <w:rsid w:val="473467DE"/>
    <w:rsid w:val="48A90B9B"/>
    <w:rsid w:val="491237F0"/>
    <w:rsid w:val="49892535"/>
    <w:rsid w:val="4AD66954"/>
    <w:rsid w:val="4C524F47"/>
    <w:rsid w:val="4CF02BAE"/>
    <w:rsid w:val="58B7361D"/>
    <w:rsid w:val="591B58C0"/>
    <w:rsid w:val="60BD0047"/>
    <w:rsid w:val="61946EA3"/>
    <w:rsid w:val="64C4255D"/>
    <w:rsid w:val="699D5FD4"/>
    <w:rsid w:val="6AFD2718"/>
    <w:rsid w:val="6CD0396B"/>
    <w:rsid w:val="6FC85B74"/>
    <w:rsid w:val="73A103C3"/>
    <w:rsid w:val="74FA76FB"/>
    <w:rsid w:val="763A0087"/>
    <w:rsid w:val="77361223"/>
    <w:rsid w:val="77731088"/>
    <w:rsid w:val="786B381F"/>
    <w:rsid w:val="7A306423"/>
    <w:rsid w:val="7BFA6EF3"/>
    <w:rsid w:val="7D02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2024-01-24T01:44:00Z</dcterms:created>
  <dc:creator>admin</dc:creator>
  <cp:lastModifiedBy>admin</cp:lastModifiedBy>
  <cp:lastPrinted>2024-01-24T08:10:01Z</cp:lastPrinted>
  <dcterms:modified xsi:type="dcterms:W3CDTF">2024-01-24T08:25:58Z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D8647F223C234E19A6F922DCD1D01F42</vt:lpwstr>
  </property>
</Properties>
</file>