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rPr>
        <w:t>西城区教育委员会（行政）（本级）</w:t>
      </w:r>
    </w:p>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rPr>
        <w:t>2024年部门预算编制说明</w:t>
      </w:r>
    </w:p>
    <w:p>
      <w:pPr>
        <w:snapToGrid w:val="0"/>
        <w:spacing w:line="680" w:lineRule="exact"/>
        <w:jc w:val="center"/>
        <w:rPr>
          <w:rFonts w:ascii="方正小标宋简体" w:eastAsia="方正小标宋简体"/>
          <w:sz w:val="44"/>
          <w:szCs w:val="44"/>
        </w:rPr>
      </w:pPr>
    </w:p>
    <w:p>
      <w:pPr>
        <w:jc w:val="center"/>
        <w:rPr>
          <w:rFonts w:ascii="仿宋_GB2312" w:eastAsia="仿宋_GB2312"/>
          <w:b/>
          <w:sz w:val="36"/>
          <w:szCs w:val="36"/>
        </w:rPr>
      </w:pPr>
    </w:p>
    <w:p>
      <w:pPr>
        <w:spacing w:line="560" w:lineRule="exact"/>
        <w:ind w:firstLine="640" w:firstLineChars="200"/>
        <w:outlineLvl w:val="0"/>
        <w:rPr>
          <w:rFonts w:ascii="黑体" w:eastAsia="黑体" w:hAnsiTheme="minorEastAsia"/>
          <w:sz w:val="32"/>
          <w:szCs w:val="32"/>
        </w:rPr>
      </w:pPr>
      <w:r>
        <w:rPr>
          <w:rFonts w:hint="eastAsia" w:ascii="黑体" w:eastAsia="黑体" w:hAnsiTheme="minorEastAsia"/>
          <w:sz w:val="32"/>
          <w:szCs w:val="32"/>
        </w:rPr>
        <w:t>一、部门情况</w:t>
      </w:r>
    </w:p>
    <w:p>
      <w:pPr>
        <w:spacing w:line="560" w:lineRule="exact"/>
        <w:ind w:firstLine="555"/>
        <w:rPr>
          <w:rFonts w:ascii="仿宋_GB2312" w:eastAsia="仿宋_GB2312"/>
          <w:sz w:val="32"/>
          <w:szCs w:val="32"/>
        </w:rPr>
      </w:pPr>
      <w:r>
        <w:rPr>
          <w:rFonts w:hint="eastAsia" w:ascii="仿宋_GB2312" w:eastAsia="仿宋_GB2312"/>
          <w:sz w:val="32"/>
          <w:szCs w:val="32"/>
        </w:rPr>
        <w:t>（一）部门机构设置、职责</w:t>
      </w:r>
    </w:p>
    <w:p>
      <w:pPr>
        <w:spacing w:line="560" w:lineRule="exact"/>
        <w:ind w:firstLine="555"/>
        <w:rPr>
          <w:rFonts w:ascii="仿宋_GB2312" w:hAnsi="仿宋_GB2312" w:eastAsia="仿宋_GB2312"/>
          <w:bCs/>
          <w:sz w:val="32"/>
          <w:szCs w:val="32"/>
        </w:rPr>
      </w:pPr>
      <w:r>
        <w:rPr>
          <w:rFonts w:hint="eastAsia" w:ascii="仿宋_GB2312" w:hAnsi="仿宋_GB2312" w:eastAsia="仿宋_GB2312"/>
          <w:bCs/>
          <w:sz w:val="32"/>
          <w:szCs w:val="32"/>
        </w:rPr>
        <w:t>北京市西城区委教育工作委员会是负责本区教育系统党的建设、思想政治工作和干部管理工作的区委派出机构；北京市西城区教育委员会是负责本区教育事业的区政府工作部门,依法对本辖区内的教育工作进行监督、检查、评估、指导的部门。</w:t>
      </w:r>
    </w:p>
    <w:p>
      <w:pPr>
        <w:spacing w:line="560" w:lineRule="exact"/>
        <w:ind w:firstLine="555"/>
        <w:rPr>
          <w:rFonts w:ascii="仿宋_GB2312" w:eastAsia="仿宋_GB2312"/>
          <w:sz w:val="32"/>
          <w:szCs w:val="32"/>
        </w:rPr>
      </w:pPr>
      <w:r>
        <w:rPr>
          <w:rFonts w:hint="eastAsia" w:ascii="仿宋_GB2312" w:eastAsia="仿宋_GB2312"/>
          <w:sz w:val="32"/>
          <w:szCs w:val="32"/>
        </w:rPr>
        <w:t>（二）人员构成情况</w:t>
      </w:r>
    </w:p>
    <w:p>
      <w:pPr>
        <w:spacing w:line="560" w:lineRule="exact"/>
        <w:ind w:firstLine="555"/>
        <w:rPr>
          <w:rFonts w:ascii="仿宋_GB2312" w:eastAsia="仿宋_GB2312"/>
          <w:sz w:val="32"/>
          <w:szCs w:val="32"/>
        </w:rPr>
      </w:pPr>
      <w:r>
        <w:rPr>
          <w:rFonts w:hint="eastAsia" w:ascii="仿宋_GB2312" w:eastAsia="仿宋_GB2312"/>
          <w:sz w:val="32"/>
          <w:szCs w:val="32"/>
        </w:rPr>
        <w:t>区委教工委和区教委行政编制140人;事业编制0人；工勤编制0名；实际132人；长期聘用临时工0人。</w:t>
      </w:r>
    </w:p>
    <w:p>
      <w:pPr>
        <w:spacing w:line="560" w:lineRule="exact"/>
        <w:ind w:firstLine="555"/>
        <w:rPr>
          <w:rFonts w:ascii="仿宋_GB2312" w:eastAsia="仿宋_GB2312"/>
          <w:sz w:val="32"/>
          <w:szCs w:val="32"/>
        </w:rPr>
      </w:pPr>
      <w:r>
        <w:rPr>
          <w:rFonts w:hint="eastAsia" w:ascii="仿宋_GB2312" w:eastAsia="仿宋_GB2312"/>
          <w:sz w:val="32"/>
          <w:szCs w:val="32"/>
        </w:rPr>
        <w:t>离退休人员309人，其中：离休7人，退休302人。</w:t>
      </w:r>
    </w:p>
    <w:p>
      <w:pPr>
        <w:spacing w:line="560" w:lineRule="exact"/>
        <w:ind w:firstLine="555"/>
        <w:outlineLvl w:val="0"/>
        <w:rPr>
          <w:rFonts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部门预算</w:t>
      </w:r>
      <w:r>
        <w:rPr>
          <w:rFonts w:hint="eastAsia" w:ascii="黑体" w:eastAsia="黑体"/>
          <w:sz w:val="32"/>
          <w:szCs w:val="32"/>
        </w:rPr>
        <w:t>收入支出预算情况说明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（一）2024年收入预算情况说明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2024年收入预算5781.21</w:t>
      </w:r>
      <w:r>
        <w:rPr>
          <w:rFonts w:hint="eastAsia" w:ascii="仿宋_GB2312" w:hAnsi="Batang" w:eastAsia="仿宋_GB2312"/>
          <w:sz w:val="32"/>
          <w:szCs w:val="32"/>
        </w:rPr>
        <w:t>万元</w:t>
      </w:r>
      <w:r>
        <w:rPr>
          <w:rFonts w:hint="eastAsia" w:ascii="仿宋_GB2312" w:eastAsia="仿宋_GB2312"/>
          <w:sz w:val="32"/>
          <w:szCs w:val="32"/>
        </w:rPr>
        <w:t>，其中：预算内资金安排5781.21</w:t>
      </w:r>
      <w:r>
        <w:rPr>
          <w:rFonts w:hint="eastAsia" w:ascii="仿宋_GB2312" w:hAnsi="Batang" w:eastAsia="仿宋_GB2312"/>
          <w:sz w:val="32"/>
          <w:szCs w:val="32"/>
        </w:rPr>
        <w:t>万元</w:t>
      </w:r>
      <w:r>
        <w:rPr>
          <w:rFonts w:hint="eastAsia" w:ascii="仿宋_GB2312" w:eastAsia="仿宋_GB2312"/>
          <w:sz w:val="32"/>
          <w:szCs w:val="32"/>
        </w:rPr>
        <w:t>，财政专户资金安排0元，其他资金安排0元。</w:t>
      </w:r>
    </w:p>
    <w:p>
      <w:pPr>
        <w:spacing w:line="560" w:lineRule="exact"/>
        <w:ind w:firstLine="555"/>
        <w:rPr>
          <w:rFonts w:ascii="仿宋_GB2312" w:eastAsia="仿宋_GB2312"/>
          <w:sz w:val="32"/>
          <w:szCs w:val="32"/>
        </w:rPr>
      </w:pPr>
      <w:r>
        <w:rPr>
          <w:rFonts w:hint="eastAsia" w:ascii="仿宋_GB2312" w:eastAsia="仿宋_GB2312"/>
          <w:sz w:val="32"/>
          <w:szCs w:val="32"/>
        </w:rPr>
        <w:t>（二）2024年支出预算情况说明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2024年支出预算按用途划分：</w:t>
      </w:r>
    </w:p>
    <w:p>
      <w:pPr>
        <w:spacing w:line="560" w:lineRule="exact"/>
        <w:ind w:firstLine="555"/>
        <w:rPr>
          <w:rFonts w:ascii="仿宋_GB2312" w:eastAsia="仿宋_GB2312"/>
          <w:sz w:val="32"/>
          <w:szCs w:val="32"/>
        </w:rPr>
      </w:pPr>
      <w:r>
        <w:rPr>
          <w:rFonts w:hint="eastAsia" w:ascii="仿宋_GB2312" w:eastAsia="仿宋_GB2312"/>
          <w:sz w:val="32"/>
          <w:szCs w:val="32"/>
        </w:rPr>
        <w:t>1.基本支出预算5168.87万元，其中公用支出501.40万元。基本支出主要是预算单位人员经费、机关正常运转经费和医疗保障经费等支出。</w:t>
      </w:r>
    </w:p>
    <w:p>
      <w:pPr>
        <w:spacing w:line="560" w:lineRule="exact"/>
        <w:ind w:firstLine="555"/>
        <w:rPr>
          <w:rFonts w:hint="eastAsia" w:ascii="仿宋_GB2312" w:eastAsia="仿宋_GB2312"/>
          <w:sz w:val="32"/>
          <w:szCs w:val="32"/>
          <w:lang w:val="en-US" w:eastAsia="zh-CN"/>
        </w:rPr>
      </w:pPr>
      <w:r>
        <w:rPr>
          <w:rFonts w:hint="eastAsia" w:ascii="仿宋_GB2312" w:eastAsia="仿宋_GB2312"/>
          <w:sz w:val="32"/>
          <w:szCs w:val="32"/>
        </w:rPr>
        <w:t>2.项目支出预算612.35 万元。主要项目包括①物业管理费，②运维补助经费，③教委运行管理经费</w:t>
      </w:r>
      <w:r>
        <w:rPr>
          <w:rFonts w:hint="eastAsia" w:ascii="仿宋_GB2312" w:eastAsia="仿宋_GB2312"/>
          <w:sz w:val="32"/>
          <w:szCs w:val="32"/>
          <w:lang w:eastAsia="zh-CN"/>
        </w:rPr>
        <w:t>，</w:t>
      </w:r>
      <w:r>
        <w:rPr>
          <w:rFonts w:hint="eastAsia" w:ascii="仿宋_GB2312" w:eastAsia="仿宋_GB2312"/>
          <w:sz w:val="32"/>
          <w:szCs w:val="32"/>
        </w:rPr>
        <w:t>④更新电脑⑤西城教委会议室改造</w:t>
      </w:r>
      <w:r>
        <w:rPr>
          <w:rFonts w:hint="eastAsia" w:ascii="仿宋_GB2312" w:eastAsia="仿宋_GB2312"/>
          <w:sz w:val="32"/>
          <w:szCs w:val="32"/>
          <w:lang w:val="en-US" w:eastAsia="zh-CN"/>
        </w:rPr>
        <w:t xml:space="preserve"> ，</w:t>
      </w:r>
      <w:r>
        <w:rPr>
          <w:rFonts w:hint="eastAsia" w:ascii="仿宋_GB2312" w:eastAsia="仿宋_GB2312"/>
          <w:sz w:val="32"/>
          <w:szCs w:val="32"/>
        </w:rPr>
        <w:t>⑥教委机关离退休支部补贴</w:t>
      </w:r>
      <w:r>
        <w:rPr>
          <w:rFonts w:hint="eastAsia" w:ascii="仿宋_GB2312" w:eastAsia="仿宋_GB2312"/>
          <w:sz w:val="32"/>
          <w:szCs w:val="32"/>
          <w:lang w:eastAsia="zh-CN"/>
        </w:rPr>
        <w:t>，</w:t>
      </w:r>
      <w:r>
        <w:rPr>
          <w:rFonts w:hint="eastAsia" w:ascii="仿宋_GB2312" w:eastAsia="仿宋_GB2312"/>
          <w:sz w:val="32"/>
          <w:szCs w:val="32"/>
          <w:lang w:val="en-US" w:eastAsia="zh-CN"/>
        </w:rPr>
        <w:t>⑦补缴合同工住房公积金，⑧预留机动经费。</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（三）2024年预算收支增减变化情况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2024年部门收入总预算5781.21万元，比2023年年初预算5764.07万元增加17.14万元，增长0.3%，主要原因为在职人员增加一名，增加更新电脑</w:t>
      </w:r>
      <w:r>
        <w:rPr>
          <w:rFonts w:hint="eastAsia" w:ascii="仿宋_GB2312" w:eastAsia="仿宋_GB2312"/>
          <w:sz w:val="32"/>
          <w:szCs w:val="32"/>
          <w:lang w:eastAsia="zh-CN"/>
        </w:rPr>
        <w:t>、</w:t>
      </w:r>
      <w:r>
        <w:rPr>
          <w:rFonts w:hint="eastAsia" w:ascii="仿宋_GB2312" w:eastAsia="仿宋_GB2312"/>
          <w:sz w:val="32"/>
          <w:szCs w:val="32"/>
        </w:rPr>
        <w:t>会议室维修</w:t>
      </w:r>
      <w:r>
        <w:rPr>
          <w:rFonts w:hint="eastAsia" w:ascii="仿宋_GB2312" w:eastAsia="仿宋_GB2312"/>
          <w:sz w:val="32"/>
          <w:szCs w:val="32"/>
          <w:lang w:val="en-US" w:eastAsia="zh-CN"/>
        </w:rPr>
        <w:t>和补缴合同工住房公积金三</w:t>
      </w:r>
      <w:r>
        <w:rPr>
          <w:rFonts w:hint="eastAsia" w:ascii="仿宋_GB2312" w:eastAsia="仿宋_GB2312"/>
          <w:sz w:val="32"/>
          <w:szCs w:val="32"/>
        </w:rPr>
        <w:t>个专项，但是离休人员比2023年初预算减少4名，所以2024年收入总预算比2023年增加17.14万元。2024年部门支出总预算5781.21万元，比2023年支出</w:t>
      </w:r>
      <w:r>
        <w:rPr>
          <w:rFonts w:hint="eastAsia" w:ascii="仿宋_GB2312" w:eastAsia="仿宋_GB2312"/>
          <w:sz w:val="32"/>
          <w:szCs w:val="32"/>
          <w:lang w:val="en-US" w:eastAsia="zh-CN"/>
        </w:rPr>
        <w:t>预</w:t>
      </w:r>
      <w:bookmarkStart w:id="0" w:name="_GoBack"/>
      <w:bookmarkEnd w:id="0"/>
      <w:r>
        <w:rPr>
          <w:rFonts w:hint="eastAsia" w:ascii="仿宋_GB2312" w:eastAsia="仿宋_GB2312"/>
          <w:sz w:val="32"/>
          <w:szCs w:val="32"/>
        </w:rPr>
        <w:t>算5764.07万元增加17.14万元，增长0.3%</w:t>
      </w:r>
      <w:r>
        <w:rPr>
          <w:rFonts w:hint="eastAsia" w:ascii="仿宋_GB2312" w:eastAsia="仿宋_GB2312"/>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三、部门“三公”经费预算安排情况说明</w:t>
      </w:r>
    </w:p>
    <w:p>
      <w:pPr>
        <w:spacing w:line="560" w:lineRule="exact"/>
        <w:ind w:firstLine="555"/>
        <w:rPr>
          <w:rFonts w:ascii="仿宋_GB2312" w:eastAsia="仿宋_GB2312"/>
          <w:sz w:val="32"/>
          <w:szCs w:val="32"/>
        </w:rPr>
      </w:pPr>
      <w:r>
        <w:rPr>
          <w:rFonts w:hint="eastAsia" w:ascii="仿宋_GB2312" w:eastAsia="仿宋_GB2312"/>
          <w:sz w:val="32"/>
          <w:szCs w:val="32"/>
        </w:rPr>
        <w:t>（一）“三公”经费的单位范围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北京市西城区教育委员会（行政）部门预算中，因公出国（境）费、公务接待费、公务用车购置及运行维护费的支出单位包括区教委行政机关及0个所属单位。</w:t>
      </w:r>
    </w:p>
    <w:p>
      <w:pPr>
        <w:spacing w:line="560" w:lineRule="exact"/>
        <w:ind w:firstLine="555"/>
        <w:rPr>
          <w:rFonts w:ascii="仿宋_GB2312" w:eastAsia="仿宋_GB2312"/>
          <w:sz w:val="32"/>
          <w:szCs w:val="32"/>
        </w:rPr>
      </w:pPr>
      <w:r>
        <w:rPr>
          <w:rFonts w:hint="eastAsia" w:ascii="仿宋_GB2312" w:eastAsia="仿宋_GB2312"/>
          <w:sz w:val="32"/>
          <w:szCs w:val="32"/>
        </w:rPr>
        <w:t>（二）“三公”经费预算安排情况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2024年“三公”经费财政拨款预算安排共计0元，与2023年年初预算数持平。其中：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1.因公出国（境）费用。西城区因公出国（境）费年初预算不安排到部门，预算执行过程中，根据外事部门审批情况办理经费追加手续。2024年预算安排资金0元，与2023年年初预算数持平。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2.公务接待费。2024年预算数0元，与2023年年初预算数持平。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3.公务用车购置和运行维护费。2024年公务用车购置和运行维护费预算数0元，与2023年年初预算数持平。</w:t>
      </w:r>
    </w:p>
    <w:p>
      <w:pPr>
        <w:spacing w:line="560" w:lineRule="exact"/>
        <w:ind w:firstLine="640" w:firstLineChars="200"/>
        <w:rPr>
          <w:rFonts w:ascii="黑体" w:eastAsia="黑体"/>
          <w:sz w:val="32"/>
          <w:szCs w:val="32"/>
        </w:rPr>
      </w:pPr>
      <w:r>
        <w:rPr>
          <w:rFonts w:hint="eastAsia" w:ascii="黑体" w:eastAsia="黑体"/>
          <w:sz w:val="32"/>
          <w:szCs w:val="32"/>
        </w:rPr>
        <w:t>四、其他情况说明</w:t>
      </w:r>
    </w:p>
    <w:p>
      <w:pPr>
        <w:spacing w:line="560" w:lineRule="exact"/>
        <w:ind w:firstLine="555"/>
        <w:rPr>
          <w:rFonts w:ascii="仿宋_GB2312" w:eastAsia="仿宋_GB2312"/>
          <w:sz w:val="32"/>
          <w:szCs w:val="32"/>
        </w:rPr>
      </w:pPr>
      <w:r>
        <w:rPr>
          <w:rFonts w:hint="eastAsia" w:ascii="仿宋_GB2312" w:eastAsia="仿宋_GB2312"/>
          <w:sz w:val="32"/>
          <w:szCs w:val="32"/>
        </w:rPr>
        <w:t>（一）机关运行经费预算安排情况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年区委教工委和区教委的机关运行经费财政拨款预算501.4万元。经费内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55"/>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（二）政府采购情况说明</w:t>
      </w:r>
    </w:p>
    <w:p>
      <w:pPr>
        <w:spacing w:line="560" w:lineRule="exact"/>
        <w:ind w:firstLine="555"/>
        <w:rPr>
          <w:rFonts w:hint="eastAsia" w:ascii="仿宋_GB2312" w:eastAsia="仿宋_GB2312"/>
          <w:sz w:val="32"/>
          <w:szCs w:val="32"/>
        </w:rPr>
      </w:pPr>
      <w:r>
        <w:rPr>
          <w:rFonts w:hint="eastAsia" w:ascii="仿宋_GB2312" w:eastAsia="仿宋_GB2312"/>
          <w:sz w:val="32"/>
          <w:szCs w:val="32"/>
        </w:rPr>
        <w:t>2024年涉及政府采购项目0个。</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
        <w:gridCol w:w="315"/>
        <w:gridCol w:w="563"/>
        <w:gridCol w:w="1507"/>
        <w:gridCol w:w="414"/>
        <w:gridCol w:w="712"/>
        <w:gridCol w:w="315"/>
        <w:gridCol w:w="613"/>
        <w:gridCol w:w="666"/>
        <w:gridCol w:w="315"/>
        <w:gridCol w:w="613"/>
        <w:gridCol w:w="666"/>
        <w:gridCol w:w="315"/>
        <w:gridCol w:w="414"/>
        <w:gridCol w:w="316"/>
        <w:gridCol w:w="316"/>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000" w:type="pct"/>
            <w:gridSpan w:val="17"/>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部门/单位：北京市西城区教育委员会（行政） </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0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处室编码</w:t>
            </w:r>
          </w:p>
        </w:tc>
        <w:tc>
          <w:tcPr>
            <w:tcW w:w="17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处室名称</w:t>
            </w:r>
          </w:p>
        </w:tc>
        <w:tc>
          <w:tcPr>
            <w:tcW w:w="31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单位信息</w:t>
            </w:r>
          </w:p>
        </w:tc>
        <w:tc>
          <w:tcPr>
            <w:tcW w:w="850"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23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职能职责与活动</w:t>
            </w:r>
          </w:p>
        </w:tc>
        <w:tc>
          <w:tcPr>
            <w:tcW w:w="401"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采购品目</w:t>
            </w:r>
          </w:p>
        </w:tc>
        <w:tc>
          <w:tcPr>
            <w:tcW w:w="17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34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37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总价</w:t>
            </w:r>
          </w:p>
        </w:tc>
        <w:tc>
          <w:tcPr>
            <w:tcW w:w="17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本年数量</w:t>
            </w:r>
          </w:p>
        </w:tc>
        <w:tc>
          <w:tcPr>
            <w:tcW w:w="34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本年单价</w:t>
            </w:r>
          </w:p>
        </w:tc>
        <w:tc>
          <w:tcPr>
            <w:tcW w:w="37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本年总金额</w:t>
            </w:r>
          </w:p>
        </w:tc>
        <w:tc>
          <w:tcPr>
            <w:tcW w:w="17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专门面向中小企业采购</w:t>
            </w:r>
          </w:p>
        </w:tc>
        <w:tc>
          <w:tcPr>
            <w:tcW w:w="23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专门面向小型、微型企业采购</w:t>
            </w:r>
          </w:p>
        </w:tc>
        <w:tc>
          <w:tcPr>
            <w:tcW w:w="178"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专门面向监狱企业采购</w:t>
            </w:r>
          </w:p>
        </w:tc>
        <w:tc>
          <w:tcPr>
            <w:tcW w:w="178"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5"/>
                <w:szCs w:val="15"/>
                <w:u w:val="none"/>
                <w:lang w:val="en-US" w:eastAsia="zh-CN" w:bidi="ar"/>
              </w:rPr>
              <w:t>专门面向残疾人福利性单位采购</w:t>
            </w:r>
          </w:p>
        </w:tc>
        <w:tc>
          <w:tcPr>
            <w:tcW w:w="24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17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31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85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23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401"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17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7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65.447000</w:t>
            </w:r>
          </w:p>
        </w:tc>
        <w:tc>
          <w:tcPr>
            <w:tcW w:w="17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34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37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65.447000</w:t>
            </w:r>
          </w:p>
        </w:tc>
        <w:tc>
          <w:tcPr>
            <w:tcW w:w="17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6"/>
                <w:szCs w:val="16"/>
                <w:u w:val="none"/>
              </w:rPr>
            </w:pPr>
          </w:p>
        </w:tc>
        <w:tc>
          <w:tcPr>
            <w:tcW w:w="23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6"/>
                <w:szCs w:val="16"/>
                <w:u w:val="none"/>
              </w:rPr>
            </w:pPr>
          </w:p>
        </w:tc>
        <w:tc>
          <w:tcPr>
            <w:tcW w:w="17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6"/>
                <w:szCs w:val="16"/>
                <w:u w:val="none"/>
              </w:rPr>
            </w:pPr>
          </w:p>
        </w:tc>
        <w:tc>
          <w:tcPr>
            <w:tcW w:w="17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6"/>
                <w:szCs w:val="16"/>
                <w:u w:val="none"/>
              </w:rPr>
            </w:pPr>
          </w:p>
        </w:tc>
        <w:tc>
          <w:tcPr>
            <w:tcW w:w="243"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010</w:t>
            </w:r>
          </w:p>
        </w:tc>
        <w:tc>
          <w:tcPr>
            <w:tcW w:w="17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教科文科</w:t>
            </w:r>
          </w:p>
        </w:tc>
        <w:tc>
          <w:tcPr>
            <w:tcW w:w="31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254001-北京市西城区教育委员会（行政）（本级）</w:t>
            </w:r>
          </w:p>
        </w:tc>
        <w:tc>
          <w:tcPr>
            <w:tcW w:w="850"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11010224T000002794230-2024教委行政-运维补助经费</w:t>
            </w:r>
          </w:p>
        </w:tc>
        <w:tc>
          <w:tcPr>
            <w:tcW w:w="23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04-教育管理/01-教育行政事务</w:t>
            </w:r>
          </w:p>
        </w:tc>
        <w:tc>
          <w:tcPr>
            <w:tcW w:w="401"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C99000000-其他服务</w:t>
            </w:r>
          </w:p>
        </w:tc>
        <w:tc>
          <w:tcPr>
            <w:tcW w:w="17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4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8.180875</w:t>
            </w:r>
          </w:p>
        </w:tc>
        <w:tc>
          <w:tcPr>
            <w:tcW w:w="37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65.447000</w:t>
            </w:r>
          </w:p>
        </w:tc>
        <w:tc>
          <w:tcPr>
            <w:tcW w:w="17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4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8.180875</w:t>
            </w:r>
          </w:p>
        </w:tc>
        <w:tc>
          <w:tcPr>
            <w:tcW w:w="376"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65.447000</w:t>
            </w:r>
          </w:p>
        </w:tc>
        <w:tc>
          <w:tcPr>
            <w:tcW w:w="17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是</w:t>
            </w:r>
          </w:p>
        </w:tc>
        <w:tc>
          <w:tcPr>
            <w:tcW w:w="23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是</w:t>
            </w:r>
          </w:p>
        </w:tc>
        <w:tc>
          <w:tcPr>
            <w:tcW w:w="17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否</w:t>
            </w:r>
          </w:p>
        </w:tc>
        <w:tc>
          <w:tcPr>
            <w:tcW w:w="17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14"/>
                <w:sz w:val="16"/>
                <w:szCs w:val="16"/>
                <w:lang w:val="en-US" w:eastAsia="zh-CN" w:bidi="ar"/>
              </w:rPr>
              <w:t>否</w:t>
            </w:r>
          </w:p>
        </w:tc>
        <w:tc>
          <w:tcPr>
            <w:tcW w:w="243"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bl>
    <w:p>
      <w:pPr>
        <w:spacing w:line="560" w:lineRule="exact"/>
        <w:ind w:firstLine="555"/>
        <w:rPr>
          <w:rFonts w:hint="eastAsia" w:ascii="仿宋_GB2312" w:eastAsia="仿宋_GB2312"/>
          <w:sz w:val="32"/>
          <w:szCs w:val="32"/>
        </w:rPr>
      </w:pPr>
    </w:p>
    <w:p>
      <w:pPr>
        <w:spacing w:line="560" w:lineRule="exact"/>
        <w:ind w:firstLine="555"/>
        <w:rPr>
          <w:rFonts w:ascii="仿宋_GB2312" w:eastAsia="仿宋_GB2312"/>
          <w:sz w:val="32"/>
          <w:szCs w:val="32"/>
        </w:rPr>
      </w:pPr>
      <w:r>
        <w:rPr>
          <w:rFonts w:hint="eastAsia" w:ascii="仿宋_GB2312" w:eastAsia="仿宋_GB2312"/>
          <w:sz w:val="32"/>
          <w:szCs w:val="32"/>
        </w:rPr>
        <w:t>（三）政府购买服务情况说明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rPr>
        <w:t>年涉及政府购买服务项目</w:t>
      </w:r>
      <w:r>
        <w:rPr>
          <w:rFonts w:hint="eastAsia" w:ascii="仿宋_GB2312" w:eastAsia="仿宋_GB2312"/>
          <w:sz w:val="32"/>
          <w:szCs w:val="32"/>
          <w:lang w:val="en-US" w:eastAsia="zh-CN"/>
        </w:rPr>
        <w:t>0</w:t>
      </w:r>
      <w:r>
        <w:rPr>
          <w:rFonts w:hint="eastAsia" w:ascii="仿宋_GB2312" w:eastAsia="仿宋_GB2312"/>
          <w:sz w:val="32"/>
          <w:szCs w:val="32"/>
        </w:rPr>
        <w:t>个</w:t>
      </w:r>
      <w:r>
        <w:rPr>
          <w:rFonts w:hint="eastAsia" w:ascii="仿宋_GB2312" w:eastAsia="仿宋_GB2312"/>
          <w:sz w:val="32"/>
          <w:szCs w:val="32"/>
          <w:lang w:eastAsia="zh-CN"/>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2"/>
        <w:gridCol w:w="1091"/>
        <w:gridCol w:w="1423"/>
        <w:gridCol w:w="1740"/>
        <w:gridCol w:w="1462"/>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8"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2"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26"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1"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000" w:type="pct"/>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24" w:type="pct"/>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部门/单位：北京市西城区教育委员会（事业）</w:t>
            </w:r>
          </w:p>
        </w:tc>
        <w:tc>
          <w:tcPr>
            <w:tcW w:w="804"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26"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1" w:type="pct"/>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108"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03" w:type="pct"/>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指导性目录</w:t>
            </w:r>
          </w:p>
        </w:tc>
        <w:tc>
          <w:tcPr>
            <w:tcW w:w="826"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服务领域</w:t>
            </w:r>
          </w:p>
        </w:tc>
        <w:tc>
          <w:tcPr>
            <w:tcW w:w="661"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108"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61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w:t>
            </w:r>
          </w:p>
        </w:tc>
        <w:tc>
          <w:tcPr>
            <w:tcW w:w="804"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p>
        </w:tc>
        <w:tc>
          <w:tcPr>
            <w:tcW w:w="98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w:t>
            </w:r>
          </w:p>
        </w:tc>
        <w:tc>
          <w:tcPr>
            <w:tcW w:w="826"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661"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0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80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98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82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66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08"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6"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4"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2"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6"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61" w:type="pc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已针对部门整体支出及重点项目支出建立了全程跟踪审核及绩效评价体系，重点评价分析三个方面：1.目标依据的充分性。2.目标设置的合理性。3.目标实现的保障性。同时在项目进展中实施绩效跟踪报告制度，对项目的经济效益、社会效益等实施监控管理。在项目完成后积极开展绩效评价，主要针对审核目标是否符合客观事实，项目预期产生的社会效益和效果。项目产生目标与项目效益目标的关联性、匹配性和逻辑性是否达到预期效果。是否依据预期的产量和效益、结合本身效益分析编制项目预算合理性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2024年预算填报项目申报表的项目</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项，占总项目数额的</w:t>
      </w:r>
      <w:r>
        <w:rPr>
          <w:rFonts w:ascii="仿宋_GB2312" w:eastAsia="仿宋_GB2312"/>
          <w:color w:val="000000"/>
          <w:sz w:val="32"/>
          <w:szCs w:val="32"/>
        </w:rPr>
        <w:t>100%</w:t>
      </w:r>
      <w:r>
        <w:rPr>
          <w:rFonts w:hint="eastAsia" w:ascii="仿宋_GB2312" w:eastAsia="仿宋_GB2312"/>
          <w:color w:val="000000"/>
          <w:sz w:val="32"/>
          <w:szCs w:val="32"/>
        </w:rPr>
        <w:t>，100万元以上项目共计</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个，涉及金额</w:t>
      </w:r>
      <w:r>
        <w:rPr>
          <w:rFonts w:hint="eastAsia" w:ascii="仿宋_GB2312" w:eastAsia="仿宋_GB2312"/>
          <w:color w:val="000000"/>
          <w:sz w:val="32"/>
          <w:szCs w:val="32"/>
          <w:lang w:val="en-US" w:eastAsia="zh-CN"/>
        </w:rPr>
        <w:t>464.60</w:t>
      </w:r>
      <w:r>
        <w:rPr>
          <w:rFonts w:hint="eastAsia" w:ascii="仿宋_GB2312" w:eastAsia="仿宋_GB2312"/>
          <w:color w:val="000000"/>
          <w:sz w:val="32"/>
          <w:szCs w:val="32"/>
        </w:rPr>
        <w:t>万元。202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年区教委针对物业管理费开展成本绩效考评，考评结果在合理区间范围内。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（五）国有资本经营预算财政拨款情况说明</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2024年部门预算未安排国有资本经营预算。</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年12月31日，本部门固定资产总额</w:t>
      </w:r>
      <w:r>
        <w:rPr>
          <w:rFonts w:hint="eastAsia" w:ascii="仿宋_GB2312" w:eastAsia="仿宋_GB2312"/>
          <w:sz w:val="32"/>
          <w:szCs w:val="32"/>
          <w:lang w:val="en-US" w:eastAsia="zh-CN"/>
        </w:rPr>
        <w:t>939.59</w:t>
      </w:r>
      <w:r>
        <w:rPr>
          <w:rFonts w:hint="eastAsia" w:ascii="仿宋_GB2312" w:eastAsia="仿宋_GB2312"/>
          <w:sz w:val="32"/>
          <w:szCs w:val="32"/>
        </w:rPr>
        <w:t>万元，其中车辆0台。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年12月31日，单位价值50万元以上的通用设备及单位价值100万元以上的专用设备数量均为0。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2024年部门预算未安排车辆购置，未安排单位价值50万元以上的通用设备及单位价值100万元以上的专用设备的购置项目。</w:t>
      </w:r>
    </w:p>
    <w:p>
      <w:pPr>
        <w:spacing w:line="560" w:lineRule="exact"/>
        <w:ind w:firstLine="555"/>
        <w:outlineLvl w:val="0"/>
        <w:rPr>
          <w:rFonts w:ascii="黑体" w:eastAsia="黑体"/>
          <w:sz w:val="32"/>
          <w:szCs w:val="32"/>
        </w:rPr>
      </w:pPr>
      <w:r>
        <w:rPr>
          <w:rFonts w:hint="eastAsia" w:ascii="黑体" w:eastAsia="黑体"/>
          <w:sz w:val="32"/>
          <w:szCs w:val="32"/>
        </w:rPr>
        <w:t>五、名词解释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机关运行经费是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西城区教育委员会（行政）（本级）</w:t>
      </w:r>
    </w:p>
    <w:p>
      <w:pPr>
        <w:spacing w:beforeLines="50" w:afterLines="50" w:line="560" w:lineRule="exact"/>
        <w:ind w:right="1280"/>
        <w:jc w:val="right"/>
        <w:rPr>
          <w:rFonts w:ascii="仿宋_GB2312" w:hAnsi="宋体" w:eastAsia="仿宋_GB2312"/>
          <w:sz w:val="32"/>
          <w:szCs w:val="32"/>
        </w:rPr>
      </w:pPr>
      <w:r>
        <w:rPr>
          <w:rFonts w:hint="eastAsia" w:ascii="仿宋_GB2312" w:eastAsia="仿宋_GB2312"/>
          <w:sz w:val="32"/>
          <w:szCs w:val="32"/>
        </w:rPr>
        <w:t>2024年1月</w:t>
      </w:r>
      <w:r>
        <w:rPr>
          <w:rFonts w:hint="eastAsia" w:ascii="仿宋_GB2312" w:eastAsia="仿宋_GB2312"/>
          <w:sz w:val="32"/>
          <w:szCs w:val="32"/>
          <w:lang w:val="en-US" w:eastAsia="zh-CN"/>
        </w:rPr>
        <w:t>26</w:t>
      </w:r>
      <w:r>
        <w:rPr>
          <w:rFonts w:hint="eastAsia" w:ascii="仿宋_GB2312" w:eastAsia="仿宋_GB2312"/>
          <w:sz w:val="32"/>
          <w:szCs w:val="32"/>
        </w:rPr>
        <w:t>日</w:t>
      </w:r>
    </w:p>
    <w:sectPr>
      <w:footerReference r:id="rId3" w:type="default"/>
      <w:footerReference r:id="rId4" w:type="even"/>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65510F-9D2D-432B-8D42-24D0AF5B43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1C3FF22-DC70-421D-A735-CFCF591EC035}"/>
  </w:font>
  <w:font w:name="仿宋_GB2312">
    <w:altName w:val="仿宋"/>
    <w:panose1 w:val="02010609030101010101"/>
    <w:charset w:val="86"/>
    <w:family w:val="modern"/>
    <w:pitch w:val="default"/>
    <w:sig w:usb0="00000000" w:usb1="00000000" w:usb2="00000010" w:usb3="00000000" w:csb0="00040000" w:csb1="00000000"/>
    <w:embedRegular r:id="rId3" w:fontKey="{91677C35-8133-4786-8FEA-13AFDFB460FA}"/>
  </w:font>
  <w:font w:name="Batang">
    <w:altName w:val="Malgun Gothic"/>
    <w:panose1 w:val="02030600000101010101"/>
    <w:charset w:val="81"/>
    <w:family w:val="auto"/>
    <w:pitch w:val="default"/>
    <w:sig w:usb0="00000000" w:usb1="00000000" w:usb2="00000010" w:usb3="00000000" w:csb0="00080000" w:csb1="00000000"/>
    <w:embedRegular r:id="rId4" w:fontKey="{351CB0D4-A257-4958-AE0D-0D85E4C77EFD}"/>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0YTgyMTE3ZWMxNDA5OTU5YmU3MmM4MjRmMmYyMmYifQ=="/>
  </w:docVars>
  <w:rsids>
    <w:rsidRoot w:val="00C665E5"/>
    <w:rsid w:val="000000B5"/>
    <w:rsid w:val="000004CF"/>
    <w:rsid w:val="0000199E"/>
    <w:rsid w:val="00014ED2"/>
    <w:rsid w:val="000200AF"/>
    <w:rsid w:val="00025E9A"/>
    <w:rsid w:val="00026824"/>
    <w:rsid w:val="00031BF1"/>
    <w:rsid w:val="0004170F"/>
    <w:rsid w:val="00042BEF"/>
    <w:rsid w:val="000506BC"/>
    <w:rsid w:val="000532C7"/>
    <w:rsid w:val="00054B6C"/>
    <w:rsid w:val="0005552F"/>
    <w:rsid w:val="00063782"/>
    <w:rsid w:val="00066469"/>
    <w:rsid w:val="000722E5"/>
    <w:rsid w:val="000729DD"/>
    <w:rsid w:val="00080CE2"/>
    <w:rsid w:val="00086725"/>
    <w:rsid w:val="00091640"/>
    <w:rsid w:val="000A09C3"/>
    <w:rsid w:val="000A11DE"/>
    <w:rsid w:val="000A1D7B"/>
    <w:rsid w:val="000A2F19"/>
    <w:rsid w:val="000A3AEF"/>
    <w:rsid w:val="000A4D75"/>
    <w:rsid w:val="000A7B8C"/>
    <w:rsid w:val="000C2562"/>
    <w:rsid w:val="000C6BCC"/>
    <w:rsid w:val="000D52AA"/>
    <w:rsid w:val="000F0BD5"/>
    <w:rsid w:val="000F77A2"/>
    <w:rsid w:val="00105691"/>
    <w:rsid w:val="00110CA3"/>
    <w:rsid w:val="00114AB0"/>
    <w:rsid w:val="0012122F"/>
    <w:rsid w:val="0012624E"/>
    <w:rsid w:val="00126F21"/>
    <w:rsid w:val="001279BF"/>
    <w:rsid w:val="00132032"/>
    <w:rsid w:val="00136F69"/>
    <w:rsid w:val="001379B2"/>
    <w:rsid w:val="001427CA"/>
    <w:rsid w:val="00151269"/>
    <w:rsid w:val="0015521B"/>
    <w:rsid w:val="001565E9"/>
    <w:rsid w:val="001571DC"/>
    <w:rsid w:val="00177A6D"/>
    <w:rsid w:val="001813C0"/>
    <w:rsid w:val="001824A9"/>
    <w:rsid w:val="00182FEA"/>
    <w:rsid w:val="0018790F"/>
    <w:rsid w:val="00190DAF"/>
    <w:rsid w:val="00194860"/>
    <w:rsid w:val="00195F1D"/>
    <w:rsid w:val="001B455F"/>
    <w:rsid w:val="001B7DED"/>
    <w:rsid w:val="001C7D01"/>
    <w:rsid w:val="001E2A61"/>
    <w:rsid w:val="001E5AB6"/>
    <w:rsid w:val="00205CAD"/>
    <w:rsid w:val="00205CF6"/>
    <w:rsid w:val="00212FC7"/>
    <w:rsid w:val="0021673F"/>
    <w:rsid w:val="00217E0A"/>
    <w:rsid w:val="0022175A"/>
    <w:rsid w:val="00223389"/>
    <w:rsid w:val="0022455D"/>
    <w:rsid w:val="00237FBC"/>
    <w:rsid w:val="00240B03"/>
    <w:rsid w:val="0024230D"/>
    <w:rsid w:val="00242492"/>
    <w:rsid w:val="00243CFC"/>
    <w:rsid w:val="00244FDF"/>
    <w:rsid w:val="0025265E"/>
    <w:rsid w:val="00263689"/>
    <w:rsid w:val="00264CCF"/>
    <w:rsid w:val="00273AA8"/>
    <w:rsid w:val="00283E83"/>
    <w:rsid w:val="0028517D"/>
    <w:rsid w:val="00293C29"/>
    <w:rsid w:val="002A1EE4"/>
    <w:rsid w:val="002A3E6A"/>
    <w:rsid w:val="002A3E79"/>
    <w:rsid w:val="002A5278"/>
    <w:rsid w:val="002A7AA6"/>
    <w:rsid w:val="002B1841"/>
    <w:rsid w:val="002B1844"/>
    <w:rsid w:val="002B324A"/>
    <w:rsid w:val="002B5DDD"/>
    <w:rsid w:val="002B60F6"/>
    <w:rsid w:val="002C241E"/>
    <w:rsid w:val="002E5A54"/>
    <w:rsid w:val="002E68B2"/>
    <w:rsid w:val="002F2963"/>
    <w:rsid w:val="002F4CC8"/>
    <w:rsid w:val="003026AC"/>
    <w:rsid w:val="0030345B"/>
    <w:rsid w:val="00305128"/>
    <w:rsid w:val="003051B5"/>
    <w:rsid w:val="003119E7"/>
    <w:rsid w:val="0032253C"/>
    <w:rsid w:val="00324BEA"/>
    <w:rsid w:val="003266D2"/>
    <w:rsid w:val="00336169"/>
    <w:rsid w:val="00337ECA"/>
    <w:rsid w:val="00341A37"/>
    <w:rsid w:val="00343E35"/>
    <w:rsid w:val="0035117C"/>
    <w:rsid w:val="0035559A"/>
    <w:rsid w:val="003613B6"/>
    <w:rsid w:val="0037006E"/>
    <w:rsid w:val="00370D47"/>
    <w:rsid w:val="003715A0"/>
    <w:rsid w:val="00372B9B"/>
    <w:rsid w:val="003733D8"/>
    <w:rsid w:val="003733E9"/>
    <w:rsid w:val="00373DCB"/>
    <w:rsid w:val="003807E5"/>
    <w:rsid w:val="00395747"/>
    <w:rsid w:val="00395815"/>
    <w:rsid w:val="00395A2F"/>
    <w:rsid w:val="003A0620"/>
    <w:rsid w:val="003A28E9"/>
    <w:rsid w:val="003A30C8"/>
    <w:rsid w:val="003B1AAB"/>
    <w:rsid w:val="003B3860"/>
    <w:rsid w:val="003B638F"/>
    <w:rsid w:val="003C1FBB"/>
    <w:rsid w:val="003C2265"/>
    <w:rsid w:val="003C4880"/>
    <w:rsid w:val="003E0F42"/>
    <w:rsid w:val="003E10E8"/>
    <w:rsid w:val="003E396F"/>
    <w:rsid w:val="003F4FF0"/>
    <w:rsid w:val="00410A03"/>
    <w:rsid w:val="0041685D"/>
    <w:rsid w:val="004203E0"/>
    <w:rsid w:val="00426CE8"/>
    <w:rsid w:val="0042746B"/>
    <w:rsid w:val="004351D8"/>
    <w:rsid w:val="004429DE"/>
    <w:rsid w:val="00450DE1"/>
    <w:rsid w:val="004518C0"/>
    <w:rsid w:val="0045238A"/>
    <w:rsid w:val="00454E08"/>
    <w:rsid w:val="004615FD"/>
    <w:rsid w:val="00462D55"/>
    <w:rsid w:val="00465C07"/>
    <w:rsid w:val="00466E14"/>
    <w:rsid w:val="00474179"/>
    <w:rsid w:val="00475463"/>
    <w:rsid w:val="00486EA9"/>
    <w:rsid w:val="004918F1"/>
    <w:rsid w:val="004A3921"/>
    <w:rsid w:val="004B09BD"/>
    <w:rsid w:val="004C022C"/>
    <w:rsid w:val="004C0FE4"/>
    <w:rsid w:val="004C51C8"/>
    <w:rsid w:val="004D4284"/>
    <w:rsid w:val="004D49E1"/>
    <w:rsid w:val="004D74D2"/>
    <w:rsid w:val="004F0E42"/>
    <w:rsid w:val="004F3559"/>
    <w:rsid w:val="004F7552"/>
    <w:rsid w:val="004F79BA"/>
    <w:rsid w:val="005006CF"/>
    <w:rsid w:val="0050303C"/>
    <w:rsid w:val="005034F3"/>
    <w:rsid w:val="00505DF3"/>
    <w:rsid w:val="00506595"/>
    <w:rsid w:val="00510776"/>
    <w:rsid w:val="00515022"/>
    <w:rsid w:val="0051512E"/>
    <w:rsid w:val="00516DBD"/>
    <w:rsid w:val="0052194A"/>
    <w:rsid w:val="005256FB"/>
    <w:rsid w:val="00533593"/>
    <w:rsid w:val="0054596E"/>
    <w:rsid w:val="00555CD4"/>
    <w:rsid w:val="00567C60"/>
    <w:rsid w:val="00567F4C"/>
    <w:rsid w:val="00571123"/>
    <w:rsid w:val="00580A0D"/>
    <w:rsid w:val="00586742"/>
    <w:rsid w:val="00587F01"/>
    <w:rsid w:val="0059388E"/>
    <w:rsid w:val="005967BC"/>
    <w:rsid w:val="005A3157"/>
    <w:rsid w:val="005A5B9A"/>
    <w:rsid w:val="005A6D5E"/>
    <w:rsid w:val="005B1597"/>
    <w:rsid w:val="005C1FDF"/>
    <w:rsid w:val="005E0E4A"/>
    <w:rsid w:val="005E5F06"/>
    <w:rsid w:val="005F210E"/>
    <w:rsid w:val="005F5589"/>
    <w:rsid w:val="005F5EA4"/>
    <w:rsid w:val="005F74D0"/>
    <w:rsid w:val="005F7562"/>
    <w:rsid w:val="00605351"/>
    <w:rsid w:val="00605D87"/>
    <w:rsid w:val="00614FA3"/>
    <w:rsid w:val="00615D72"/>
    <w:rsid w:val="00630C66"/>
    <w:rsid w:val="00633A94"/>
    <w:rsid w:val="00634C39"/>
    <w:rsid w:val="00641BDF"/>
    <w:rsid w:val="00652691"/>
    <w:rsid w:val="00652889"/>
    <w:rsid w:val="0066014D"/>
    <w:rsid w:val="006673A0"/>
    <w:rsid w:val="00673F7C"/>
    <w:rsid w:val="00677502"/>
    <w:rsid w:val="0068564D"/>
    <w:rsid w:val="00690752"/>
    <w:rsid w:val="00694010"/>
    <w:rsid w:val="00696965"/>
    <w:rsid w:val="006A49A2"/>
    <w:rsid w:val="006A6157"/>
    <w:rsid w:val="006B0597"/>
    <w:rsid w:val="006B0A68"/>
    <w:rsid w:val="006C0601"/>
    <w:rsid w:val="006D2759"/>
    <w:rsid w:val="006D76E2"/>
    <w:rsid w:val="006E0B10"/>
    <w:rsid w:val="006E259A"/>
    <w:rsid w:val="006E7ADF"/>
    <w:rsid w:val="006F41A0"/>
    <w:rsid w:val="00704FC0"/>
    <w:rsid w:val="00706015"/>
    <w:rsid w:val="00721B34"/>
    <w:rsid w:val="00723EF7"/>
    <w:rsid w:val="00724CBE"/>
    <w:rsid w:val="00733166"/>
    <w:rsid w:val="0073392F"/>
    <w:rsid w:val="007468DD"/>
    <w:rsid w:val="007476FB"/>
    <w:rsid w:val="00750A91"/>
    <w:rsid w:val="00756A4F"/>
    <w:rsid w:val="00756F10"/>
    <w:rsid w:val="00770BEE"/>
    <w:rsid w:val="00770FF7"/>
    <w:rsid w:val="007716A8"/>
    <w:rsid w:val="00772581"/>
    <w:rsid w:val="0077341B"/>
    <w:rsid w:val="00776DF5"/>
    <w:rsid w:val="00781FBC"/>
    <w:rsid w:val="00792A6A"/>
    <w:rsid w:val="007A20DA"/>
    <w:rsid w:val="007A3C28"/>
    <w:rsid w:val="007C016A"/>
    <w:rsid w:val="007C46B8"/>
    <w:rsid w:val="007D6305"/>
    <w:rsid w:val="007E5042"/>
    <w:rsid w:val="007F2511"/>
    <w:rsid w:val="007F25A7"/>
    <w:rsid w:val="00812CE2"/>
    <w:rsid w:val="00816D29"/>
    <w:rsid w:val="008257B8"/>
    <w:rsid w:val="008273B3"/>
    <w:rsid w:val="008363A9"/>
    <w:rsid w:val="0083669D"/>
    <w:rsid w:val="008424D8"/>
    <w:rsid w:val="0085411C"/>
    <w:rsid w:val="00854951"/>
    <w:rsid w:val="00865B8C"/>
    <w:rsid w:val="00867FC0"/>
    <w:rsid w:val="00874C06"/>
    <w:rsid w:val="00880AFF"/>
    <w:rsid w:val="00886551"/>
    <w:rsid w:val="00890F7D"/>
    <w:rsid w:val="008A4A13"/>
    <w:rsid w:val="008B1640"/>
    <w:rsid w:val="008B2E52"/>
    <w:rsid w:val="008C05F7"/>
    <w:rsid w:val="008C7618"/>
    <w:rsid w:val="008D0B34"/>
    <w:rsid w:val="008D1730"/>
    <w:rsid w:val="008D385D"/>
    <w:rsid w:val="008D7CE9"/>
    <w:rsid w:val="008E229F"/>
    <w:rsid w:val="008E56FC"/>
    <w:rsid w:val="00900E25"/>
    <w:rsid w:val="00903DD0"/>
    <w:rsid w:val="00904892"/>
    <w:rsid w:val="0091063E"/>
    <w:rsid w:val="00911E68"/>
    <w:rsid w:val="00914541"/>
    <w:rsid w:val="009209F2"/>
    <w:rsid w:val="0092748A"/>
    <w:rsid w:val="00927590"/>
    <w:rsid w:val="0093429A"/>
    <w:rsid w:val="009470E6"/>
    <w:rsid w:val="0095527B"/>
    <w:rsid w:val="00962D7A"/>
    <w:rsid w:val="009634F5"/>
    <w:rsid w:val="009674D8"/>
    <w:rsid w:val="0098237A"/>
    <w:rsid w:val="00986723"/>
    <w:rsid w:val="00986CD5"/>
    <w:rsid w:val="009877D0"/>
    <w:rsid w:val="00990266"/>
    <w:rsid w:val="00993E11"/>
    <w:rsid w:val="009956F3"/>
    <w:rsid w:val="009A27A7"/>
    <w:rsid w:val="009A33E9"/>
    <w:rsid w:val="009A5091"/>
    <w:rsid w:val="009A69A3"/>
    <w:rsid w:val="009A71A8"/>
    <w:rsid w:val="009B3014"/>
    <w:rsid w:val="009B4897"/>
    <w:rsid w:val="009C15BA"/>
    <w:rsid w:val="009C6720"/>
    <w:rsid w:val="009C6DE9"/>
    <w:rsid w:val="009D78DC"/>
    <w:rsid w:val="009E43A4"/>
    <w:rsid w:val="009F06ED"/>
    <w:rsid w:val="009F69B0"/>
    <w:rsid w:val="00A01E3A"/>
    <w:rsid w:val="00A01F68"/>
    <w:rsid w:val="00A06D78"/>
    <w:rsid w:val="00A16D88"/>
    <w:rsid w:val="00A20ADD"/>
    <w:rsid w:val="00A2432A"/>
    <w:rsid w:val="00A24EF3"/>
    <w:rsid w:val="00A36B41"/>
    <w:rsid w:val="00A42A67"/>
    <w:rsid w:val="00A4576E"/>
    <w:rsid w:val="00A4652D"/>
    <w:rsid w:val="00A568A6"/>
    <w:rsid w:val="00A61859"/>
    <w:rsid w:val="00A70B93"/>
    <w:rsid w:val="00A75C13"/>
    <w:rsid w:val="00A801CD"/>
    <w:rsid w:val="00A95132"/>
    <w:rsid w:val="00A957B5"/>
    <w:rsid w:val="00AA6E05"/>
    <w:rsid w:val="00AB02EA"/>
    <w:rsid w:val="00AC053E"/>
    <w:rsid w:val="00AC0943"/>
    <w:rsid w:val="00AC14EB"/>
    <w:rsid w:val="00AC4D12"/>
    <w:rsid w:val="00AC647F"/>
    <w:rsid w:val="00AD12BE"/>
    <w:rsid w:val="00AD28B6"/>
    <w:rsid w:val="00AD334B"/>
    <w:rsid w:val="00AD36A1"/>
    <w:rsid w:val="00AD3712"/>
    <w:rsid w:val="00AD61B5"/>
    <w:rsid w:val="00AE2B94"/>
    <w:rsid w:val="00AF0A62"/>
    <w:rsid w:val="00AF64E3"/>
    <w:rsid w:val="00B00084"/>
    <w:rsid w:val="00B0441C"/>
    <w:rsid w:val="00B27E8E"/>
    <w:rsid w:val="00B354AA"/>
    <w:rsid w:val="00B35D67"/>
    <w:rsid w:val="00B36ABA"/>
    <w:rsid w:val="00B406EE"/>
    <w:rsid w:val="00B419C8"/>
    <w:rsid w:val="00B54C1C"/>
    <w:rsid w:val="00B5700F"/>
    <w:rsid w:val="00B753ED"/>
    <w:rsid w:val="00B77453"/>
    <w:rsid w:val="00B8337F"/>
    <w:rsid w:val="00B84C02"/>
    <w:rsid w:val="00B87FC8"/>
    <w:rsid w:val="00B91A7E"/>
    <w:rsid w:val="00B92C6D"/>
    <w:rsid w:val="00B94E7E"/>
    <w:rsid w:val="00B94E96"/>
    <w:rsid w:val="00BA2123"/>
    <w:rsid w:val="00BB292C"/>
    <w:rsid w:val="00BB434F"/>
    <w:rsid w:val="00BB7EB2"/>
    <w:rsid w:val="00BD1F89"/>
    <w:rsid w:val="00BD50D7"/>
    <w:rsid w:val="00BD5613"/>
    <w:rsid w:val="00BE4897"/>
    <w:rsid w:val="00BF477B"/>
    <w:rsid w:val="00BF6800"/>
    <w:rsid w:val="00BF6B39"/>
    <w:rsid w:val="00C1144D"/>
    <w:rsid w:val="00C174A8"/>
    <w:rsid w:val="00C21DA6"/>
    <w:rsid w:val="00C23526"/>
    <w:rsid w:val="00C276BA"/>
    <w:rsid w:val="00C31709"/>
    <w:rsid w:val="00C53080"/>
    <w:rsid w:val="00C54685"/>
    <w:rsid w:val="00C63639"/>
    <w:rsid w:val="00C665E5"/>
    <w:rsid w:val="00C6771C"/>
    <w:rsid w:val="00C71205"/>
    <w:rsid w:val="00C756F1"/>
    <w:rsid w:val="00C801A7"/>
    <w:rsid w:val="00C90F6D"/>
    <w:rsid w:val="00C93C4D"/>
    <w:rsid w:val="00C947C4"/>
    <w:rsid w:val="00C94AA5"/>
    <w:rsid w:val="00CA7C75"/>
    <w:rsid w:val="00CB0E7D"/>
    <w:rsid w:val="00CB589A"/>
    <w:rsid w:val="00CC4598"/>
    <w:rsid w:val="00CC7109"/>
    <w:rsid w:val="00CD1FE1"/>
    <w:rsid w:val="00CE3BA9"/>
    <w:rsid w:val="00CE3D95"/>
    <w:rsid w:val="00CE5291"/>
    <w:rsid w:val="00CF1E73"/>
    <w:rsid w:val="00CF2F50"/>
    <w:rsid w:val="00CF597D"/>
    <w:rsid w:val="00CF7CF4"/>
    <w:rsid w:val="00D0217C"/>
    <w:rsid w:val="00D1296F"/>
    <w:rsid w:val="00D15CAF"/>
    <w:rsid w:val="00D17D3E"/>
    <w:rsid w:val="00D21EBA"/>
    <w:rsid w:val="00D232A2"/>
    <w:rsid w:val="00D247A5"/>
    <w:rsid w:val="00D30DF5"/>
    <w:rsid w:val="00D33106"/>
    <w:rsid w:val="00D33202"/>
    <w:rsid w:val="00D3499E"/>
    <w:rsid w:val="00D40110"/>
    <w:rsid w:val="00D421EC"/>
    <w:rsid w:val="00D45BA9"/>
    <w:rsid w:val="00D52DFE"/>
    <w:rsid w:val="00D62D29"/>
    <w:rsid w:val="00D63C4C"/>
    <w:rsid w:val="00D66BA4"/>
    <w:rsid w:val="00D67318"/>
    <w:rsid w:val="00D70053"/>
    <w:rsid w:val="00D70828"/>
    <w:rsid w:val="00D72DCB"/>
    <w:rsid w:val="00D77A21"/>
    <w:rsid w:val="00D8047F"/>
    <w:rsid w:val="00D94E13"/>
    <w:rsid w:val="00DA4C29"/>
    <w:rsid w:val="00DB16FB"/>
    <w:rsid w:val="00DB1C51"/>
    <w:rsid w:val="00DB1CD1"/>
    <w:rsid w:val="00DB4D28"/>
    <w:rsid w:val="00DC17A8"/>
    <w:rsid w:val="00DC3D8D"/>
    <w:rsid w:val="00DC45DA"/>
    <w:rsid w:val="00DD202D"/>
    <w:rsid w:val="00DE58B6"/>
    <w:rsid w:val="00DF17BF"/>
    <w:rsid w:val="00E01385"/>
    <w:rsid w:val="00E0175C"/>
    <w:rsid w:val="00E0197C"/>
    <w:rsid w:val="00E13320"/>
    <w:rsid w:val="00E136D8"/>
    <w:rsid w:val="00E21B63"/>
    <w:rsid w:val="00E230AA"/>
    <w:rsid w:val="00E24E1B"/>
    <w:rsid w:val="00E2681D"/>
    <w:rsid w:val="00E32E56"/>
    <w:rsid w:val="00E37AED"/>
    <w:rsid w:val="00E52949"/>
    <w:rsid w:val="00E66D85"/>
    <w:rsid w:val="00E674DA"/>
    <w:rsid w:val="00E712E2"/>
    <w:rsid w:val="00E749A3"/>
    <w:rsid w:val="00E753BC"/>
    <w:rsid w:val="00E80F52"/>
    <w:rsid w:val="00E8731B"/>
    <w:rsid w:val="00E917B7"/>
    <w:rsid w:val="00E954BD"/>
    <w:rsid w:val="00EA1488"/>
    <w:rsid w:val="00EA6B78"/>
    <w:rsid w:val="00EC3596"/>
    <w:rsid w:val="00EC5D71"/>
    <w:rsid w:val="00EC73AF"/>
    <w:rsid w:val="00ED485D"/>
    <w:rsid w:val="00EE5B31"/>
    <w:rsid w:val="00EE5D24"/>
    <w:rsid w:val="00EF2DE4"/>
    <w:rsid w:val="00EF4750"/>
    <w:rsid w:val="00EF5AA3"/>
    <w:rsid w:val="00F02FE7"/>
    <w:rsid w:val="00F04061"/>
    <w:rsid w:val="00F06077"/>
    <w:rsid w:val="00F063AA"/>
    <w:rsid w:val="00F07956"/>
    <w:rsid w:val="00F16DA6"/>
    <w:rsid w:val="00F3062A"/>
    <w:rsid w:val="00F34604"/>
    <w:rsid w:val="00F34E38"/>
    <w:rsid w:val="00F36310"/>
    <w:rsid w:val="00F44C82"/>
    <w:rsid w:val="00F57B1B"/>
    <w:rsid w:val="00F608A7"/>
    <w:rsid w:val="00F6657B"/>
    <w:rsid w:val="00F700FA"/>
    <w:rsid w:val="00F75428"/>
    <w:rsid w:val="00F76BED"/>
    <w:rsid w:val="00F80664"/>
    <w:rsid w:val="00F81047"/>
    <w:rsid w:val="00F84454"/>
    <w:rsid w:val="00F87154"/>
    <w:rsid w:val="00F87C40"/>
    <w:rsid w:val="00F91812"/>
    <w:rsid w:val="00FA3CAA"/>
    <w:rsid w:val="00FA51F8"/>
    <w:rsid w:val="00FA638A"/>
    <w:rsid w:val="00FA6F31"/>
    <w:rsid w:val="00FB2810"/>
    <w:rsid w:val="00FB4988"/>
    <w:rsid w:val="00FB60BC"/>
    <w:rsid w:val="00FC5E2F"/>
    <w:rsid w:val="00FC76A6"/>
    <w:rsid w:val="00FE2ECB"/>
    <w:rsid w:val="00FE5A75"/>
    <w:rsid w:val="0FE217DA"/>
    <w:rsid w:val="143E78F1"/>
    <w:rsid w:val="398950BD"/>
    <w:rsid w:val="5AC71F19"/>
    <w:rsid w:val="5D6970B6"/>
    <w:rsid w:val="7328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autoRedefine/>
    <w:qFormat/>
    <w:uiPriority w:val="0"/>
    <w:pPr>
      <w:spacing w:before="240" w:after="60"/>
      <w:jc w:val="center"/>
      <w:outlineLvl w:val="0"/>
    </w:pPr>
    <w:rPr>
      <w:rFonts w:ascii="Cambria" w:hAnsi="Cambria"/>
      <w:b/>
      <w:bCs/>
      <w:sz w:val="32"/>
      <w:szCs w:val="32"/>
    </w:rPr>
  </w:style>
  <w:style w:type="character" w:styleId="8">
    <w:name w:val="page number"/>
    <w:basedOn w:val="7"/>
    <w:autoRedefine/>
    <w:qFormat/>
    <w:uiPriority w:val="0"/>
  </w:style>
  <w:style w:type="character" w:customStyle="1" w:styleId="9">
    <w:name w:val="页脚 Char"/>
    <w:basedOn w:val="7"/>
    <w:link w:val="3"/>
    <w:autoRedefine/>
    <w:qFormat/>
    <w:uiPriority w:val="0"/>
    <w:rPr>
      <w:rFonts w:ascii="Times New Roman" w:hAnsi="Times New Roman" w:eastAsia="宋体" w:cs="Times New Roman"/>
      <w:sz w:val="18"/>
      <w:szCs w:val="18"/>
    </w:rPr>
  </w:style>
  <w:style w:type="character" w:customStyle="1" w:styleId="10">
    <w:name w:val="页眉 Char"/>
    <w:basedOn w:val="7"/>
    <w:link w:val="4"/>
    <w:autoRedefine/>
    <w:semiHidden/>
    <w:qFormat/>
    <w:uiPriority w:val="99"/>
    <w:rPr>
      <w:rFonts w:ascii="Times New Roman" w:hAnsi="Times New Roman"/>
      <w:kern w:val="2"/>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rFonts w:ascii="Times New Roman" w:hAnsi="Times New Roman"/>
      <w:kern w:val="2"/>
      <w:sz w:val="18"/>
      <w:szCs w:val="18"/>
    </w:rPr>
  </w:style>
  <w:style w:type="character" w:customStyle="1" w:styleId="13">
    <w:name w:val="标题 Char"/>
    <w:basedOn w:val="7"/>
    <w:link w:val="5"/>
    <w:autoRedefine/>
    <w:qFormat/>
    <w:uiPriority w:val="0"/>
    <w:rPr>
      <w:rFonts w:ascii="Cambria" w:hAnsi="Cambria"/>
      <w:b/>
      <w:bCs/>
      <w:kern w:val="2"/>
      <w:sz w:val="32"/>
      <w:szCs w:val="32"/>
    </w:rPr>
  </w:style>
  <w:style w:type="character" w:customStyle="1" w:styleId="14">
    <w:name w:val="font7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4EB6-BA78-443B-8BFF-2A8084C898E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304</Words>
  <Characters>1736</Characters>
  <Lines>14</Lines>
  <Paragraphs>4</Paragraphs>
  <TotalTime>5</TotalTime>
  <ScaleCrop>false</ScaleCrop>
  <LinksUpToDate>false</LinksUpToDate>
  <CharactersWithSpaces>2036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2018-02-12T02:33:00Z</dcterms:created>
  <dc:creator>微软用户</dc:creator>
  <cp:lastModifiedBy>赵</cp:lastModifiedBy>
  <cp:lastPrinted>2024-01-26T06:35:30Z</cp:lastPrinted>
  <dcterms:modified xsi:type="dcterms:W3CDTF">2024-01-26T06:36:49Z</dcterms:modified>
  <dc:title>附件1：</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72274BA33A1F403095BEF5AD321D0D31_12</vt:lpwstr>
  </property>
</Properties>
</file>