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北京市西城区人民政府天桥街道办事处</w:t>
      </w:r>
    </w:p>
    <w:p>
      <w:pPr>
        <w:pStyle w:val="4"/>
        <w:keepNext w:val="0"/>
        <w:keepLines w:val="0"/>
        <w:widowControl/>
        <w:suppressLineNumbers w:val="0"/>
        <w:jc w:val="center"/>
        <w:rPr>
          <w:sz w:val="44"/>
          <w:szCs w:val="44"/>
        </w:rPr>
      </w:pPr>
      <w:r>
        <w:rPr>
          <w:rFonts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3</w:t>
      </w:r>
      <w:r>
        <w:rPr>
          <w:rFonts w:ascii="方正小标宋简体" w:hAnsi="方正小标宋简体" w:eastAsia="方正小标宋简体" w:cs="方正小标宋简体"/>
          <w:color w:val="000000"/>
          <w:sz w:val="44"/>
          <w:szCs w:val="44"/>
        </w:rPr>
        <w:t>年政府信息公开</w:t>
      </w:r>
      <w:r>
        <w:rPr>
          <w:rFonts w:hint="default" w:ascii="方正小标宋简体" w:hAnsi="方正小标宋简体" w:eastAsia="方正小标宋简体" w:cs="方正小标宋简体"/>
          <w:color w:val="000000"/>
          <w:sz w:val="44"/>
          <w:szCs w:val="44"/>
        </w:rPr>
        <w:t>工作年度报告</w:t>
      </w:r>
    </w:p>
    <w:p>
      <w:pPr>
        <w:pStyle w:val="4"/>
        <w:keepNext w:val="0"/>
        <w:keepLines w:val="0"/>
        <w:widowControl/>
        <w:suppressLineNumbers w:val="0"/>
      </w:pPr>
      <w:r>
        <w:t> </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依据《中华人民共和国政府信息公开条例》(以下简称《政府信息公开条例》)第五十条规定，编制本报告。</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pPr>
      <w:r>
        <w:t> </w:t>
      </w:r>
      <w:r>
        <w:rPr>
          <w:rFonts w:hint="eastAsia"/>
          <w:lang w:val="en-US" w:eastAsia="zh-CN"/>
        </w:rPr>
        <w:t xml:space="preserve">    </w:t>
      </w:r>
      <w:r>
        <w:rPr>
          <w:rFonts w:ascii="方正黑体_GBK" w:hAnsi="方正黑体_GBK" w:eastAsia="方正黑体_GBK" w:cs="方正黑体_GBK"/>
          <w:color w:val="000000"/>
          <w:sz w:val="31"/>
          <w:szCs w:val="31"/>
        </w:rPr>
        <w:t>一、总体情况</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lang w:eastAsia="zh-CN"/>
        </w:rPr>
        <w:t>（一）</w:t>
      </w:r>
      <w:r>
        <w:rPr>
          <w:rFonts w:hint="eastAsia" w:ascii="楷体" w:hAnsi="楷体" w:eastAsia="楷体" w:cs="楷体"/>
          <w:color w:val="000000"/>
          <w:sz w:val="32"/>
          <w:szCs w:val="32"/>
        </w:rPr>
        <w:t>组织领导</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天桥</w:t>
      </w:r>
      <w:r>
        <w:rPr>
          <w:rFonts w:hint="eastAsia" w:ascii="仿宋" w:hAnsi="仿宋" w:eastAsia="仿宋" w:cs="仿宋"/>
          <w:color w:val="000000"/>
          <w:sz w:val="32"/>
          <w:szCs w:val="32"/>
        </w:rPr>
        <w:t>街道</w:t>
      </w:r>
      <w:r>
        <w:rPr>
          <w:rFonts w:hint="eastAsia" w:ascii="仿宋" w:hAnsi="仿宋" w:eastAsia="仿宋" w:cs="仿宋"/>
          <w:color w:val="000000"/>
          <w:sz w:val="32"/>
          <w:szCs w:val="32"/>
          <w:lang w:eastAsia="zh-CN"/>
        </w:rPr>
        <w:t>持续强化</w:t>
      </w:r>
      <w:r>
        <w:rPr>
          <w:rFonts w:hint="eastAsia" w:ascii="仿宋" w:hAnsi="仿宋" w:eastAsia="仿宋" w:cs="仿宋"/>
          <w:color w:val="000000"/>
          <w:sz w:val="32"/>
          <w:szCs w:val="32"/>
        </w:rPr>
        <w:t>政务公开工作组织领导，</w:t>
      </w:r>
      <w:r>
        <w:rPr>
          <w:rFonts w:hint="eastAsia" w:ascii="仿宋" w:hAnsi="仿宋" w:eastAsia="仿宋" w:cs="仿宋"/>
          <w:color w:val="000000"/>
          <w:sz w:val="32"/>
          <w:szCs w:val="32"/>
          <w:lang w:val="en-US" w:eastAsia="zh-CN"/>
        </w:rPr>
        <w:t>高度重视、积极推进政务公开工作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加强对政务公开工作的</w:t>
      </w:r>
      <w:r>
        <w:rPr>
          <w:rFonts w:hint="eastAsia" w:ascii="仿宋" w:hAnsi="仿宋" w:eastAsia="仿宋" w:cs="仿宋"/>
          <w:color w:val="000000"/>
          <w:sz w:val="32"/>
          <w:szCs w:val="32"/>
          <w:lang w:eastAsia="zh-CN"/>
        </w:rPr>
        <w:t>领导</w:t>
      </w:r>
      <w:r>
        <w:rPr>
          <w:rFonts w:hint="eastAsia" w:ascii="仿宋" w:hAnsi="仿宋" w:eastAsia="仿宋" w:cs="仿宋"/>
          <w:color w:val="000000"/>
          <w:sz w:val="32"/>
          <w:szCs w:val="32"/>
          <w:lang w:val="en-US" w:eastAsia="zh-CN"/>
        </w:rPr>
        <w:t>与协调，以全党深入开展的主题教育为契机，结合天桥街道“双提升”工程，形成街道综合办公室负总责、相关业务科室配合的工作机制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2023</w:t>
      </w:r>
      <w:r>
        <w:rPr>
          <w:rFonts w:hint="eastAsia" w:ascii="仿宋" w:hAnsi="仿宋" w:eastAsia="仿宋" w:cs="仿宋"/>
          <w:color w:val="000000"/>
          <w:sz w:val="32"/>
          <w:szCs w:val="32"/>
        </w:rPr>
        <w:t>年总体工作运行平稳</w:t>
      </w:r>
      <w:r>
        <w:rPr>
          <w:rFonts w:hint="eastAsia" w:ascii="仿宋" w:hAnsi="仿宋" w:eastAsia="仿宋" w:cs="仿宋"/>
          <w:color w:val="000000"/>
          <w:sz w:val="32"/>
          <w:szCs w:val="32"/>
          <w:lang w:val="en-US" w:eastAsia="zh-CN"/>
        </w:rPr>
        <w:t>有序</w:t>
      </w:r>
      <w:r>
        <w:rPr>
          <w:rFonts w:hint="eastAsia" w:ascii="仿宋" w:hAnsi="仿宋" w:eastAsia="仿宋" w:cs="仿宋"/>
          <w:color w:val="000000"/>
          <w:sz w:val="32"/>
          <w:szCs w:val="32"/>
        </w:rPr>
        <w:t>，各业务科室根据工作实际对各类工作情况</w:t>
      </w:r>
      <w:r>
        <w:rPr>
          <w:rFonts w:hint="eastAsia" w:ascii="仿宋" w:hAnsi="仿宋" w:eastAsia="仿宋" w:cs="仿宋"/>
          <w:color w:val="000000"/>
          <w:sz w:val="32"/>
          <w:szCs w:val="32"/>
          <w:lang w:val="en-US" w:eastAsia="zh-CN"/>
        </w:rPr>
        <w:t>做到依法有序</w:t>
      </w:r>
      <w:r>
        <w:rPr>
          <w:rFonts w:hint="eastAsia" w:ascii="仿宋" w:hAnsi="仿宋" w:eastAsia="仿宋" w:cs="仿宋"/>
          <w:color w:val="000000"/>
          <w:sz w:val="32"/>
          <w:szCs w:val="32"/>
        </w:rPr>
        <w:t>公开，由综合办公室负责信息审核和发布工作。</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（二）主动公开情况</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rPr>
      </w:pPr>
      <w:r>
        <w:rPr>
          <w:rFonts w:hint="eastAsia" w:ascii="仿宋_GB2312" w:eastAsia="仿宋_GB2312"/>
          <w:sz w:val="32"/>
          <w:szCs w:val="32"/>
          <w:lang w:eastAsia="zh-CN"/>
        </w:rPr>
        <w:t>对照《政府信息公开条例》第二十</w:t>
      </w:r>
      <w:r>
        <w:rPr>
          <w:rFonts w:hint="eastAsia" w:ascii="仿宋_GB2312" w:eastAsia="仿宋_GB2312"/>
          <w:sz w:val="32"/>
          <w:szCs w:val="32"/>
          <w:lang w:val="en-US" w:eastAsia="zh-CN"/>
        </w:rPr>
        <w:t>条规定，</w:t>
      </w:r>
      <w:r>
        <w:rPr>
          <w:rFonts w:hint="eastAsia" w:ascii="仿宋_GB2312" w:eastAsia="仿宋_GB2312"/>
          <w:sz w:val="32"/>
          <w:szCs w:val="32"/>
          <w:lang w:eastAsia="zh-CN"/>
        </w:rPr>
        <w:t>结合</w:t>
      </w:r>
      <w:r>
        <w:rPr>
          <w:rFonts w:hint="eastAsia" w:ascii="仿宋_GB2312" w:eastAsia="仿宋_GB2312"/>
          <w:sz w:val="32"/>
          <w:szCs w:val="32"/>
          <w:lang w:val="en-US" w:eastAsia="zh-CN"/>
        </w:rPr>
        <w:t>本单位工作职责，</w:t>
      </w:r>
      <w:r>
        <w:rPr>
          <w:rFonts w:hint="eastAsia" w:ascii="仿宋_GB2312" w:eastAsia="仿宋_GB2312"/>
          <w:sz w:val="32"/>
          <w:szCs w:val="32"/>
        </w:rPr>
        <w:t>在本单位网站显著位置公开相关信息。</w:t>
      </w:r>
      <w:r>
        <w:rPr>
          <w:rFonts w:hint="eastAsia" w:ascii="仿宋_GB2312" w:eastAsia="仿宋_GB2312"/>
          <w:sz w:val="32"/>
          <w:szCs w:val="32"/>
          <w:lang w:eastAsia="zh-CN"/>
        </w:rPr>
        <w:t>在</w:t>
      </w:r>
      <w:r>
        <w:rPr>
          <w:rFonts w:hint="eastAsia" w:ascii="仿宋_GB2312" w:eastAsia="仿宋_GB2312"/>
          <w:sz w:val="32"/>
          <w:szCs w:val="32"/>
          <w:lang w:val="en-US" w:eastAsia="zh-CN"/>
        </w:rPr>
        <w:t>街道</w:t>
      </w:r>
      <w:r>
        <w:rPr>
          <w:rFonts w:hint="eastAsia" w:ascii="仿宋_GB2312" w:eastAsia="仿宋_GB2312"/>
          <w:sz w:val="32"/>
          <w:szCs w:val="32"/>
          <w:lang w:eastAsia="zh-CN"/>
        </w:rPr>
        <w:t>领导干部调整后，及时更新</w:t>
      </w:r>
      <w:r>
        <w:rPr>
          <w:rFonts w:hint="eastAsia" w:ascii="仿宋_GB2312" w:hAnsi="仿宋_GB2312" w:eastAsia="仿宋_GB2312" w:cs="仿宋_GB2312"/>
          <w:sz w:val="32"/>
          <w:szCs w:val="32"/>
          <w:lang w:val="en-US" w:eastAsia="zh-CN"/>
        </w:rPr>
        <w:t>领导介绍版块信息；按时更新信息公开指南、主动公开全清单、信息公开年报、办实事计划、财政预决算、工作总结计划等信息；对地区城市管理、民生保障、安全生产、社区文化等重点工作，公开工作信息37条，</w:t>
      </w:r>
      <w:r>
        <w:rPr>
          <w:rFonts w:hint="default" w:ascii="仿宋_GB2312" w:hAnsi="仿宋_GB2312" w:eastAsia="仿宋_GB2312" w:cs="仿宋_GB2312"/>
          <w:sz w:val="32"/>
          <w:szCs w:val="32"/>
          <w:lang w:val="en-US" w:eastAsia="zh-CN"/>
        </w:rPr>
        <w:t>财政预算决算信息</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条、规划计划总结类信息</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条</w:t>
      </w:r>
      <w:r>
        <w:rPr>
          <w:rFonts w:hint="eastAsia" w:ascii="仿宋_GB2312" w:hAnsi="仿宋_GB2312" w:eastAsia="仿宋_GB2312" w:cs="仿宋_GB2312"/>
          <w:sz w:val="32"/>
          <w:szCs w:val="32"/>
          <w:lang w:val="en-US" w:eastAsia="zh-CN"/>
        </w:rPr>
        <w:t>，</w:t>
      </w:r>
      <w:r>
        <w:rPr>
          <w:rFonts w:hint="eastAsia" w:ascii="仿宋_GB2312" w:eastAsia="仿宋_GB2312"/>
          <w:sz w:val="32"/>
          <w:szCs w:val="32"/>
          <w:lang w:val="en-US" w:eastAsia="zh-CN"/>
        </w:rPr>
        <w:t>公开城管执法行政处罚裁量基准、执法依据、执法检查情况，完成</w:t>
      </w:r>
      <w:r>
        <w:rPr>
          <w:rFonts w:hint="eastAsia" w:ascii="仿宋_GB2312" w:hAnsi="仿宋_GB2312" w:eastAsia="仿宋_GB2312" w:cs="仿宋_GB2312"/>
          <w:sz w:val="32"/>
          <w:szCs w:val="32"/>
          <w:lang w:val="en-US" w:eastAsia="zh-CN"/>
        </w:rPr>
        <w:t>行政处罚公示，2023年共公示城管执法处罚信息464条，城市管理权利义务等相关告知书4条</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街道微信公众号2023年累计推送信息834条，关注量17841人次。</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（三）依申请公开情况</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2023</w:t>
      </w:r>
      <w:r>
        <w:rPr>
          <w:rFonts w:hint="eastAsia" w:ascii="仿宋" w:hAnsi="仿宋" w:eastAsia="仿宋" w:cs="仿宋"/>
          <w:color w:val="000000"/>
          <w:sz w:val="32"/>
          <w:szCs w:val="32"/>
        </w:rPr>
        <w:t>年度受理依申请公开</w:t>
      </w:r>
      <w:r>
        <w:rPr>
          <w:rFonts w:hint="eastAsia" w:ascii="仿宋" w:hAnsi="仿宋" w:eastAsia="仿宋" w:cs="仿宋"/>
          <w:color w:val="000000"/>
          <w:sz w:val="32"/>
          <w:szCs w:val="32"/>
          <w:lang w:val="en-US" w:eastAsia="zh-CN"/>
        </w:rPr>
        <w:t>19</w:t>
      </w:r>
      <w:r>
        <w:rPr>
          <w:rFonts w:hint="eastAsia" w:ascii="仿宋" w:hAnsi="仿宋" w:eastAsia="仿宋" w:cs="仿宋"/>
          <w:color w:val="000000"/>
          <w:sz w:val="32"/>
          <w:szCs w:val="32"/>
        </w:rPr>
        <w:t>件，其中</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件涉及</w:t>
      </w:r>
      <w:r>
        <w:rPr>
          <w:rFonts w:hint="eastAsia" w:ascii="仿宋" w:hAnsi="仿宋" w:eastAsia="仿宋" w:cs="仿宋"/>
          <w:color w:val="000000"/>
          <w:sz w:val="32"/>
          <w:szCs w:val="32"/>
          <w:lang w:val="en-US" w:eastAsia="zh-CN"/>
        </w:rPr>
        <w:t>已主动公开，3件涉及属于执法案卷，依据条例规定不予公开</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19件依申请公开案件严格按照条例规定和保密审查机制，做到件件有答复、事事有回音，同时</w:t>
      </w:r>
      <w:r>
        <w:rPr>
          <w:rFonts w:hint="eastAsia" w:ascii="仿宋" w:hAnsi="仿宋" w:eastAsia="仿宋" w:cs="仿宋"/>
          <w:color w:val="000000"/>
          <w:sz w:val="32"/>
          <w:szCs w:val="32"/>
          <w:lang w:eastAsia="zh-CN"/>
        </w:rPr>
        <w:t>及时完成系统录入工作，</w:t>
      </w:r>
      <w:r>
        <w:rPr>
          <w:rFonts w:hint="eastAsia" w:ascii="仿宋" w:hAnsi="仿宋" w:eastAsia="仿宋" w:cs="仿宋"/>
          <w:color w:val="000000"/>
          <w:sz w:val="32"/>
          <w:szCs w:val="32"/>
          <w:lang w:val="en-US" w:eastAsia="zh-CN"/>
        </w:rPr>
        <w:t>记录在案</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19件依申请公开案件中未产生申请人行政复议甚至行政诉讼的情况。</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（四）政府信息管理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b w:val="0"/>
          <w:bCs w:val="0"/>
          <w:sz w:val="32"/>
          <w:szCs w:val="32"/>
          <w:lang w:eastAsia="zh-CN"/>
        </w:rPr>
      </w:pPr>
      <w:r>
        <w:rPr>
          <w:rFonts w:hint="eastAsia" w:ascii="仿宋" w:hAnsi="仿宋" w:eastAsia="仿宋" w:cs="仿宋"/>
          <w:b/>
          <w:bCs/>
          <w:color w:val="000000"/>
          <w:sz w:val="32"/>
          <w:szCs w:val="32"/>
          <w:lang w:eastAsia="zh-CN"/>
        </w:rPr>
        <w:t>一是</w:t>
      </w:r>
      <w:r>
        <w:rPr>
          <w:rFonts w:hint="eastAsia" w:ascii="仿宋" w:hAnsi="仿宋" w:eastAsia="仿宋" w:cs="仿宋"/>
          <w:color w:val="000000"/>
          <w:sz w:val="32"/>
          <w:szCs w:val="32"/>
        </w:rPr>
        <w:t>严格对照《政府信息公开条例》第十七条规定，建立健全政府信息公开保密审查机制。主动公开和依申请公开信息严格执行保密审查机制，坚持业务工作和保密工作双重领导审核，</w:t>
      </w:r>
      <w:r>
        <w:rPr>
          <w:rFonts w:hint="eastAsia" w:ascii="仿宋" w:hAnsi="仿宋" w:eastAsia="仿宋" w:cs="仿宋"/>
          <w:color w:val="000000"/>
          <w:sz w:val="32"/>
          <w:szCs w:val="32"/>
          <w:lang w:val="en-US" w:eastAsia="zh-CN"/>
        </w:rPr>
        <w:t>即街道副主任审批公开、街道副书记保密审查，经</w:t>
      </w:r>
      <w:r>
        <w:rPr>
          <w:rFonts w:hint="eastAsia" w:ascii="仿宋" w:hAnsi="仿宋" w:eastAsia="仿宋" w:cs="仿宋"/>
          <w:color w:val="000000"/>
          <w:sz w:val="32"/>
          <w:szCs w:val="32"/>
        </w:rPr>
        <w:t>自查未发现落实不到位造成失泄密问题。</w:t>
      </w:r>
      <w:r>
        <w:rPr>
          <w:rFonts w:hint="eastAsia" w:ascii="仿宋" w:hAnsi="仿宋" w:eastAsia="仿宋" w:cs="仿宋"/>
          <w:b/>
          <w:bCs/>
          <w:color w:val="000000"/>
          <w:sz w:val="32"/>
          <w:szCs w:val="32"/>
          <w:lang w:eastAsia="zh-CN"/>
        </w:rPr>
        <w:t>二是</w:t>
      </w:r>
      <w:r>
        <w:rPr>
          <w:rFonts w:hint="eastAsia" w:ascii="仿宋_GB2312" w:hAnsi="Times New Roman" w:eastAsia="仿宋_GB2312" w:cs="Times New Roman"/>
          <w:sz w:val="32"/>
          <w:szCs w:val="32"/>
          <w:lang w:val="en-US" w:eastAsia="zh-CN"/>
        </w:rPr>
        <w:t>组织街道综合办公室、民生</w:t>
      </w:r>
      <w:r>
        <w:rPr>
          <w:rFonts w:hint="eastAsia" w:ascii="仿宋_GB2312" w:eastAsia="仿宋_GB2312" w:cs="Times New Roman"/>
          <w:sz w:val="32"/>
          <w:szCs w:val="32"/>
          <w:lang w:val="en-US" w:eastAsia="zh-CN"/>
        </w:rPr>
        <w:t>保障</w:t>
      </w:r>
      <w:r>
        <w:rPr>
          <w:rFonts w:hint="eastAsia" w:ascii="仿宋_GB2312" w:hAnsi="Times New Roman" w:eastAsia="仿宋_GB2312" w:cs="Times New Roman"/>
          <w:sz w:val="32"/>
          <w:szCs w:val="32"/>
          <w:lang w:val="en-US" w:eastAsia="zh-CN"/>
        </w:rPr>
        <w:t>办公室、</w:t>
      </w:r>
      <w:r>
        <w:rPr>
          <w:rFonts w:hint="eastAsia" w:ascii="仿宋_GB2312" w:eastAsia="仿宋_GB2312" w:cs="Times New Roman"/>
          <w:sz w:val="32"/>
          <w:szCs w:val="32"/>
          <w:lang w:val="en-US" w:eastAsia="zh-CN"/>
        </w:rPr>
        <w:t>城市管理</w:t>
      </w:r>
      <w:r>
        <w:rPr>
          <w:rFonts w:hint="eastAsia" w:ascii="仿宋_GB2312" w:hAnsi="Times New Roman" w:eastAsia="仿宋_GB2312" w:cs="Times New Roman"/>
          <w:sz w:val="32"/>
          <w:szCs w:val="32"/>
          <w:lang w:val="en-US" w:eastAsia="zh-CN"/>
        </w:rPr>
        <w:t>办公室、市民服务中心等相关部门加强学习，聘请专业人士讲授相关法律法规，强化相关工作的培训。</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（五）政府信息公开平台建设</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按照政务服务局要求，充分发挥平台作用，每个月及时利用北京市政府信息公开工作管理系统，真实、有效报送关于主动公开和依申请公开数据，年底及时在国办数据库中上报年度工作数据，同时利用系统向上级部门反馈工作中的难点以及意见建议，有效地为平台建设出谋划策</w:t>
      </w:r>
      <w:r>
        <w:rPr>
          <w:rFonts w:hint="eastAsia" w:ascii="仿宋" w:hAnsi="仿宋" w:eastAsia="仿宋" w:cs="仿宋"/>
          <w:color w:val="000000"/>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（六）教育培训和监督保障</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信息公开工作相关人员主动深入学习有关法规政策，积极参加区政务服务局组织举办的有关信息公开工作的各类业务培训、工作会议，不断提升信息公开工作能力，逐步增强信息公开透明度；综合办公室严格执行信息公开保密审查机制，强化责任感，确保保密审查工作的科学化和规范化。</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textAlignment w:val="auto"/>
        <w:rPr>
          <w:rFonts w:hint="default" w:ascii="方正黑体_GBK" w:hAnsi="方正黑体_GBK" w:eastAsia="方正黑体_GBK" w:cs="方正黑体_GBK"/>
          <w:color w:val="000000"/>
          <w:sz w:val="31"/>
          <w:szCs w:val="31"/>
        </w:rPr>
      </w:pPr>
      <w:r>
        <w:rPr>
          <w:rFonts w:hint="default" w:ascii="方正黑体_GBK" w:hAnsi="方正黑体_GBK" w:eastAsia="方正黑体_GBK" w:cs="方正黑体_GBK"/>
          <w:color w:val="000000"/>
          <w:sz w:val="31"/>
          <w:szCs w:val="31"/>
        </w:rPr>
        <w:t>二、主动公开政府信息情况</w:t>
      </w:r>
    </w:p>
    <w:tbl>
      <w:tblPr>
        <w:tblStyle w:val="6"/>
        <w:tblW w:w="98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690"/>
        <w:gridCol w:w="2460"/>
        <w:gridCol w:w="2616"/>
        <w:gridCol w:w="3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9886" w:type="dxa"/>
            <w:gridSpan w:val="4"/>
            <w:tcBorders>
              <w:top w:val="single" w:color="000000" w:sz="8" w:space="0"/>
              <w:left w:val="single" w:color="000000" w:sz="8" w:space="0"/>
              <w:bottom w:val="single" w:color="000000" w:sz="8" w:space="0"/>
              <w:right w:val="single" w:color="000000" w:sz="8" w:space="0"/>
            </w:tcBorders>
            <w:shd w:val="clear" w:color="auto" w:fill="C6D9F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1690"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2460"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w:t>
            </w:r>
            <w:r>
              <w:rPr>
                <w:rStyle w:val="16"/>
                <w:lang w:val="en-US" w:eastAsia="zh-CN" w:bidi="ar"/>
              </w:rPr>
              <w:t>制发件数</w:t>
            </w:r>
          </w:p>
        </w:tc>
        <w:tc>
          <w:tcPr>
            <w:tcW w:w="2616"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本年废止件数</w:t>
            </w:r>
          </w:p>
        </w:tc>
        <w:tc>
          <w:tcPr>
            <w:tcW w:w="3120"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现行有效件</w:t>
            </w:r>
            <w:r>
              <w:rPr>
                <w:rStyle w:val="16"/>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1690"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规章</w:t>
            </w:r>
          </w:p>
        </w:tc>
        <w:tc>
          <w:tcPr>
            <w:tcW w:w="246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61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w:t>
            </w:r>
          </w:p>
        </w:tc>
        <w:tc>
          <w:tcPr>
            <w:tcW w:w="312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Calibri" w:hAnsi="Calibri" w:eastAsia="等线" w:cs="Calibri"/>
                <w:i w:val="0"/>
                <w:color w:val="000000"/>
                <w:sz w:val="21"/>
                <w:szCs w:val="21"/>
                <w:u w:val="none"/>
              </w:rPr>
            </w:pPr>
            <w:r>
              <w:rPr>
                <w:rFonts w:hint="default" w:ascii="Calibri" w:hAnsi="Calibri" w:eastAsia="等线" w:cs="Calibri"/>
                <w:i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1690"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行政规范性文件</w:t>
            </w:r>
          </w:p>
        </w:tc>
        <w:tc>
          <w:tcPr>
            <w:tcW w:w="246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61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w:t>
            </w:r>
          </w:p>
        </w:tc>
        <w:tc>
          <w:tcPr>
            <w:tcW w:w="312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Calibri" w:hAnsi="Calibri" w:eastAsia="等线" w:cs="Calibri"/>
                <w:i w:val="0"/>
                <w:color w:val="000000"/>
                <w:sz w:val="21"/>
                <w:szCs w:val="21"/>
                <w:u w:val="none"/>
              </w:rPr>
            </w:pPr>
            <w:r>
              <w:rPr>
                <w:rFonts w:hint="default" w:ascii="Calibri" w:hAnsi="Calibri" w:eastAsia="等线" w:cs="Calibri"/>
                <w:i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9886" w:type="dxa"/>
            <w:gridSpan w:val="4"/>
            <w:tcBorders>
              <w:top w:val="single" w:color="000000" w:sz="8" w:space="0"/>
              <w:left w:val="single" w:color="000000" w:sz="8" w:space="0"/>
              <w:bottom w:val="single" w:color="000000" w:sz="8" w:space="0"/>
              <w:right w:val="single" w:color="000000" w:sz="8" w:space="0"/>
            </w:tcBorders>
            <w:shd w:val="clear" w:color="auto" w:fill="C6D9F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1690"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8196" w:type="dxa"/>
            <w:gridSpan w:val="3"/>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1690"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8196" w:type="dxa"/>
            <w:gridSpan w:val="3"/>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Calibri" w:hAnsi="Calibri" w:eastAsia="等线" w:cs="Calibri"/>
                <w:i w:val="0"/>
                <w:color w:val="000000"/>
                <w:sz w:val="21"/>
                <w:szCs w:val="21"/>
                <w:u w:val="none"/>
              </w:rPr>
            </w:pPr>
            <w:r>
              <w:rPr>
                <w:rFonts w:hint="default" w:ascii="Calibri" w:hAnsi="Calibri" w:eastAsia="等线" w:cs="Calibri"/>
                <w:i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9886" w:type="dxa"/>
            <w:gridSpan w:val="4"/>
            <w:tcBorders>
              <w:top w:val="single" w:color="000000" w:sz="8" w:space="0"/>
              <w:left w:val="single" w:color="000000" w:sz="8" w:space="0"/>
              <w:bottom w:val="single" w:color="000000" w:sz="8" w:space="0"/>
              <w:right w:val="single" w:color="000000" w:sz="8" w:space="0"/>
            </w:tcBorders>
            <w:shd w:val="clear" w:color="auto" w:fill="C6D9F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1690"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8196" w:type="dxa"/>
            <w:gridSpan w:val="3"/>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1690"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8196" w:type="dxa"/>
            <w:gridSpan w:val="3"/>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Calibri" w:hAnsi="Calibri" w:eastAsia="等线" w:cs="Calibri"/>
                <w:i w:val="0"/>
                <w:color w:val="000000"/>
                <w:sz w:val="21"/>
                <w:szCs w:val="21"/>
                <w:u w:val="none"/>
              </w:rPr>
            </w:pPr>
            <w:r>
              <w:rPr>
                <w:rFonts w:hint="default" w:ascii="Calibri" w:hAnsi="Calibri" w:eastAsia="等线" w:cs="Calibri"/>
                <w:i w:val="0"/>
                <w:color w:val="000000"/>
                <w:kern w:val="0"/>
                <w:sz w:val="21"/>
                <w:szCs w:val="21"/>
                <w:u w:val="none"/>
                <w:lang w:val="en-US" w:eastAsia="zh-CN" w:bidi="ar"/>
              </w:rPr>
              <w:t>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1690"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8196" w:type="dxa"/>
            <w:gridSpan w:val="3"/>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Calibri" w:hAnsi="Calibri" w:eastAsia="等线" w:cs="Calibri"/>
                <w:i w:val="0"/>
                <w:color w:val="000000"/>
                <w:sz w:val="21"/>
                <w:szCs w:val="21"/>
                <w:u w:val="none"/>
              </w:rPr>
            </w:pPr>
            <w:r>
              <w:rPr>
                <w:rFonts w:hint="default" w:ascii="Calibri" w:hAnsi="Calibri" w:eastAsia="等线" w:cs="Calibri"/>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9886" w:type="dxa"/>
            <w:gridSpan w:val="4"/>
            <w:tcBorders>
              <w:top w:val="single" w:color="000000" w:sz="8" w:space="0"/>
              <w:left w:val="single" w:color="000000" w:sz="8" w:space="0"/>
              <w:bottom w:val="single" w:color="000000" w:sz="8" w:space="0"/>
              <w:right w:val="single" w:color="000000" w:sz="8" w:space="0"/>
            </w:tcBorders>
            <w:shd w:val="clear" w:color="auto" w:fill="C6D9F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jc w:val="center"/>
        </w:trPr>
        <w:tc>
          <w:tcPr>
            <w:tcW w:w="1690"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8196" w:type="dxa"/>
            <w:gridSpan w:val="3"/>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1690"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行政事业性收费</w:t>
            </w:r>
          </w:p>
        </w:tc>
        <w:tc>
          <w:tcPr>
            <w:tcW w:w="8196" w:type="dxa"/>
            <w:gridSpan w:val="3"/>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Calibri" w:hAnsi="Calibri" w:eastAsia="等线" w:cs="Calibri"/>
                <w:i w:val="0"/>
                <w:color w:val="000000"/>
                <w:sz w:val="21"/>
                <w:szCs w:val="21"/>
                <w:u w:val="none"/>
              </w:rPr>
            </w:pPr>
            <w:r>
              <w:rPr>
                <w:rFonts w:hint="default" w:ascii="Calibri" w:hAnsi="Calibri" w:eastAsia="等线" w:cs="Calibri"/>
                <w:i w:val="0"/>
                <w:color w:val="000000"/>
                <w:kern w:val="0"/>
                <w:sz w:val="21"/>
                <w:szCs w:val="21"/>
                <w:u w:val="none"/>
                <w:lang w:val="en-US" w:eastAsia="zh-CN" w:bidi="ar"/>
              </w:rPr>
              <w:t>0</w:t>
            </w:r>
          </w:p>
        </w:tc>
      </w:tr>
    </w:tbl>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textAlignment w:val="auto"/>
        <w:rPr>
          <w:rFonts w:hint="default" w:ascii="方正黑体_GBK" w:hAnsi="方正黑体_GBK" w:eastAsia="方正黑体_GBK" w:cs="方正黑体_GBK"/>
          <w:color w:val="000000"/>
          <w:sz w:val="31"/>
          <w:szCs w:val="31"/>
        </w:rPr>
      </w:pPr>
      <w:r>
        <w:rPr>
          <w:rFonts w:hint="default" w:ascii="方正黑体_GBK" w:hAnsi="方正黑体_GBK" w:eastAsia="方正黑体_GBK" w:cs="方正黑体_GBK"/>
          <w:color w:val="000000"/>
          <w:sz w:val="31"/>
          <w:szCs w:val="31"/>
        </w:rPr>
        <w:t>三、收到和处理政府信息公开申请情况</w:t>
      </w:r>
    </w:p>
    <w:tbl>
      <w:tblPr>
        <w:tblStyle w:val="6"/>
        <w:tblW w:w="98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50"/>
        <w:gridCol w:w="1440"/>
        <w:gridCol w:w="2657"/>
        <w:gridCol w:w="806"/>
        <w:gridCol w:w="737"/>
        <w:gridCol w:w="668"/>
        <w:gridCol w:w="751"/>
        <w:gridCol w:w="720"/>
        <w:gridCol w:w="443"/>
        <w:gridCol w:w="5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5147" w:type="dxa"/>
            <w:gridSpan w:val="3"/>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（本列数据的勾稽关系为：第一项加第二项之和，等于第三项加第四项之和）</w:t>
            </w:r>
          </w:p>
        </w:tc>
        <w:tc>
          <w:tcPr>
            <w:tcW w:w="4663" w:type="dxa"/>
            <w:gridSpan w:val="7"/>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exact"/>
          <w:jc w:val="center"/>
        </w:trPr>
        <w:tc>
          <w:tcPr>
            <w:tcW w:w="5147"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楷体" w:hAnsi="楷体" w:eastAsia="楷体" w:cs="楷体"/>
                <w:i w:val="0"/>
                <w:color w:val="000000"/>
                <w:sz w:val="20"/>
                <w:szCs w:val="20"/>
                <w:u w:val="none"/>
              </w:rPr>
            </w:pPr>
          </w:p>
        </w:tc>
        <w:tc>
          <w:tcPr>
            <w:tcW w:w="806"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w:t>
            </w:r>
          </w:p>
        </w:tc>
        <w:tc>
          <w:tcPr>
            <w:tcW w:w="3319" w:type="dxa"/>
            <w:gridSpan w:val="5"/>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法人或其他组织</w:t>
            </w:r>
          </w:p>
        </w:tc>
        <w:tc>
          <w:tcPr>
            <w:tcW w:w="538"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jc w:val="center"/>
        </w:trPr>
        <w:tc>
          <w:tcPr>
            <w:tcW w:w="5147"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楷体" w:hAnsi="楷体" w:eastAsia="楷体" w:cs="楷体"/>
                <w:i w:val="0"/>
                <w:color w:val="000000"/>
                <w:sz w:val="20"/>
                <w:szCs w:val="20"/>
                <w:u w:val="none"/>
              </w:rPr>
            </w:pPr>
          </w:p>
        </w:tc>
        <w:tc>
          <w:tcPr>
            <w:tcW w:w="8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37" w:type="dxa"/>
            <w:tcBorders>
              <w:top w:val="nil"/>
              <w:left w:val="nil"/>
              <w:bottom w:val="nil"/>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668" w:type="dxa"/>
            <w:tcBorders>
              <w:top w:val="nil"/>
              <w:left w:val="nil"/>
              <w:bottom w:val="nil"/>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科研</w:t>
            </w:r>
          </w:p>
        </w:tc>
        <w:tc>
          <w:tcPr>
            <w:tcW w:w="751"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社会公益组织</w:t>
            </w:r>
          </w:p>
        </w:tc>
        <w:tc>
          <w:tcPr>
            <w:tcW w:w="720"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法律服务机构</w:t>
            </w:r>
          </w:p>
        </w:tc>
        <w:tc>
          <w:tcPr>
            <w:tcW w:w="443"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w:t>
            </w:r>
          </w:p>
        </w:tc>
        <w:tc>
          <w:tcPr>
            <w:tcW w:w="538"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3" w:hRule="atLeast"/>
          <w:jc w:val="center"/>
        </w:trPr>
        <w:tc>
          <w:tcPr>
            <w:tcW w:w="5147"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楷体" w:hAnsi="楷体" w:eastAsia="楷体" w:cs="楷体"/>
                <w:i w:val="0"/>
                <w:color w:val="000000"/>
                <w:sz w:val="20"/>
                <w:szCs w:val="20"/>
                <w:u w:val="none"/>
              </w:rPr>
            </w:pPr>
          </w:p>
        </w:tc>
        <w:tc>
          <w:tcPr>
            <w:tcW w:w="8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3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w:t>
            </w:r>
          </w:p>
        </w:tc>
        <w:tc>
          <w:tcPr>
            <w:tcW w:w="66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机构</w:t>
            </w:r>
          </w:p>
        </w:tc>
        <w:tc>
          <w:tcPr>
            <w:tcW w:w="751"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43"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38"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3" w:hRule="atLeast"/>
          <w:jc w:val="center"/>
        </w:trPr>
        <w:tc>
          <w:tcPr>
            <w:tcW w:w="5147" w:type="dxa"/>
            <w:gridSpan w:val="3"/>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一、本年新收政府信息公开申请数量</w:t>
            </w:r>
          </w:p>
        </w:tc>
        <w:tc>
          <w:tcPr>
            <w:tcW w:w="80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lang w:val="en-US"/>
              </w:rPr>
            </w:pPr>
            <w:r>
              <w:rPr>
                <w:rFonts w:hint="eastAsia" w:ascii="Calibri" w:hAnsi="Calibri" w:eastAsia="等线" w:cs="Calibri"/>
                <w:i w:val="0"/>
                <w:color w:val="000000"/>
                <w:kern w:val="0"/>
                <w:sz w:val="20"/>
                <w:szCs w:val="20"/>
                <w:u w:val="none"/>
                <w:lang w:val="en-US" w:eastAsia="zh-CN" w:bidi="ar"/>
              </w:rPr>
              <w:t>19</w:t>
            </w:r>
          </w:p>
        </w:tc>
        <w:tc>
          <w:tcPr>
            <w:tcW w:w="73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eastAsia" w:ascii="Calibri" w:hAnsi="Calibri" w:eastAsia="等线" w:cs="Calibri"/>
                <w:i w:val="0"/>
                <w:color w:val="000000"/>
                <w:kern w:val="0"/>
                <w:sz w:val="20"/>
                <w:szCs w:val="20"/>
                <w:u w:val="none"/>
                <w:lang w:val="en-US" w:eastAsia="zh-CN" w:bidi="ar"/>
              </w:rPr>
              <w:t>0</w:t>
            </w:r>
          </w:p>
        </w:tc>
        <w:tc>
          <w:tcPr>
            <w:tcW w:w="66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5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4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lang w:val="en-US"/>
              </w:rPr>
            </w:pPr>
            <w:r>
              <w:rPr>
                <w:rFonts w:hint="eastAsia" w:ascii="Calibri" w:hAnsi="Calibri" w:eastAsia="等线" w:cs="Calibri"/>
                <w:i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147" w:type="dxa"/>
            <w:gridSpan w:val="3"/>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二、上年结转政府信息公开申请数量</w:t>
            </w:r>
          </w:p>
        </w:tc>
        <w:tc>
          <w:tcPr>
            <w:tcW w:w="80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3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66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5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4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3" w:hRule="atLeast"/>
          <w:jc w:val="center"/>
        </w:trPr>
        <w:tc>
          <w:tcPr>
            <w:tcW w:w="1050"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三、本年度办理结果</w:t>
            </w:r>
          </w:p>
        </w:tc>
        <w:tc>
          <w:tcPr>
            <w:tcW w:w="4097" w:type="dxa"/>
            <w:gridSpan w:val="2"/>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（一）予以公开</w:t>
            </w:r>
          </w:p>
        </w:tc>
        <w:tc>
          <w:tcPr>
            <w:tcW w:w="80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eastAsia" w:ascii="Calibri" w:hAnsi="Calibri" w:eastAsia="等线" w:cs="Calibri"/>
                <w:i w:val="0"/>
                <w:color w:val="000000"/>
                <w:kern w:val="0"/>
                <w:sz w:val="20"/>
                <w:szCs w:val="20"/>
                <w:u w:val="none"/>
                <w:lang w:val="en-US" w:eastAsia="zh-CN" w:bidi="ar"/>
              </w:rPr>
              <w:t>1</w:t>
            </w:r>
          </w:p>
        </w:tc>
        <w:tc>
          <w:tcPr>
            <w:tcW w:w="73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eastAsia" w:ascii="Calibri" w:hAnsi="Calibri" w:eastAsia="等线" w:cs="Calibri"/>
                <w:i w:val="0"/>
                <w:color w:val="000000"/>
                <w:kern w:val="0"/>
                <w:sz w:val="20"/>
                <w:szCs w:val="20"/>
                <w:u w:val="none"/>
                <w:lang w:val="en-US" w:eastAsia="zh-CN" w:bidi="ar"/>
              </w:rPr>
              <w:t>0</w:t>
            </w:r>
          </w:p>
        </w:tc>
        <w:tc>
          <w:tcPr>
            <w:tcW w:w="66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5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4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eastAsia" w:ascii="Calibri" w:hAnsi="Calibri" w:eastAsia="等线" w:cs="Calibri"/>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4097" w:type="dxa"/>
            <w:gridSpan w:val="2"/>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（二）部分公开</w:t>
            </w:r>
            <w:r>
              <w:rPr>
                <w:rFonts w:hint="eastAsia" w:ascii="楷体" w:hAnsi="楷体" w:eastAsia="楷体" w:cs="楷体"/>
                <w:i w:val="0"/>
                <w:color w:val="000000"/>
                <w:kern w:val="0"/>
                <w:sz w:val="20"/>
                <w:szCs w:val="20"/>
                <w:u w:val="none"/>
                <w:lang w:val="en-US" w:eastAsia="zh-CN" w:bidi="ar"/>
              </w:rPr>
              <w:t>（区分处理的，只计这一情形，不计其他情形）</w:t>
            </w:r>
          </w:p>
        </w:tc>
        <w:tc>
          <w:tcPr>
            <w:tcW w:w="80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eastAsia" w:ascii="Calibri" w:hAnsi="Calibri" w:eastAsia="等线" w:cs="Calibri"/>
                <w:i w:val="0"/>
                <w:color w:val="000000"/>
                <w:kern w:val="0"/>
                <w:sz w:val="20"/>
                <w:szCs w:val="20"/>
                <w:u w:val="none"/>
                <w:lang w:val="en-US" w:eastAsia="zh-CN" w:bidi="ar"/>
              </w:rPr>
              <w:t>1</w:t>
            </w:r>
          </w:p>
        </w:tc>
        <w:tc>
          <w:tcPr>
            <w:tcW w:w="73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eastAsia" w:ascii="Calibri" w:hAnsi="Calibri" w:eastAsia="等线" w:cs="Calibri"/>
                <w:i w:val="0"/>
                <w:color w:val="000000"/>
                <w:kern w:val="0"/>
                <w:sz w:val="20"/>
                <w:szCs w:val="20"/>
                <w:u w:val="none"/>
                <w:lang w:val="en-US" w:eastAsia="zh-CN" w:bidi="ar"/>
              </w:rPr>
              <w:t>0</w:t>
            </w:r>
          </w:p>
        </w:tc>
        <w:tc>
          <w:tcPr>
            <w:tcW w:w="66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5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4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3" w:hRule="atLeast"/>
          <w:jc w:val="center"/>
        </w:trPr>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440"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（三）不予公开</w:t>
            </w:r>
          </w:p>
        </w:tc>
        <w:tc>
          <w:tcPr>
            <w:tcW w:w="265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1.属于国家秘密</w:t>
            </w:r>
          </w:p>
        </w:tc>
        <w:tc>
          <w:tcPr>
            <w:tcW w:w="80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3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66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5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4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jc w:val="center"/>
        </w:trPr>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4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265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2.其他法律行政法规禁止公开</w:t>
            </w:r>
          </w:p>
        </w:tc>
        <w:tc>
          <w:tcPr>
            <w:tcW w:w="80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3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66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5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4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3" w:hRule="atLeast"/>
          <w:jc w:val="center"/>
        </w:trPr>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4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265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3.危及“三安全一稳定”</w:t>
            </w:r>
          </w:p>
        </w:tc>
        <w:tc>
          <w:tcPr>
            <w:tcW w:w="80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3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66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5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4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3" w:hRule="atLeast"/>
          <w:jc w:val="center"/>
        </w:trPr>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4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265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4.保护第三方合法权益</w:t>
            </w:r>
          </w:p>
        </w:tc>
        <w:tc>
          <w:tcPr>
            <w:tcW w:w="80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3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eastAsia" w:ascii="Calibri" w:hAnsi="Calibri" w:eastAsia="等线" w:cs="Calibri"/>
                <w:i w:val="0"/>
                <w:color w:val="000000"/>
                <w:kern w:val="0"/>
                <w:sz w:val="20"/>
                <w:szCs w:val="20"/>
                <w:u w:val="none"/>
                <w:lang w:val="en-US" w:eastAsia="zh-CN" w:bidi="ar"/>
              </w:rPr>
              <w:t>0</w:t>
            </w:r>
          </w:p>
        </w:tc>
        <w:tc>
          <w:tcPr>
            <w:tcW w:w="66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5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4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eastAsia"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3" w:hRule="atLeast"/>
          <w:jc w:val="center"/>
        </w:trPr>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4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265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5.属于三类内部事务信息</w:t>
            </w:r>
          </w:p>
        </w:tc>
        <w:tc>
          <w:tcPr>
            <w:tcW w:w="80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3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66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5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4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3" w:hRule="atLeast"/>
          <w:jc w:val="center"/>
        </w:trPr>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4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265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6.属于四类过程性信息</w:t>
            </w:r>
          </w:p>
        </w:tc>
        <w:tc>
          <w:tcPr>
            <w:tcW w:w="80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eastAsia" w:ascii="Calibri" w:hAnsi="Calibri" w:eastAsia="等线" w:cs="Calibri"/>
                <w:i w:val="0"/>
                <w:color w:val="000000"/>
                <w:kern w:val="0"/>
                <w:sz w:val="20"/>
                <w:szCs w:val="20"/>
                <w:u w:val="none"/>
                <w:lang w:val="en-US" w:eastAsia="zh-CN" w:bidi="ar"/>
              </w:rPr>
              <w:t>0</w:t>
            </w:r>
          </w:p>
        </w:tc>
        <w:tc>
          <w:tcPr>
            <w:tcW w:w="73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66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5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4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eastAsia"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3" w:hRule="atLeast"/>
          <w:jc w:val="center"/>
        </w:trPr>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4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265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7.属于行政执法案卷</w:t>
            </w:r>
          </w:p>
        </w:tc>
        <w:tc>
          <w:tcPr>
            <w:tcW w:w="80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eastAsia" w:ascii="Calibri" w:hAnsi="Calibri" w:eastAsia="等线" w:cs="Calibri"/>
                <w:i w:val="0"/>
                <w:color w:val="000000"/>
                <w:kern w:val="0"/>
                <w:sz w:val="20"/>
                <w:szCs w:val="20"/>
                <w:u w:val="none"/>
                <w:lang w:val="en-US" w:eastAsia="zh-CN" w:bidi="ar"/>
              </w:rPr>
              <w:t>3</w:t>
            </w:r>
          </w:p>
        </w:tc>
        <w:tc>
          <w:tcPr>
            <w:tcW w:w="73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66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5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4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eastAsia" w:ascii="Calibri" w:hAnsi="Calibri" w:eastAsia="等线" w:cs="Calibri"/>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3" w:hRule="atLeast"/>
          <w:jc w:val="center"/>
        </w:trPr>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4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265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8.属于行政查询事项</w:t>
            </w:r>
          </w:p>
        </w:tc>
        <w:tc>
          <w:tcPr>
            <w:tcW w:w="80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3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66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5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4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jc w:val="center"/>
        </w:trPr>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440"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（四）无法提供</w:t>
            </w:r>
          </w:p>
        </w:tc>
        <w:tc>
          <w:tcPr>
            <w:tcW w:w="265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1.本机关不掌握相关政府信息</w:t>
            </w:r>
          </w:p>
        </w:tc>
        <w:tc>
          <w:tcPr>
            <w:tcW w:w="80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lang w:val="en-US"/>
              </w:rPr>
            </w:pPr>
            <w:r>
              <w:rPr>
                <w:rFonts w:hint="eastAsia" w:ascii="Calibri" w:hAnsi="Calibri" w:eastAsia="等线" w:cs="Calibri"/>
                <w:i w:val="0"/>
                <w:color w:val="000000"/>
                <w:kern w:val="0"/>
                <w:sz w:val="20"/>
                <w:szCs w:val="20"/>
                <w:u w:val="none"/>
                <w:lang w:val="en-US" w:eastAsia="zh-CN" w:bidi="ar"/>
              </w:rPr>
              <w:t>14</w:t>
            </w:r>
          </w:p>
        </w:tc>
        <w:tc>
          <w:tcPr>
            <w:tcW w:w="73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eastAsia" w:ascii="Calibri" w:hAnsi="Calibri" w:eastAsia="等线" w:cs="Calibri"/>
                <w:i w:val="0"/>
                <w:color w:val="000000"/>
                <w:kern w:val="0"/>
                <w:sz w:val="20"/>
                <w:szCs w:val="20"/>
                <w:u w:val="none"/>
                <w:lang w:val="en-US" w:eastAsia="zh-CN" w:bidi="ar"/>
              </w:rPr>
              <w:t>0</w:t>
            </w:r>
          </w:p>
        </w:tc>
        <w:tc>
          <w:tcPr>
            <w:tcW w:w="66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5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4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lang w:val="en-US"/>
              </w:rPr>
            </w:pPr>
            <w:r>
              <w:rPr>
                <w:rFonts w:hint="default" w:ascii="Calibri" w:hAnsi="Calibri" w:eastAsia="等线" w:cs="Calibri"/>
                <w:i w:val="0"/>
                <w:color w:val="000000"/>
                <w:kern w:val="0"/>
                <w:sz w:val="20"/>
                <w:szCs w:val="20"/>
                <w:u w:val="none"/>
                <w:lang w:val="en-US" w:eastAsia="zh-CN" w:bidi="ar"/>
              </w:rPr>
              <w:t>1</w:t>
            </w:r>
            <w:r>
              <w:rPr>
                <w:rFonts w:hint="eastAsia" w:ascii="Calibri" w:hAnsi="Calibri" w:eastAsia="等线" w:cs="Calibri"/>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jc w:val="center"/>
        </w:trPr>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4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265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2.没有现成信息需要另行制作</w:t>
            </w:r>
          </w:p>
        </w:tc>
        <w:tc>
          <w:tcPr>
            <w:tcW w:w="80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3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66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5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4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3" w:hRule="atLeast"/>
          <w:jc w:val="center"/>
        </w:trPr>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4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265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3.补正后申请内容仍不明确</w:t>
            </w:r>
          </w:p>
        </w:tc>
        <w:tc>
          <w:tcPr>
            <w:tcW w:w="80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3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66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5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4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3" w:hRule="atLeast"/>
          <w:jc w:val="center"/>
        </w:trPr>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440"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（五）不予处理</w:t>
            </w:r>
          </w:p>
        </w:tc>
        <w:tc>
          <w:tcPr>
            <w:tcW w:w="265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1.信访举报投诉类申请</w:t>
            </w:r>
          </w:p>
        </w:tc>
        <w:tc>
          <w:tcPr>
            <w:tcW w:w="80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3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66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5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4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3" w:hRule="atLeast"/>
          <w:jc w:val="center"/>
        </w:trPr>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4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265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2.重复申请</w:t>
            </w:r>
          </w:p>
        </w:tc>
        <w:tc>
          <w:tcPr>
            <w:tcW w:w="80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3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66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5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4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3" w:hRule="atLeast"/>
          <w:jc w:val="center"/>
        </w:trPr>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4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265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3.要求提供公开出版物</w:t>
            </w:r>
          </w:p>
        </w:tc>
        <w:tc>
          <w:tcPr>
            <w:tcW w:w="80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3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66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5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4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3" w:hRule="atLeast"/>
          <w:jc w:val="center"/>
        </w:trPr>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4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2657"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4.无正当理由大量反复申请</w:t>
            </w:r>
          </w:p>
        </w:tc>
        <w:tc>
          <w:tcPr>
            <w:tcW w:w="806"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37"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668"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51"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20"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43"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538"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jc w:val="center"/>
        </w:trPr>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440" w:type="dxa"/>
            <w:vMerge w:val="continue"/>
            <w:tcBorders>
              <w:top w:val="single" w:color="000000" w:sz="8" w:space="0"/>
              <w:left w:val="single" w:color="000000" w:sz="8" w:space="0"/>
              <w:bottom w:val="single" w:color="000000" w:sz="8" w:space="0"/>
              <w:right w:val="single" w:color="auto"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265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5.要求行政机关确认或重新出具已获取信息</w:t>
            </w:r>
          </w:p>
        </w:tc>
        <w:tc>
          <w:tcPr>
            <w:tcW w:w="80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5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53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3" w:hRule="atLeast"/>
          <w:jc w:val="center"/>
        </w:trPr>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440"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（六）其他处理</w:t>
            </w:r>
          </w:p>
        </w:tc>
        <w:tc>
          <w:tcPr>
            <w:tcW w:w="2657"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0.其他处理总计</w:t>
            </w:r>
          </w:p>
        </w:tc>
        <w:tc>
          <w:tcPr>
            <w:tcW w:w="806"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37"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668"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51"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20"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43"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538"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jc w:val="center"/>
        </w:trPr>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4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65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1.申请人无正当理由逾期不补正、行政机关不再处理其政府信息公开申请</w:t>
            </w:r>
          </w:p>
        </w:tc>
        <w:tc>
          <w:tcPr>
            <w:tcW w:w="80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3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66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5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4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jc w:val="center"/>
        </w:trPr>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4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65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2.申请人逾期未按收费通知要求缴纳费用、行政机关不再处理其政府信息公开申请</w:t>
            </w:r>
          </w:p>
        </w:tc>
        <w:tc>
          <w:tcPr>
            <w:tcW w:w="80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3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66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5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4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3" w:hRule="atLeast"/>
          <w:jc w:val="center"/>
        </w:trPr>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4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65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3.其他</w:t>
            </w:r>
          </w:p>
        </w:tc>
        <w:tc>
          <w:tcPr>
            <w:tcW w:w="80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3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66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5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4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3" w:hRule="atLeast"/>
          <w:jc w:val="center"/>
        </w:trPr>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4097" w:type="dxa"/>
            <w:gridSpan w:val="2"/>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（七）总计</w:t>
            </w:r>
          </w:p>
        </w:tc>
        <w:tc>
          <w:tcPr>
            <w:tcW w:w="80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lang w:val="en-US"/>
              </w:rPr>
            </w:pPr>
            <w:r>
              <w:rPr>
                <w:rFonts w:hint="eastAsia" w:ascii="Calibri" w:hAnsi="Calibri" w:eastAsia="等线" w:cs="Calibri"/>
                <w:i w:val="0"/>
                <w:color w:val="000000"/>
                <w:kern w:val="0"/>
                <w:sz w:val="20"/>
                <w:szCs w:val="20"/>
                <w:u w:val="none"/>
                <w:lang w:val="en-US" w:eastAsia="zh-CN" w:bidi="ar"/>
              </w:rPr>
              <w:t>19</w:t>
            </w:r>
          </w:p>
        </w:tc>
        <w:tc>
          <w:tcPr>
            <w:tcW w:w="73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eastAsia" w:ascii="Calibri" w:hAnsi="Calibri" w:eastAsia="等线" w:cs="Calibri"/>
                <w:i w:val="0"/>
                <w:color w:val="000000"/>
                <w:kern w:val="0"/>
                <w:sz w:val="20"/>
                <w:szCs w:val="20"/>
                <w:u w:val="none"/>
                <w:lang w:val="en-US" w:eastAsia="zh-CN" w:bidi="ar"/>
              </w:rPr>
              <w:t>0</w:t>
            </w:r>
          </w:p>
        </w:tc>
        <w:tc>
          <w:tcPr>
            <w:tcW w:w="66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5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4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lang w:val="en-US"/>
              </w:rPr>
            </w:pPr>
            <w:r>
              <w:rPr>
                <w:rFonts w:hint="eastAsia" w:ascii="Calibri" w:hAnsi="Calibri" w:eastAsia="等线" w:cs="Calibri"/>
                <w:i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3" w:hRule="atLeast"/>
          <w:jc w:val="center"/>
        </w:trPr>
        <w:tc>
          <w:tcPr>
            <w:tcW w:w="5147" w:type="dxa"/>
            <w:gridSpan w:val="3"/>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四、结转下年度继续办理</w:t>
            </w:r>
          </w:p>
        </w:tc>
        <w:tc>
          <w:tcPr>
            <w:tcW w:w="80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3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66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5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72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4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53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bl>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default" w:ascii="方正黑体_GBK" w:hAnsi="方正黑体_GBK" w:eastAsia="方正黑体_GBK" w:cs="方正黑体_GBK"/>
          <w:color w:val="000000"/>
          <w:sz w:val="31"/>
          <w:szCs w:val="31"/>
        </w:rPr>
      </w:pP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textAlignment w:val="auto"/>
      </w:pPr>
      <w:r>
        <w:rPr>
          <w:rFonts w:hint="default" w:ascii="方正黑体_GBK" w:hAnsi="方正黑体_GBK" w:eastAsia="方正黑体_GBK" w:cs="方正黑体_GBK"/>
          <w:color w:val="000000"/>
          <w:sz w:val="31"/>
          <w:szCs w:val="31"/>
        </w:rPr>
        <w:t>四、政府信息公开行政复议、行政诉讼情况</w:t>
      </w:r>
    </w:p>
    <w:tbl>
      <w:tblPr>
        <w:tblStyle w:val="6"/>
        <w:tblW w:w="93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24"/>
        <w:gridCol w:w="624"/>
        <w:gridCol w:w="624"/>
        <w:gridCol w:w="624"/>
        <w:gridCol w:w="624"/>
        <w:gridCol w:w="624"/>
        <w:gridCol w:w="624"/>
        <w:gridCol w:w="624"/>
        <w:gridCol w:w="624"/>
        <w:gridCol w:w="624"/>
        <w:gridCol w:w="624"/>
        <w:gridCol w:w="624"/>
        <w:gridCol w:w="624"/>
        <w:gridCol w:w="624"/>
        <w:gridCol w:w="6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3" w:hRule="atLeast"/>
          <w:jc w:val="center"/>
        </w:trPr>
        <w:tc>
          <w:tcPr>
            <w:tcW w:w="3120" w:type="dxa"/>
            <w:gridSpan w:val="5"/>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行政复议</w:t>
            </w:r>
          </w:p>
        </w:tc>
        <w:tc>
          <w:tcPr>
            <w:tcW w:w="6240" w:type="dxa"/>
            <w:gridSpan w:val="10"/>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3" w:hRule="atLeast"/>
          <w:jc w:val="center"/>
        </w:trPr>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结果维持</w:t>
            </w:r>
          </w:p>
        </w:tc>
        <w:tc>
          <w:tcPr>
            <w:tcW w:w="624" w:type="dxa"/>
            <w:tcBorders>
              <w:top w:val="nil"/>
              <w:left w:val="single" w:color="000000" w:sz="8" w:space="0"/>
              <w:bottom w:val="nil"/>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结果</w:t>
            </w:r>
          </w:p>
        </w:tc>
        <w:tc>
          <w:tcPr>
            <w:tcW w:w="624" w:type="dxa"/>
            <w:tcBorders>
              <w:top w:val="single" w:color="000000" w:sz="8" w:space="0"/>
              <w:left w:val="single" w:color="000000" w:sz="8" w:space="0"/>
              <w:bottom w:val="nil"/>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w:t>
            </w:r>
          </w:p>
        </w:tc>
        <w:tc>
          <w:tcPr>
            <w:tcW w:w="624" w:type="dxa"/>
            <w:tcBorders>
              <w:top w:val="single" w:color="000000" w:sz="8" w:space="0"/>
              <w:left w:val="single" w:color="000000" w:sz="8" w:space="0"/>
              <w:bottom w:val="nil"/>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尚未</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3120" w:type="dxa"/>
            <w:gridSpan w:val="5"/>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未经复议直接起诉</w:t>
            </w:r>
          </w:p>
        </w:tc>
        <w:tc>
          <w:tcPr>
            <w:tcW w:w="3120" w:type="dxa"/>
            <w:gridSpan w:val="5"/>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jc w:val="center"/>
        </w:trPr>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24" w:type="dxa"/>
            <w:tcBorders>
              <w:top w:val="nil"/>
              <w:left w:val="single" w:color="000000" w:sz="8" w:space="0"/>
              <w:bottom w:val="nil"/>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纠正</w:t>
            </w:r>
          </w:p>
        </w:tc>
        <w:tc>
          <w:tcPr>
            <w:tcW w:w="624" w:type="dxa"/>
            <w:tcBorders>
              <w:top w:val="nil"/>
              <w:left w:val="single" w:color="000000" w:sz="8" w:space="0"/>
              <w:bottom w:val="nil"/>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结果</w:t>
            </w:r>
          </w:p>
        </w:tc>
        <w:tc>
          <w:tcPr>
            <w:tcW w:w="624" w:type="dxa"/>
            <w:tcBorders>
              <w:top w:val="nil"/>
              <w:left w:val="single" w:color="000000" w:sz="8" w:space="0"/>
              <w:bottom w:val="nil"/>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审结</w:t>
            </w: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24" w:type="dxa"/>
            <w:tcBorders>
              <w:top w:val="nil"/>
              <w:left w:val="single" w:color="000000" w:sz="8" w:space="0"/>
              <w:bottom w:val="nil"/>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结果</w:t>
            </w:r>
          </w:p>
        </w:tc>
        <w:tc>
          <w:tcPr>
            <w:tcW w:w="624" w:type="dxa"/>
            <w:tcBorders>
              <w:top w:val="nil"/>
              <w:left w:val="single" w:color="000000" w:sz="8" w:space="0"/>
              <w:bottom w:val="nil"/>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结果</w:t>
            </w:r>
          </w:p>
        </w:tc>
        <w:tc>
          <w:tcPr>
            <w:tcW w:w="624" w:type="dxa"/>
            <w:tcBorders>
              <w:top w:val="single" w:color="000000" w:sz="8" w:space="0"/>
              <w:left w:val="single" w:color="000000" w:sz="8" w:space="0"/>
              <w:bottom w:val="nil"/>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w:t>
            </w:r>
          </w:p>
        </w:tc>
        <w:tc>
          <w:tcPr>
            <w:tcW w:w="624" w:type="dxa"/>
            <w:tcBorders>
              <w:top w:val="single" w:color="000000" w:sz="8" w:space="0"/>
              <w:left w:val="single" w:color="000000" w:sz="8" w:space="0"/>
              <w:bottom w:val="nil"/>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尚未</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624" w:type="dxa"/>
            <w:tcBorders>
              <w:top w:val="single" w:color="000000" w:sz="8" w:space="0"/>
              <w:left w:val="single" w:color="000000" w:sz="8" w:space="0"/>
              <w:bottom w:val="nil"/>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结果</w:t>
            </w:r>
          </w:p>
        </w:tc>
        <w:tc>
          <w:tcPr>
            <w:tcW w:w="624" w:type="dxa"/>
            <w:tcBorders>
              <w:top w:val="single" w:color="000000" w:sz="8" w:space="0"/>
              <w:left w:val="single" w:color="000000" w:sz="8" w:space="0"/>
              <w:bottom w:val="nil"/>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结果</w:t>
            </w:r>
          </w:p>
        </w:tc>
        <w:tc>
          <w:tcPr>
            <w:tcW w:w="624" w:type="dxa"/>
            <w:tcBorders>
              <w:top w:val="single" w:color="000000" w:sz="8" w:space="0"/>
              <w:left w:val="single" w:color="000000" w:sz="8" w:space="0"/>
              <w:bottom w:val="nil"/>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w:t>
            </w:r>
          </w:p>
        </w:tc>
        <w:tc>
          <w:tcPr>
            <w:tcW w:w="624" w:type="dxa"/>
            <w:tcBorders>
              <w:top w:val="single" w:color="000000" w:sz="8" w:space="0"/>
              <w:left w:val="single" w:color="000000" w:sz="8" w:space="0"/>
              <w:bottom w:val="nil"/>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尚未</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3" w:hRule="atLeast"/>
          <w:jc w:val="center"/>
        </w:trPr>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2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rPr>
                <w:rFonts w:hint="eastAsia" w:ascii="等线" w:hAnsi="等线" w:eastAsia="等线" w:cs="等线"/>
                <w:i w:val="0"/>
                <w:color w:val="000000"/>
                <w:sz w:val="22"/>
                <w:szCs w:val="22"/>
                <w:u w:val="none"/>
              </w:rPr>
            </w:pPr>
          </w:p>
        </w:tc>
        <w:tc>
          <w:tcPr>
            <w:tcW w:w="62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rPr>
                <w:rFonts w:hint="default" w:ascii="等线" w:hAnsi="等线" w:eastAsia="等线" w:cs="等线"/>
                <w:i w:val="0"/>
                <w:color w:val="000000"/>
                <w:sz w:val="22"/>
                <w:szCs w:val="22"/>
                <w:u w:val="none"/>
              </w:rPr>
            </w:pPr>
          </w:p>
        </w:tc>
        <w:tc>
          <w:tcPr>
            <w:tcW w:w="62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rPr>
                <w:rFonts w:hint="default" w:ascii="等线" w:hAnsi="等线" w:eastAsia="等线" w:cs="等线"/>
                <w:i w:val="0"/>
                <w:color w:val="000000"/>
                <w:sz w:val="22"/>
                <w:szCs w:val="22"/>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2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维持</w:t>
            </w:r>
          </w:p>
        </w:tc>
        <w:tc>
          <w:tcPr>
            <w:tcW w:w="62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纠正</w:t>
            </w:r>
          </w:p>
        </w:tc>
        <w:tc>
          <w:tcPr>
            <w:tcW w:w="62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结果</w:t>
            </w:r>
          </w:p>
        </w:tc>
        <w:tc>
          <w:tcPr>
            <w:tcW w:w="62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审结</w:t>
            </w: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2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维持</w:t>
            </w:r>
          </w:p>
        </w:tc>
        <w:tc>
          <w:tcPr>
            <w:tcW w:w="62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纠正</w:t>
            </w:r>
          </w:p>
        </w:tc>
        <w:tc>
          <w:tcPr>
            <w:tcW w:w="62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结果</w:t>
            </w:r>
          </w:p>
        </w:tc>
        <w:tc>
          <w:tcPr>
            <w:tcW w:w="62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审结</w:t>
            </w: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62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0</w:t>
            </w:r>
          </w:p>
        </w:tc>
        <w:tc>
          <w:tcPr>
            <w:tcW w:w="62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0</w:t>
            </w:r>
          </w:p>
        </w:tc>
        <w:tc>
          <w:tcPr>
            <w:tcW w:w="62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0</w:t>
            </w:r>
          </w:p>
        </w:tc>
        <w:tc>
          <w:tcPr>
            <w:tcW w:w="62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0</w:t>
            </w:r>
          </w:p>
        </w:tc>
        <w:tc>
          <w:tcPr>
            <w:tcW w:w="62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0</w:t>
            </w:r>
          </w:p>
        </w:tc>
        <w:tc>
          <w:tcPr>
            <w:tcW w:w="62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0</w:t>
            </w:r>
          </w:p>
        </w:tc>
        <w:tc>
          <w:tcPr>
            <w:tcW w:w="62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0</w:t>
            </w:r>
          </w:p>
        </w:tc>
        <w:tc>
          <w:tcPr>
            <w:tcW w:w="62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0</w:t>
            </w:r>
          </w:p>
        </w:tc>
        <w:tc>
          <w:tcPr>
            <w:tcW w:w="62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0</w:t>
            </w:r>
          </w:p>
        </w:tc>
        <w:tc>
          <w:tcPr>
            <w:tcW w:w="62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0</w:t>
            </w:r>
          </w:p>
        </w:tc>
        <w:tc>
          <w:tcPr>
            <w:tcW w:w="62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0</w:t>
            </w:r>
          </w:p>
        </w:tc>
        <w:tc>
          <w:tcPr>
            <w:tcW w:w="62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0</w:t>
            </w:r>
          </w:p>
        </w:tc>
        <w:tc>
          <w:tcPr>
            <w:tcW w:w="62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0</w:t>
            </w:r>
          </w:p>
        </w:tc>
        <w:tc>
          <w:tcPr>
            <w:tcW w:w="62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0</w:t>
            </w:r>
          </w:p>
        </w:tc>
        <w:tc>
          <w:tcPr>
            <w:tcW w:w="62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0</w:t>
            </w:r>
          </w:p>
        </w:tc>
      </w:tr>
    </w:tbl>
    <w:p>
      <w:pPr>
        <w:pStyle w:val="4"/>
        <w:keepNext w:val="0"/>
        <w:keepLines w:val="0"/>
        <w:pageBreakBefore w:val="0"/>
        <w:widowControl/>
        <w:suppressLineNumbers w:val="0"/>
        <w:kinsoku/>
        <w:wordWrap/>
        <w:overflowPunct/>
        <w:topLinePunct w:val="0"/>
        <w:autoSpaceDE/>
        <w:autoSpaceDN/>
        <w:bidi w:val="0"/>
        <w:adjustRightInd/>
        <w:snapToGrid/>
        <w:spacing w:line="560" w:lineRule="exact"/>
        <w:textAlignment w:val="auto"/>
      </w:pPr>
      <w:r>
        <w:t>  </w:t>
      </w:r>
      <w:r>
        <w:rPr>
          <w:rFonts w:hint="eastAsia" w:eastAsia="方正黑体_GBK"/>
          <w:lang w:val="en-US" w:eastAsia="zh-CN"/>
        </w:rPr>
        <w:t xml:space="preserve">  </w:t>
      </w:r>
      <w:r>
        <w:rPr>
          <w:rFonts w:hint="default" w:ascii="方正黑体_GBK" w:hAnsi="方正黑体_GBK" w:eastAsia="方正黑体_GBK" w:cs="方正黑体_GBK"/>
          <w:color w:val="000000"/>
          <w:sz w:val="31"/>
          <w:szCs w:val="31"/>
        </w:rPr>
        <w:t>五、存在的主要问题及改进情况</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街道信息公开工作还存在以下不足：信息公开月报及年报工作还需主管部门进行提醒，工作的主动性还有待增强；行政处罚公示工作极个别出现信息误差，公示过程的审阅还需加强。</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0" w:firstLineChars="200"/>
        <w:textAlignment w:val="auto"/>
        <w:rPr>
          <w:rFonts w:hint="default" w:ascii="方正黑体_GBK" w:hAnsi="方正黑体_GBK" w:eastAsia="方正黑体_GBK" w:cs="方正黑体_GBK"/>
          <w:color w:val="000000"/>
          <w:sz w:val="31"/>
          <w:szCs w:val="31"/>
        </w:rPr>
      </w:pPr>
      <w:r>
        <w:rPr>
          <w:rFonts w:hint="eastAsia" w:ascii="方正黑体_GBK" w:hAnsi="方正黑体_GBK" w:eastAsia="方正黑体_GBK" w:cs="方正黑体_GBK"/>
          <w:color w:val="000000"/>
          <w:sz w:val="31"/>
          <w:szCs w:val="31"/>
          <w:lang w:eastAsia="zh-CN"/>
        </w:rPr>
        <w:t>六、</w:t>
      </w:r>
      <w:r>
        <w:rPr>
          <w:rFonts w:hint="default" w:ascii="方正黑体_GBK" w:hAnsi="方正黑体_GBK" w:eastAsia="方正黑体_GBK" w:cs="方正黑体_GBK"/>
          <w:color w:val="000000"/>
          <w:sz w:val="31"/>
          <w:szCs w:val="31"/>
        </w:rPr>
        <w:t>其他需要报告的事项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收取信息处理费</w:t>
      </w:r>
      <w:r>
        <w:rPr>
          <w:rFonts w:hint="default" w:ascii="仿宋" w:hAnsi="仿宋" w:eastAsia="仿宋" w:cs="仿宋"/>
          <w:b/>
          <w:bCs/>
          <w:color w:val="000000"/>
          <w:kern w:val="0"/>
          <w:sz w:val="32"/>
          <w:szCs w:val="32"/>
          <w:lang w:val="en-US" w:eastAsia="zh-CN" w:bidi="ar"/>
        </w:rPr>
        <w:t>情况</w:t>
      </w:r>
      <w:r>
        <w:rPr>
          <w:rFonts w:hint="eastAsia" w:ascii="仿宋" w:hAnsi="仿宋" w:eastAsia="仿宋" w:cs="仿宋"/>
          <w:color w:val="000000"/>
          <w:kern w:val="0"/>
          <w:sz w:val="32"/>
          <w:szCs w:val="32"/>
          <w:lang w:val="en-US" w:eastAsia="zh-CN" w:bidi="ar"/>
        </w:rPr>
        <w:t>：本年度</w:t>
      </w:r>
      <w:r>
        <w:rPr>
          <w:rFonts w:hint="default" w:ascii="仿宋" w:hAnsi="仿宋" w:eastAsia="仿宋" w:cs="仿宋"/>
          <w:color w:val="000000"/>
          <w:kern w:val="0"/>
          <w:sz w:val="32"/>
          <w:szCs w:val="32"/>
          <w:lang w:val="en-US" w:eastAsia="zh-CN" w:bidi="ar"/>
        </w:rPr>
        <w:t>发出收费通知件数</w:t>
      </w:r>
      <w:r>
        <w:rPr>
          <w:rFonts w:hint="eastAsia" w:ascii="仿宋" w:hAnsi="仿宋" w:eastAsia="仿宋" w:cs="仿宋"/>
          <w:color w:val="000000"/>
          <w:kern w:val="0"/>
          <w:sz w:val="32"/>
          <w:szCs w:val="32"/>
          <w:lang w:val="en-US" w:eastAsia="zh-CN" w:bidi="ar"/>
        </w:rPr>
        <w:t>0，</w:t>
      </w:r>
      <w:r>
        <w:rPr>
          <w:rFonts w:hint="default" w:ascii="仿宋" w:hAnsi="仿宋" w:eastAsia="仿宋" w:cs="仿宋"/>
          <w:color w:val="000000"/>
          <w:kern w:val="0"/>
          <w:sz w:val="32"/>
          <w:szCs w:val="32"/>
          <w:lang w:val="en-US" w:eastAsia="zh-CN" w:bidi="ar"/>
        </w:rPr>
        <w:t>总金额</w:t>
      </w:r>
      <w:r>
        <w:rPr>
          <w:rFonts w:hint="eastAsia" w:ascii="仿宋" w:hAnsi="仿宋" w:eastAsia="仿宋" w:cs="仿宋"/>
          <w:color w:val="000000"/>
          <w:kern w:val="0"/>
          <w:sz w:val="32"/>
          <w:szCs w:val="32"/>
          <w:lang w:val="en-US" w:eastAsia="zh-CN" w:bidi="ar"/>
        </w:rPr>
        <w:t>0，实际收取</w:t>
      </w:r>
      <w:r>
        <w:rPr>
          <w:rFonts w:hint="default" w:ascii="仿宋" w:hAnsi="仿宋" w:eastAsia="仿宋" w:cs="仿宋"/>
          <w:color w:val="000000"/>
          <w:kern w:val="0"/>
          <w:sz w:val="32"/>
          <w:szCs w:val="32"/>
          <w:lang w:val="en-US" w:eastAsia="zh-CN" w:bidi="ar"/>
        </w:rPr>
        <w:t>总金额</w:t>
      </w:r>
      <w:r>
        <w:rPr>
          <w:rFonts w:hint="eastAsia" w:ascii="仿宋" w:hAnsi="仿宋" w:eastAsia="仿宋" w:cs="仿宋"/>
          <w:color w:val="000000"/>
          <w:kern w:val="0"/>
          <w:sz w:val="32"/>
          <w:szCs w:val="32"/>
          <w:lang w:val="en-US" w:eastAsia="zh-CN" w:bidi="ar"/>
        </w:rPr>
        <w:t>0</w:t>
      </w:r>
      <w:r>
        <w:rPr>
          <w:rFonts w:hint="default" w:ascii="仿宋" w:hAnsi="仿宋" w:eastAsia="仿宋" w:cs="仿宋"/>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Microsoft YaHei UI" w:hAnsi="Microsoft YaHei UI" w:eastAsia="Microsoft YaHei UI" w:cs="Microsoft YaHei UI"/>
          <w:i w:val="0"/>
          <w:iCs w:val="0"/>
          <w:caps w:val="0"/>
          <w:color w:val="3E3E3E"/>
          <w:spacing w:val="30"/>
          <w:sz w:val="24"/>
          <w:szCs w:val="24"/>
          <w:shd w:val="clear" w:fill="F0F6FA"/>
          <w:lang w:val="en-US" w:eastAsia="zh-CN"/>
        </w:rPr>
      </w:pPr>
      <w:r>
        <w:rPr>
          <w:rFonts w:hint="eastAsia" w:ascii="仿宋" w:hAnsi="仿宋" w:eastAsia="仿宋" w:cs="仿宋"/>
          <w:b/>
          <w:bCs/>
          <w:color w:val="000000"/>
          <w:kern w:val="0"/>
          <w:sz w:val="32"/>
          <w:szCs w:val="32"/>
          <w:lang w:val="en-US" w:eastAsia="zh-CN" w:bidi="ar"/>
        </w:rPr>
        <w:t>政务开放日、社区代表大会情况</w:t>
      </w:r>
      <w:r>
        <w:rPr>
          <w:rFonts w:hint="eastAsia" w:ascii="仿宋" w:hAnsi="仿宋" w:eastAsia="仿宋" w:cs="仿宋"/>
          <w:color w:val="000000"/>
          <w:kern w:val="0"/>
          <w:sz w:val="32"/>
          <w:szCs w:val="32"/>
          <w:lang w:val="en-US" w:eastAsia="zh-CN" w:bidi="ar"/>
        </w:rPr>
        <w:t>：2023年12月26日，天桥街道组织部分人大代表、政协委员、党建协调委员会成员单位代表、社区居民代表、社工代表等参观街道政务大厅，听取负责人的情况介绍，亲身体验政务事项办理过程。天桥街道办事处主任及相关领导、负责人就2023年全年工作进行总结和汇报，坚持以习近平新时代中国特色社会主义思想为引领，坚决贯彻落实区委区政府2-1-1-5-2中国式现代化西城实践框架体系，牢牢站稳人民立场。相关领导及负</w:t>
      </w:r>
      <w:bookmarkStart w:id="0" w:name="_GoBack"/>
      <w:bookmarkEnd w:id="0"/>
      <w:r>
        <w:rPr>
          <w:rFonts w:hint="eastAsia" w:ascii="仿宋" w:hAnsi="仿宋" w:eastAsia="仿宋" w:cs="仿宋"/>
          <w:color w:val="000000"/>
          <w:kern w:val="0"/>
          <w:sz w:val="32"/>
          <w:szCs w:val="32"/>
          <w:lang w:val="en-US" w:eastAsia="zh-CN" w:bidi="ar"/>
        </w:rPr>
        <w:t>责人就社区代表关心的如养老、老旧小区改造等具体问题进行详细解答，最后社区代表对街道及相关部门进行现场评议打分。</w:t>
      </w:r>
    </w:p>
    <w:sectPr>
      <w:foot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NzY4NGFkMzQzNDAxYzU4ZjhjZTEwYTQyNzZiYjYifQ=="/>
  </w:docVars>
  <w:rsids>
    <w:rsidRoot w:val="74AB5F20"/>
    <w:rsid w:val="053323AB"/>
    <w:rsid w:val="092B5E11"/>
    <w:rsid w:val="12083499"/>
    <w:rsid w:val="12811DA3"/>
    <w:rsid w:val="1308015B"/>
    <w:rsid w:val="1C1A0F7D"/>
    <w:rsid w:val="21E23227"/>
    <w:rsid w:val="261B26FC"/>
    <w:rsid w:val="27CF5786"/>
    <w:rsid w:val="2ADA5364"/>
    <w:rsid w:val="2B71783C"/>
    <w:rsid w:val="3DCE535F"/>
    <w:rsid w:val="57804F9E"/>
    <w:rsid w:val="57A75677"/>
    <w:rsid w:val="60B0766D"/>
    <w:rsid w:val="74AB5F20"/>
    <w:rsid w:val="7EA32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autoRedefine/>
    <w:qFormat/>
    <w:uiPriority w:val="0"/>
    <w:pPr>
      <w:spacing w:before="0" w:beforeAutospacing="0" w:after="120" w:afterAutospacing="0"/>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FollowedHyperlink"/>
    <w:basedOn w:val="7"/>
    <w:autoRedefine/>
    <w:qFormat/>
    <w:uiPriority w:val="0"/>
    <w:rPr>
      <w:color w:val="000000"/>
      <w:u w:val="single"/>
    </w:rPr>
  </w:style>
  <w:style w:type="character" w:styleId="10">
    <w:name w:val="HTML Definition"/>
    <w:basedOn w:val="7"/>
    <w:autoRedefine/>
    <w:qFormat/>
    <w:uiPriority w:val="0"/>
    <w:rPr>
      <w:i/>
    </w:rPr>
  </w:style>
  <w:style w:type="character" w:styleId="11">
    <w:name w:val="Hyperlink"/>
    <w:autoRedefine/>
    <w:qFormat/>
    <w:uiPriority w:val="0"/>
    <w:rPr>
      <w:color w:val="0000FF"/>
      <w:u w:val="single"/>
    </w:rPr>
  </w:style>
  <w:style w:type="character" w:styleId="12">
    <w:name w:val="HTML Code"/>
    <w:basedOn w:val="7"/>
    <w:autoRedefine/>
    <w:qFormat/>
    <w:uiPriority w:val="0"/>
    <w:rPr>
      <w:rFonts w:hint="default" w:ascii="Consolas" w:hAnsi="Consolas" w:eastAsia="Consolas" w:cs="Consolas"/>
      <w:color w:val="C7254E"/>
      <w:sz w:val="21"/>
      <w:szCs w:val="21"/>
      <w:shd w:val="clear" w:fill="F9F2F4"/>
    </w:rPr>
  </w:style>
  <w:style w:type="character" w:styleId="13">
    <w:name w:val="HTML Keyboard"/>
    <w:basedOn w:val="7"/>
    <w:autoRedefine/>
    <w:qFormat/>
    <w:uiPriority w:val="0"/>
    <w:rPr>
      <w:rFonts w:hint="default" w:ascii="Consolas" w:hAnsi="Consolas" w:eastAsia="Consolas" w:cs="Consolas"/>
      <w:color w:val="FFFFFF"/>
      <w:sz w:val="21"/>
      <w:szCs w:val="21"/>
      <w:shd w:val="clear" w:fill="333333"/>
    </w:rPr>
  </w:style>
  <w:style w:type="character" w:styleId="14">
    <w:name w:val="HTML Sample"/>
    <w:basedOn w:val="7"/>
    <w:autoRedefine/>
    <w:qFormat/>
    <w:uiPriority w:val="0"/>
    <w:rPr>
      <w:rFonts w:ascii="Consolas" w:hAnsi="Consolas" w:eastAsia="Consolas" w:cs="Consolas"/>
      <w:sz w:val="21"/>
      <w:szCs w:val="21"/>
    </w:rPr>
  </w:style>
  <w:style w:type="character" w:customStyle="1" w:styleId="15">
    <w:name w:val="tishi"/>
    <w:basedOn w:val="7"/>
    <w:autoRedefine/>
    <w:qFormat/>
    <w:uiPriority w:val="0"/>
    <w:rPr>
      <w:color w:val="999999"/>
    </w:rPr>
  </w:style>
  <w:style w:type="character" w:customStyle="1" w:styleId="16">
    <w:name w:val="font31"/>
    <w:basedOn w:val="7"/>
    <w:autoRedefine/>
    <w:qFormat/>
    <w:uiPriority w:val="0"/>
    <w:rPr>
      <w:rFonts w:hint="eastAsia" w:ascii="宋体" w:hAnsi="宋体" w:eastAsia="宋体" w:cs="宋体"/>
      <w:color w:val="000000"/>
      <w:sz w:val="20"/>
      <w:szCs w:val="20"/>
      <w:u w:val="none"/>
    </w:rPr>
  </w:style>
  <w:style w:type="character" w:customStyle="1" w:styleId="17">
    <w:name w:val="font41"/>
    <w:basedOn w:val="7"/>
    <w:autoRedefine/>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天桥街道办事处</Company>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2022-12-30T07:19:00Z</dcterms:created>
  <dc:creator>程素平</dc:creator>
  <cp:lastModifiedBy>1</cp:lastModifiedBy>
  <cp:lastPrinted>2023-01-10T03:00:00Z</cp:lastPrinted>
  <dcterms:modified xsi:type="dcterms:W3CDTF">2024-01-17T06:29:27Z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1D7301B2C12C4014849F03CBA535EFA2_12</vt:lpwstr>
  </property>
</Properties>
</file>