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r>
        <w:rPr>
          <w:rFonts w:hint="eastAsia" w:ascii="宋体" w:hAnsi="宋体"/>
          <w:b/>
          <w:sz w:val="44"/>
          <w:szCs w:val="44"/>
        </w:rPr>
        <w:t>北京市西城区</w:t>
      </w:r>
      <w:r>
        <w:rPr>
          <w:rFonts w:hint="eastAsia" w:ascii="宋体" w:hAnsi="宋体"/>
          <w:b/>
          <w:sz w:val="44"/>
          <w:szCs w:val="44"/>
          <w:lang w:eastAsia="zh-CN"/>
        </w:rPr>
        <w:t>房屋管理</w:t>
      </w:r>
      <w:r>
        <w:rPr>
          <w:rFonts w:hint="eastAsia" w:ascii="宋体" w:hAnsi="宋体"/>
          <w:b/>
          <w:sz w:val="44"/>
          <w:szCs w:val="44"/>
        </w:rPr>
        <w:t>局</w:t>
      </w:r>
      <w:r>
        <w:rPr>
          <w:rFonts w:hint="eastAsia" w:ascii="宋体" w:hAnsi="宋体"/>
          <w:b/>
          <w:sz w:val="44"/>
          <w:szCs w:val="44"/>
          <w:lang w:eastAsia="zh-CN"/>
        </w:rPr>
        <w:t>202</w:t>
      </w:r>
      <w:r>
        <w:rPr>
          <w:rFonts w:hint="eastAsia" w:ascii="宋体" w:hAnsi="宋体"/>
          <w:b/>
          <w:sz w:val="44"/>
          <w:szCs w:val="44"/>
          <w:lang w:val="en-US" w:eastAsia="zh-CN"/>
        </w:rPr>
        <w:t>4</w:t>
      </w:r>
      <w:r>
        <w:rPr>
          <w:rFonts w:hint="eastAsia" w:ascii="宋体" w:hAnsi="宋体"/>
          <w:b/>
          <w:sz w:val="44"/>
          <w:szCs w:val="44"/>
          <w:lang w:eastAsia="zh-CN"/>
        </w:rPr>
        <w:t>年</w:t>
      </w:r>
      <w:r>
        <w:rPr>
          <w:rFonts w:hint="eastAsia" w:ascii="宋体" w:hAnsi="宋体"/>
          <w:b/>
          <w:sz w:val="44"/>
          <w:szCs w:val="44"/>
        </w:rPr>
        <w:t>部门预算</w:t>
      </w:r>
    </w:p>
    <w:p>
      <w:pPr>
        <w:jc w:val="center"/>
        <w:rPr>
          <w:rFonts w:hint="eastAsia" w:ascii="宋体" w:hAnsi="宋体"/>
          <w:b/>
          <w:sz w:val="44"/>
          <w:szCs w:val="44"/>
        </w:rPr>
      </w:pPr>
    </w:p>
    <w:p>
      <w:pPr>
        <w:jc w:val="center"/>
        <w:rPr>
          <w:rFonts w:hint="eastAsia" w:ascii="宋体" w:hAnsi="宋体"/>
          <w:b/>
          <w:sz w:val="44"/>
          <w:szCs w:val="44"/>
        </w:rPr>
      </w:pPr>
      <w:r>
        <w:rPr>
          <w:rFonts w:hint="eastAsia" w:ascii="宋体" w:hAnsi="宋体"/>
          <w:b/>
          <w:sz w:val="44"/>
          <w:szCs w:val="44"/>
        </w:rPr>
        <w:t>公开目录</w:t>
      </w:r>
    </w:p>
    <w:p>
      <w:pPr>
        <w:rPr>
          <w:rFonts w:hint="eastAsia"/>
          <w:lang w:val="en-US" w:eastAsia="zh-CN"/>
        </w:rPr>
      </w:pP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第一部分</w:t>
      </w:r>
      <w:r>
        <w:rPr>
          <w:rFonts w:ascii="仿宋_GB2312" w:eastAsia="仿宋_GB2312"/>
          <w:color w:val="000000"/>
          <w:sz w:val="32"/>
          <w:szCs w:val="32"/>
        </w:rPr>
        <w:t>、</w:t>
      </w:r>
      <w:r>
        <w:rPr>
          <w:rFonts w:hint="eastAsia" w:ascii="仿宋_GB2312" w:eastAsia="仿宋_GB2312"/>
          <w:color w:val="000000"/>
          <w:sz w:val="32"/>
          <w:szCs w:val="32"/>
          <w:lang w:eastAsia="zh-CN"/>
        </w:rPr>
        <w:t>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lang w:eastAsia="zh-CN"/>
        </w:rPr>
        <w:t>年</w:t>
      </w:r>
      <w:r>
        <w:rPr>
          <w:rFonts w:ascii="仿宋_GB2312" w:eastAsia="仿宋_GB2312"/>
          <w:color w:val="000000"/>
          <w:sz w:val="32"/>
          <w:szCs w:val="32"/>
        </w:rPr>
        <w:t>部门预算情况说明</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部门主要职责及机构设置情况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（二）人员</w:t>
      </w:r>
      <w:r>
        <w:rPr>
          <w:rFonts w:ascii="仿宋_GB2312" w:eastAsia="仿宋_GB2312"/>
          <w:color w:val="000000"/>
          <w:sz w:val="32"/>
          <w:szCs w:val="32"/>
        </w:rPr>
        <w:t>构成情况</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lang w:eastAsia="zh-CN"/>
        </w:rPr>
        <w:t>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lang w:eastAsia="zh-CN"/>
        </w:rPr>
        <w:t>年</w:t>
      </w:r>
      <w:r>
        <w:rPr>
          <w:rFonts w:hint="eastAsia" w:ascii="仿宋_GB2312" w:eastAsia="仿宋_GB2312"/>
          <w:color w:val="000000"/>
          <w:sz w:val="32"/>
          <w:szCs w:val="32"/>
        </w:rPr>
        <w:t>部门预算收支及增减变化情况说明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三</w:t>
      </w:r>
      <w:r>
        <w:rPr>
          <w:rFonts w:ascii="仿宋_GB2312" w:eastAsia="仿宋_GB2312"/>
          <w:color w:val="000000"/>
          <w:sz w:val="32"/>
          <w:szCs w:val="32"/>
        </w:rPr>
        <w:t>、主要支出情况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四、</w:t>
      </w:r>
      <w:r>
        <w:rPr>
          <w:rFonts w:ascii="仿宋_GB2312" w:eastAsia="仿宋_GB2312"/>
          <w:color w:val="000000"/>
          <w:sz w:val="32"/>
          <w:szCs w:val="32"/>
        </w:rPr>
        <w:t>部门“</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w:t>
      </w:r>
      <w:r>
        <w:rPr>
          <w:rFonts w:ascii="仿宋_GB2312" w:eastAsia="仿宋_GB2312"/>
          <w:color w:val="000000"/>
          <w:sz w:val="32"/>
          <w:szCs w:val="32"/>
        </w:rPr>
        <w:t>财政拨款预算说明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五</w:t>
      </w:r>
      <w:r>
        <w:rPr>
          <w:rFonts w:ascii="仿宋_GB2312" w:eastAsia="仿宋_GB2312"/>
          <w:color w:val="000000"/>
          <w:sz w:val="32"/>
          <w:szCs w:val="32"/>
        </w:rPr>
        <w:t>、其他情况说明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（一）机构运行经费</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绩效目标情况</w:t>
      </w:r>
      <w:r>
        <w:rPr>
          <w:rFonts w:hint="eastAsia" w:ascii="仿宋_GB2312" w:eastAsia="仿宋_GB2312"/>
          <w:color w:val="000000"/>
          <w:sz w:val="32"/>
          <w:szCs w:val="32"/>
        </w:rPr>
        <w:t>及绩效评价结果</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pPr>
        <w:spacing w:line="560" w:lineRule="exact"/>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六</w:t>
      </w:r>
      <w:r>
        <w:rPr>
          <w:rFonts w:ascii="仿宋_GB2312" w:eastAsia="仿宋_GB2312"/>
          <w:color w:val="000000"/>
          <w:sz w:val="32"/>
          <w:szCs w:val="32"/>
        </w:rPr>
        <w:t>、名称</w:t>
      </w:r>
      <w:r>
        <w:rPr>
          <w:rFonts w:hint="eastAsia" w:ascii="仿宋_GB2312" w:eastAsia="仿宋_GB2312"/>
          <w:color w:val="000000"/>
          <w:sz w:val="32"/>
          <w:szCs w:val="32"/>
        </w:rPr>
        <w:t>解释</w:t>
      </w: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第二部分</w:t>
      </w:r>
      <w:r>
        <w:rPr>
          <w:rFonts w:ascii="仿宋_GB2312" w:eastAsia="仿宋_GB2312"/>
          <w:color w:val="000000"/>
          <w:sz w:val="32"/>
          <w:szCs w:val="32"/>
        </w:rPr>
        <w:t>、</w:t>
      </w:r>
      <w:r>
        <w:rPr>
          <w:rFonts w:hint="eastAsia" w:ascii="仿宋_GB2312" w:eastAsia="仿宋_GB2312"/>
          <w:color w:val="000000"/>
          <w:sz w:val="32"/>
          <w:szCs w:val="32"/>
          <w:lang w:eastAsia="zh-CN"/>
        </w:rPr>
        <w:t>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lang w:eastAsia="zh-CN"/>
        </w:rPr>
        <w:t>年</w:t>
      </w:r>
      <w:r>
        <w:rPr>
          <w:rFonts w:ascii="仿宋_GB2312" w:eastAsia="仿宋_GB2312"/>
          <w:color w:val="000000"/>
          <w:sz w:val="32"/>
          <w:szCs w:val="32"/>
        </w:rPr>
        <w:t>部门预算</w:t>
      </w:r>
      <w:r>
        <w:rPr>
          <w:rFonts w:hint="eastAsia" w:ascii="仿宋_GB2312" w:eastAsia="仿宋_GB2312"/>
          <w:color w:val="000000"/>
          <w:sz w:val="32"/>
          <w:szCs w:val="32"/>
        </w:rPr>
        <w:t>表</w:t>
      </w:r>
    </w:p>
    <w:p>
      <w:pPr>
        <w:autoSpaceDE w:val="0"/>
        <w:autoSpaceDN w:val="0"/>
        <w:adjustRightInd w:val="0"/>
        <w:spacing w:line="560" w:lineRule="exact"/>
        <w:ind w:firstLine="800" w:firstLineChars="250"/>
        <w:jc w:val="left"/>
        <w:rPr>
          <w:rFonts w:hint="eastAsia"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 xml:space="preserve">表一、部门收支总体情况表 </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表二、部门收入总体情况表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表三、部门支出总体情况表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表四、项目支出表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表五、财政拨款收支总体情况表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表六、一般公共预算支出情况表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表七、一般公共预算基本支出情况表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表八、政府性基金预算支出情况表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表九、国有资本经营预算财政拨款支出表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表十、一般公共预算“三公”经费支出情况表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表十一、政府购买服务预算表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表十二、上级转移支付细化明细表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表十三、项目支出绩效目标申报表</w:t>
      </w:r>
    </w:p>
    <w:p>
      <w:pPr>
        <w:autoSpaceDE w:val="0"/>
        <w:autoSpaceDN w:val="0"/>
        <w:adjustRightInd w:val="0"/>
        <w:spacing w:line="560" w:lineRule="exact"/>
        <w:ind w:firstLine="800" w:firstLineChars="250"/>
        <w:jc w:val="left"/>
        <w:rPr>
          <w:rFonts w:ascii="仿宋_GB2312" w:eastAsia="仿宋_GB2312"/>
          <w:sz w:val="32"/>
          <w:szCs w:val="32"/>
        </w:rPr>
      </w:pPr>
      <w:r>
        <w:rPr>
          <w:rFonts w:hint="eastAsia" w:ascii="仿宋_GB2312" w:eastAsia="仿宋_GB2312"/>
          <w:sz w:val="32"/>
          <w:szCs w:val="32"/>
        </w:rPr>
        <w:t>表十四、部门整体支出绩效目标申报表</w:t>
      </w:r>
    </w:p>
    <w:p>
      <w:pPr>
        <w:autoSpaceDE w:val="0"/>
        <w:autoSpaceDN w:val="0"/>
        <w:adjustRightInd w:val="0"/>
        <w:spacing w:line="560" w:lineRule="exact"/>
        <w:ind w:firstLine="800" w:firstLineChars="250"/>
        <w:jc w:val="left"/>
        <w:rPr>
          <w:rFonts w:ascii="仿宋_GB2312" w:eastAsia="仿宋_GB2312"/>
          <w:sz w:val="32"/>
          <w:szCs w:val="32"/>
        </w:rPr>
        <w:sectPr>
          <w:pgSz w:w="11906" w:h="16838"/>
          <w:pgMar w:top="1440" w:right="1800" w:bottom="1440" w:left="1800" w:header="851" w:footer="992" w:gutter="0"/>
          <w:cols w:space="425" w:num="1"/>
          <w:docGrid w:type="lines" w:linePitch="312" w:charSpace="0"/>
        </w:sectPr>
      </w:pPr>
    </w:p>
    <w:p>
      <w:pPr>
        <w:spacing w:line="560" w:lineRule="exact"/>
        <w:ind w:firstLine="361" w:firstLineChars="100"/>
        <w:jc w:val="center"/>
        <w:rPr>
          <w:rFonts w:ascii="仿宋_GB2312" w:eastAsia="仿宋_GB2312"/>
          <w:color w:val="000000"/>
          <w:sz w:val="32"/>
          <w:szCs w:val="32"/>
        </w:rPr>
      </w:pPr>
      <w:r>
        <w:rPr>
          <w:rFonts w:hint="eastAsia" w:ascii="楷体" w:hAnsi="楷体" w:eastAsia="楷体" w:cs="Times New Roman"/>
          <w:b/>
          <w:sz w:val="36"/>
          <w:szCs w:val="36"/>
        </w:rPr>
        <w:t>第一部分、</w:t>
      </w:r>
      <w:r>
        <w:rPr>
          <w:rFonts w:hint="eastAsia" w:ascii="楷体" w:hAnsi="楷体" w:eastAsia="楷体" w:cs="Times New Roman"/>
          <w:b/>
          <w:sz w:val="36"/>
          <w:szCs w:val="36"/>
          <w:lang w:eastAsia="zh-CN"/>
        </w:rPr>
        <w:t>202</w:t>
      </w:r>
      <w:r>
        <w:rPr>
          <w:rFonts w:hint="eastAsia" w:ascii="楷体" w:hAnsi="楷体" w:eastAsia="楷体" w:cs="Times New Roman"/>
          <w:b/>
          <w:sz w:val="36"/>
          <w:szCs w:val="36"/>
          <w:lang w:val="en-US" w:eastAsia="zh-CN"/>
        </w:rPr>
        <w:t>4</w:t>
      </w:r>
      <w:r>
        <w:rPr>
          <w:rFonts w:hint="eastAsia" w:ascii="楷体" w:hAnsi="楷体" w:eastAsia="楷体" w:cs="Times New Roman"/>
          <w:b/>
          <w:sz w:val="36"/>
          <w:szCs w:val="36"/>
          <w:lang w:eastAsia="zh-CN"/>
        </w:rPr>
        <w:t>年</w:t>
      </w:r>
      <w:r>
        <w:rPr>
          <w:rFonts w:hint="eastAsia" w:ascii="楷体" w:hAnsi="楷体" w:eastAsia="楷体" w:cs="Times New Roman"/>
          <w:b/>
          <w:sz w:val="36"/>
          <w:szCs w:val="36"/>
        </w:rPr>
        <w:t>部门预算情况说明</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 一、部门主要职责及机构设置情况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北京市西城区房屋管理局负责西城区房屋行政管理、国有土地上房屋征收、住房保障和改革等工作，内设19个科室及直属13个财政拨款的事业单位。</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主要职责</w:t>
      </w:r>
      <w:r>
        <w:rPr>
          <w:rFonts w:hint="eastAsia" w:ascii="仿宋_GB2312" w:eastAsia="仿宋_GB2312"/>
          <w:color w:val="000000"/>
          <w:sz w:val="32"/>
          <w:szCs w:val="32"/>
          <w:lang w:eastAsia="zh-CN"/>
        </w:rPr>
        <w:t>：</w:t>
      </w:r>
      <w:r>
        <w:rPr>
          <w:rFonts w:hint="eastAsia" w:ascii="仿宋_GB2312" w:eastAsia="仿宋_GB2312"/>
          <w:color w:val="000000"/>
          <w:sz w:val="32"/>
          <w:szCs w:val="32"/>
        </w:rPr>
        <w:t xml:space="preserve"> </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⑴贯彻执行国家有关房屋管理、房屋征收、住房保障和住房制度改革的法律、法规、规章、政策和北京市的有关规定。</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⑵负责本区房屋征收和拆迁工作。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⑶监督、指导、督促直管公房经营管理和房屋修缮工作，负责牵头组织直管公房转租转借、改变使用用途等情况的联合执法；负责直管公房的产权管理工作；负责直管公房相关工作的统计分析和规划。</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⑷负责本区房屋市场管理工作，承担本区房屋经纪活动监督管理的责任。</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⑸负责本区物业服务的监督、指导工作。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⑹负责本区住房制度改革管理工作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⑺负责本区保障性住房资格审核、分配等管理工作；指导街道住房保障业务工作。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⑻负责本区房屋落实政策工作。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⑼负责本区房屋租赁管理工作。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⑽负责管理权限内房屋行政执法工作，依法调处各类房屋纠纷。</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⑾承办区政府和上级业务指导部门交办的其他事项。</w:t>
      </w:r>
    </w:p>
    <w:p>
      <w:pPr>
        <w:numPr>
          <w:ilvl w:val="0"/>
          <w:numId w:val="1"/>
        </w:num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人员</w:t>
      </w:r>
      <w:r>
        <w:rPr>
          <w:rFonts w:ascii="仿宋_GB2312" w:eastAsia="仿宋_GB2312"/>
          <w:color w:val="000000"/>
          <w:sz w:val="32"/>
          <w:szCs w:val="32"/>
        </w:rPr>
        <w:t>构成情况</w:t>
      </w:r>
    </w:p>
    <w:p>
      <w:pPr>
        <w:numPr>
          <w:ilvl w:val="0"/>
          <w:numId w:val="0"/>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北京市西城区房屋管理局单位行政编制80人;事业编制136人；实际在职人员</w:t>
      </w:r>
      <w:r>
        <w:rPr>
          <w:rFonts w:hint="eastAsia" w:ascii="仿宋_GB2312" w:eastAsia="仿宋_GB2312"/>
          <w:color w:val="000000"/>
          <w:sz w:val="32"/>
          <w:szCs w:val="32"/>
          <w:lang w:val="en-US" w:eastAsia="zh-CN"/>
        </w:rPr>
        <w:t>189</w:t>
      </w:r>
      <w:r>
        <w:rPr>
          <w:rFonts w:hint="eastAsia" w:ascii="仿宋_GB2312" w:eastAsia="仿宋_GB2312"/>
          <w:color w:val="000000"/>
          <w:sz w:val="32"/>
          <w:szCs w:val="32"/>
        </w:rPr>
        <w:t>人。</w:t>
      </w:r>
    </w:p>
    <w:p>
      <w:pPr>
        <w:numPr>
          <w:ilvl w:val="0"/>
          <w:numId w:val="0"/>
        </w:num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离退休人员</w:t>
      </w:r>
      <w:r>
        <w:rPr>
          <w:rFonts w:hint="eastAsia" w:ascii="仿宋_GB2312" w:eastAsia="仿宋_GB2312"/>
          <w:color w:val="000000"/>
          <w:sz w:val="32"/>
          <w:szCs w:val="32"/>
          <w:lang w:val="en-US" w:eastAsia="zh-CN"/>
        </w:rPr>
        <w:t>311</w:t>
      </w:r>
      <w:r>
        <w:rPr>
          <w:rFonts w:hint="eastAsia" w:ascii="仿宋_GB2312" w:eastAsia="仿宋_GB2312"/>
          <w:color w:val="000000"/>
          <w:sz w:val="32"/>
          <w:szCs w:val="32"/>
        </w:rPr>
        <w:t>人，其中：离休</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人，退休</w:t>
      </w:r>
      <w:r>
        <w:rPr>
          <w:rFonts w:hint="eastAsia" w:ascii="仿宋_GB2312" w:eastAsia="仿宋_GB2312"/>
          <w:color w:val="000000"/>
          <w:sz w:val="32"/>
          <w:szCs w:val="32"/>
          <w:lang w:val="en-US" w:eastAsia="zh-CN"/>
        </w:rPr>
        <w:t>307</w:t>
      </w:r>
      <w:r>
        <w:rPr>
          <w:rFonts w:hint="eastAsia" w:ascii="仿宋_GB2312" w:eastAsia="仿宋_GB2312"/>
          <w:color w:val="000000"/>
          <w:sz w:val="32"/>
          <w:szCs w:val="32"/>
        </w:rPr>
        <w:t>人。</w:t>
      </w:r>
    </w:p>
    <w:p>
      <w:pPr>
        <w:spacing w:line="560" w:lineRule="exact"/>
        <w:ind w:firstLine="800" w:firstLineChars="250"/>
        <w:rPr>
          <w:rFonts w:hint="eastAsia" w:ascii="黑体" w:hAnsi="黑体" w:eastAsia="黑体" w:cs="黑体"/>
          <w:color w:val="000000"/>
          <w:sz w:val="32"/>
          <w:szCs w:val="32"/>
        </w:rPr>
      </w:pPr>
      <w:r>
        <w:rPr>
          <w:rFonts w:hint="eastAsia" w:ascii="黑体" w:hAnsi="黑体" w:eastAsia="黑体" w:cs="黑体"/>
          <w:color w:val="000000"/>
          <w:sz w:val="32"/>
          <w:szCs w:val="32"/>
        </w:rPr>
        <w:t>二、</w:t>
      </w:r>
      <w:r>
        <w:rPr>
          <w:rFonts w:hint="eastAsia" w:ascii="黑体" w:hAnsi="黑体" w:eastAsia="黑体" w:cs="黑体"/>
          <w:color w:val="000000"/>
          <w:sz w:val="32"/>
          <w:szCs w:val="32"/>
          <w:lang w:eastAsia="zh-CN"/>
        </w:rPr>
        <w:t>202</w:t>
      </w:r>
      <w:r>
        <w:rPr>
          <w:rFonts w:hint="eastAsia" w:ascii="黑体" w:hAnsi="黑体" w:eastAsia="黑体" w:cs="黑体"/>
          <w:color w:val="000000"/>
          <w:sz w:val="32"/>
          <w:szCs w:val="32"/>
          <w:lang w:val="en-US" w:eastAsia="zh-CN"/>
        </w:rPr>
        <w:t>4</w:t>
      </w:r>
      <w:r>
        <w:rPr>
          <w:rFonts w:hint="eastAsia" w:ascii="黑体" w:hAnsi="黑体" w:eastAsia="黑体" w:cs="黑体"/>
          <w:color w:val="000000"/>
          <w:sz w:val="32"/>
          <w:szCs w:val="32"/>
          <w:lang w:eastAsia="zh-CN"/>
        </w:rPr>
        <w:t>年</w:t>
      </w:r>
      <w:r>
        <w:rPr>
          <w:rFonts w:hint="eastAsia" w:ascii="黑体" w:hAnsi="黑体" w:eastAsia="黑体" w:cs="黑体"/>
          <w:color w:val="000000"/>
          <w:sz w:val="32"/>
          <w:szCs w:val="32"/>
        </w:rPr>
        <w:t>部门预算收支及增减变化情况说明</w:t>
      </w:r>
    </w:p>
    <w:p>
      <w:pPr>
        <w:spacing w:line="560" w:lineRule="exact"/>
        <w:ind w:firstLine="800" w:firstLineChars="25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2024年</w:t>
      </w:r>
      <w:r>
        <w:rPr>
          <w:rFonts w:hint="eastAsia" w:ascii="仿宋_GB2312" w:eastAsia="仿宋_GB2312"/>
          <w:color w:val="000000"/>
          <w:sz w:val="32"/>
          <w:szCs w:val="32"/>
        </w:rPr>
        <w:t>部门预算</w:t>
      </w:r>
      <w:r>
        <w:rPr>
          <w:rFonts w:hint="eastAsia" w:ascii="仿宋_GB2312" w:eastAsia="仿宋_GB2312"/>
          <w:color w:val="000000"/>
          <w:sz w:val="32"/>
          <w:szCs w:val="32"/>
          <w:lang w:eastAsia="zh-CN"/>
        </w:rPr>
        <w:t>收入346,616,848</w:t>
      </w:r>
      <w:r>
        <w:rPr>
          <w:rFonts w:hint="eastAsia" w:ascii="仿宋_GB2312" w:eastAsia="仿宋_GB2312"/>
          <w:color w:val="000000"/>
          <w:sz w:val="32"/>
          <w:szCs w:val="32"/>
          <w:lang w:val="en-US" w:eastAsia="zh-CN"/>
        </w:rPr>
        <w:t>.</w:t>
      </w:r>
      <w:r>
        <w:rPr>
          <w:rFonts w:hint="eastAsia" w:ascii="仿宋_GB2312" w:eastAsia="仿宋_GB2312"/>
          <w:color w:val="000000"/>
          <w:sz w:val="32"/>
          <w:szCs w:val="32"/>
          <w:lang w:eastAsia="zh-CN"/>
        </w:rPr>
        <w:t>51</w:t>
      </w:r>
      <w:r>
        <w:rPr>
          <w:rFonts w:hint="eastAsia" w:ascii="仿宋_GB2312" w:eastAsia="仿宋_GB2312"/>
          <w:color w:val="000000"/>
          <w:sz w:val="32"/>
          <w:szCs w:val="32"/>
        </w:rPr>
        <w:t>元，比20</w:t>
      </w:r>
      <w:r>
        <w:rPr>
          <w:rFonts w:hint="eastAsia" w:ascii="仿宋_GB2312" w:eastAsia="仿宋_GB2312"/>
          <w:color w:val="000000"/>
          <w:sz w:val="32"/>
          <w:szCs w:val="32"/>
          <w:lang w:val="en-US" w:eastAsia="zh-CN"/>
        </w:rPr>
        <w:t>23</w:t>
      </w:r>
      <w:r>
        <w:rPr>
          <w:rFonts w:hint="eastAsia" w:ascii="仿宋_GB2312" w:eastAsia="仿宋_GB2312"/>
          <w:color w:val="000000"/>
          <w:sz w:val="32"/>
          <w:szCs w:val="32"/>
        </w:rPr>
        <w:t>年部门预算收</w:t>
      </w:r>
      <w:r>
        <w:rPr>
          <w:rFonts w:hint="eastAsia" w:ascii="仿宋_GB2312" w:eastAsia="仿宋_GB2312"/>
          <w:color w:val="000000"/>
          <w:sz w:val="32"/>
          <w:szCs w:val="32"/>
          <w:lang w:eastAsia="zh-CN"/>
        </w:rPr>
        <w:t>入279,013,407</w:t>
      </w:r>
      <w:r>
        <w:rPr>
          <w:rFonts w:hint="eastAsia" w:ascii="仿宋_GB2312" w:eastAsia="仿宋_GB2312"/>
          <w:color w:val="000000"/>
          <w:sz w:val="32"/>
          <w:szCs w:val="32"/>
          <w:lang w:val="en-US" w:eastAsia="zh-CN"/>
        </w:rPr>
        <w:t>.</w:t>
      </w:r>
      <w:r>
        <w:rPr>
          <w:rFonts w:hint="eastAsia" w:ascii="仿宋_GB2312" w:eastAsia="仿宋_GB2312"/>
          <w:color w:val="000000"/>
          <w:sz w:val="32"/>
          <w:szCs w:val="32"/>
          <w:lang w:eastAsia="zh-CN"/>
        </w:rPr>
        <w:t>35</w:t>
      </w:r>
      <w:r>
        <w:rPr>
          <w:rFonts w:hint="eastAsia" w:ascii="仿宋_GB2312" w:eastAsia="仿宋_GB2312"/>
          <w:color w:val="000000"/>
          <w:sz w:val="32"/>
          <w:szCs w:val="32"/>
        </w:rPr>
        <w:t>元</w:t>
      </w:r>
      <w:r>
        <w:rPr>
          <w:rFonts w:hint="eastAsia" w:ascii="仿宋_GB2312" w:eastAsia="仿宋_GB2312"/>
          <w:color w:val="000000"/>
          <w:sz w:val="32"/>
          <w:szCs w:val="32"/>
          <w:lang w:val="en-US" w:eastAsia="zh-CN"/>
        </w:rPr>
        <w:t>增加67,603,441.16</w:t>
      </w:r>
      <w:r>
        <w:rPr>
          <w:rFonts w:hint="eastAsia" w:ascii="仿宋_GB2312" w:eastAsia="仿宋_GB2312"/>
          <w:color w:val="000000"/>
          <w:sz w:val="32"/>
          <w:szCs w:val="32"/>
        </w:rPr>
        <w:t>元,</w:t>
      </w:r>
      <w:r>
        <w:rPr>
          <w:rFonts w:hint="eastAsia" w:ascii="仿宋_GB2312" w:eastAsia="仿宋_GB2312"/>
          <w:color w:val="000000"/>
          <w:sz w:val="32"/>
          <w:szCs w:val="32"/>
          <w:lang w:val="en-US" w:eastAsia="zh-CN"/>
        </w:rPr>
        <w:t>增加24.23</w:t>
      </w:r>
      <w:r>
        <w:rPr>
          <w:rFonts w:hint="eastAsia" w:ascii="仿宋_GB2312" w:eastAsia="仿宋_GB2312"/>
          <w:color w:val="000000"/>
          <w:sz w:val="32"/>
          <w:szCs w:val="32"/>
        </w:rPr>
        <w:t>%</w:t>
      </w:r>
      <w:r>
        <w:rPr>
          <w:rFonts w:hint="eastAsia" w:ascii="仿宋_GB2312" w:eastAsia="仿宋_GB2312"/>
          <w:color w:val="000000"/>
          <w:sz w:val="32"/>
          <w:szCs w:val="32"/>
          <w:lang w:eastAsia="zh-CN"/>
        </w:rPr>
        <w:t>。主要</w:t>
      </w:r>
      <w:r>
        <w:rPr>
          <w:rFonts w:hint="eastAsia" w:ascii="仿宋_GB2312" w:eastAsia="仿宋_GB2312"/>
          <w:color w:val="000000"/>
          <w:sz w:val="32"/>
          <w:szCs w:val="32"/>
          <w:lang w:val="en-US" w:eastAsia="zh-CN"/>
        </w:rPr>
        <w:t>原因</w:t>
      </w:r>
      <w:r>
        <w:rPr>
          <w:rFonts w:hint="eastAsia" w:ascii="仿宋_GB2312" w:eastAsia="仿宋_GB2312"/>
          <w:color w:val="000000"/>
          <w:sz w:val="32"/>
          <w:szCs w:val="32"/>
          <w:lang w:eastAsia="zh-CN"/>
        </w:rPr>
        <w:t>是保障性住房租金补贴</w:t>
      </w:r>
      <w:r>
        <w:rPr>
          <w:rFonts w:hint="eastAsia" w:ascii="仿宋_GB2312" w:eastAsia="仿宋_GB2312"/>
          <w:color w:val="000000"/>
          <w:sz w:val="32"/>
          <w:szCs w:val="32"/>
          <w:lang w:val="en-US" w:eastAsia="zh-CN"/>
        </w:rPr>
        <w:t>预算收入</w:t>
      </w:r>
      <w:r>
        <w:rPr>
          <w:rFonts w:hint="eastAsia" w:ascii="仿宋_GB2312" w:eastAsia="仿宋_GB2312"/>
          <w:color w:val="000000"/>
          <w:sz w:val="32"/>
          <w:szCs w:val="32"/>
          <w:lang w:eastAsia="zh-CN"/>
        </w:rPr>
        <w:t>较上年增加。</w:t>
      </w:r>
    </w:p>
    <w:p>
      <w:pPr>
        <w:ind w:firstLine="640" w:firstLineChars="200"/>
        <w:rPr>
          <w:rFonts w:ascii="仿宋" w:hAnsi="仿宋" w:eastAsia="仿宋"/>
          <w:sz w:val="32"/>
          <w:szCs w:val="32"/>
        </w:rPr>
      </w:pPr>
      <w:r>
        <w:rPr>
          <w:rFonts w:hint="eastAsia" w:ascii="仿宋_GB2312" w:eastAsia="仿宋_GB2312"/>
          <w:color w:val="000000"/>
          <w:sz w:val="32"/>
          <w:szCs w:val="32"/>
          <w:lang w:val="en-US" w:eastAsia="zh-CN"/>
        </w:rPr>
        <w:t>2024年</w:t>
      </w:r>
      <w:r>
        <w:rPr>
          <w:rFonts w:hint="eastAsia" w:ascii="仿宋_GB2312" w:eastAsia="仿宋_GB2312"/>
          <w:color w:val="000000"/>
          <w:sz w:val="32"/>
          <w:szCs w:val="32"/>
        </w:rPr>
        <w:t>部门预算</w:t>
      </w:r>
      <w:r>
        <w:rPr>
          <w:rFonts w:hint="eastAsia" w:ascii="仿宋_GB2312" w:eastAsia="仿宋_GB2312"/>
          <w:color w:val="000000"/>
          <w:sz w:val="32"/>
          <w:szCs w:val="32"/>
          <w:lang w:eastAsia="zh-CN"/>
        </w:rPr>
        <w:t>支出346,616,848</w:t>
      </w:r>
      <w:r>
        <w:rPr>
          <w:rFonts w:hint="eastAsia" w:ascii="仿宋_GB2312" w:eastAsia="仿宋_GB2312"/>
          <w:color w:val="000000"/>
          <w:sz w:val="32"/>
          <w:szCs w:val="32"/>
          <w:lang w:val="en-US" w:eastAsia="zh-CN"/>
        </w:rPr>
        <w:t>.</w:t>
      </w:r>
      <w:r>
        <w:rPr>
          <w:rFonts w:hint="eastAsia" w:ascii="仿宋_GB2312" w:eastAsia="仿宋_GB2312"/>
          <w:color w:val="000000"/>
          <w:sz w:val="32"/>
          <w:szCs w:val="32"/>
          <w:lang w:eastAsia="zh-CN"/>
        </w:rPr>
        <w:t>51</w:t>
      </w:r>
      <w:r>
        <w:rPr>
          <w:rFonts w:hint="eastAsia" w:ascii="仿宋_GB2312" w:eastAsia="仿宋_GB2312"/>
          <w:color w:val="000000"/>
          <w:sz w:val="32"/>
          <w:szCs w:val="32"/>
        </w:rPr>
        <w:t>元</w:t>
      </w:r>
      <w:r>
        <w:rPr>
          <w:rFonts w:hint="eastAsia" w:ascii="仿宋_GB2312" w:eastAsia="仿宋_GB2312"/>
          <w:color w:val="000000"/>
          <w:sz w:val="32"/>
          <w:szCs w:val="32"/>
          <w:lang w:eastAsia="zh-CN"/>
        </w:rPr>
        <w:t>，</w:t>
      </w:r>
      <w:r>
        <w:rPr>
          <w:rFonts w:hint="eastAsia" w:ascii="仿宋" w:hAnsi="仿宋" w:eastAsia="仿宋"/>
          <w:sz w:val="32"/>
          <w:szCs w:val="32"/>
        </w:rPr>
        <w:t>按用途划分：</w:t>
      </w:r>
    </w:p>
    <w:p>
      <w:pPr>
        <w:spacing w:line="560" w:lineRule="exact"/>
        <w:ind w:firstLine="640" w:firstLineChars="20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lang w:val="en-US" w:eastAsia="zh-CN"/>
        </w:rPr>
        <w:t>1、基本支出预算69,381,428.27元，占总支出预算的20.02%,比2023年64,236,711.19元增加5,144,717.08元，增加8.01%,</w:t>
      </w:r>
      <w:r>
        <w:rPr>
          <w:rFonts w:hint="eastAsia" w:ascii="仿宋_GB2312" w:eastAsia="仿宋_GB2312"/>
          <w:color w:val="000000"/>
          <w:sz w:val="32"/>
          <w:szCs w:val="32"/>
          <w:highlight w:val="none"/>
          <w:lang w:val="en-US" w:eastAsia="zh-CN"/>
        </w:rPr>
        <w:t>主要原因是标准调整。</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lang w:eastAsia="zh-CN"/>
        </w:rPr>
        <w:t>项目支出预算277,235,420</w:t>
      </w:r>
      <w:r>
        <w:rPr>
          <w:rFonts w:hint="eastAsia" w:ascii="仿宋_GB2312" w:eastAsia="仿宋_GB2312"/>
          <w:color w:val="000000"/>
          <w:sz w:val="32"/>
          <w:szCs w:val="32"/>
          <w:lang w:val="en-US" w:eastAsia="zh-CN"/>
        </w:rPr>
        <w:t>.</w:t>
      </w:r>
      <w:r>
        <w:rPr>
          <w:rFonts w:hint="eastAsia" w:ascii="仿宋_GB2312" w:eastAsia="仿宋_GB2312"/>
          <w:color w:val="000000"/>
          <w:sz w:val="32"/>
          <w:szCs w:val="32"/>
          <w:lang w:eastAsia="zh-CN"/>
        </w:rPr>
        <w:t>24</w:t>
      </w:r>
      <w:r>
        <w:rPr>
          <w:rFonts w:hint="eastAsia" w:ascii="仿宋_GB2312" w:eastAsia="仿宋_GB2312"/>
          <w:color w:val="000000"/>
          <w:sz w:val="32"/>
          <w:szCs w:val="32"/>
          <w:lang w:val="en-US" w:eastAsia="zh-CN"/>
        </w:rPr>
        <w:t>元，占总支出预算的79.98%。比2023年</w:t>
      </w:r>
      <w:r>
        <w:rPr>
          <w:rFonts w:hint="eastAsia" w:ascii="仿宋_GB2312" w:eastAsia="仿宋_GB2312"/>
          <w:color w:val="000000"/>
          <w:sz w:val="32"/>
          <w:szCs w:val="32"/>
          <w:lang w:eastAsia="zh-CN"/>
        </w:rPr>
        <w:t>214,776,696.16</w:t>
      </w:r>
      <w:r>
        <w:rPr>
          <w:rFonts w:hint="eastAsia" w:ascii="仿宋_GB2312" w:eastAsia="仿宋_GB2312"/>
          <w:color w:val="000000"/>
          <w:sz w:val="32"/>
          <w:szCs w:val="32"/>
          <w:lang w:val="en-US" w:eastAsia="zh-CN"/>
        </w:rPr>
        <w:t>元增加62,458,724.08元，增加29.08%,</w:t>
      </w:r>
      <w:r>
        <w:rPr>
          <w:rFonts w:hint="eastAsia" w:ascii="仿宋_GB2312" w:eastAsia="仿宋_GB2312"/>
          <w:color w:val="000000"/>
          <w:sz w:val="32"/>
          <w:szCs w:val="32"/>
          <w:lang w:eastAsia="zh-CN"/>
        </w:rPr>
        <w:t>支出</w:t>
      </w:r>
      <w:r>
        <w:rPr>
          <w:rFonts w:hint="eastAsia" w:ascii="仿宋_GB2312" w:eastAsia="仿宋_GB2312"/>
          <w:color w:val="000000"/>
          <w:sz w:val="32"/>
          <w:szCs w:val="32"/>
          <w:lang w:val="en-US" w:eastAsia="zh-CN"/>
        </w:rPr>
        <w:t>增加</w:t>
      </w:r>
      <w:r>
        <w:rPr>
          <w:rFonts w:hint="eastAsia" w:ascii="仿宋_GB2312" w:eastAsia="仿宋_GB2312"/>
          <w:color w:val="000000"/>
          <w:sz w:val="32"/>
          <w:szCs w:val="32"/>
        </w:rPr>
        <w:t>的主要原因</w:t>
      </w:r>
      <w:r>
        <w:rPr>
          <w:rFonts w:hint="eastAsia" w:ascii="仿宋_GB2312" w:eastAsia="仿宋_GB2312"/>
          <w:color w:val="000000"/>
          <w:sz w:val="32"/>
          <w:szCs w:val="32"/>
          <w:lang w:eastAsia="zh-CN"/>
        </w:rPr>
        <w:t>是保障性住房租金补贴</w:t>
      </w:r>
      <w:r>
        <w:rPr>
          <w:rFonts w:hint="eastAsia" w:ascii="仿宋_GB2312" w:eastAsia="仿宋_GB2312"/>
          <w:color w:val="000000"/>
          <w:sz w:val="32"/>
          <w:szCs w:val="32"/>
          <w:lang w:val="en-US" w:eastAsia="zh-CN"/>
        </w:rPr>
        <w:t>较上年需求增加</w:t>
      </w:r>
      <w:r>
        <w:rPr>
          <w:rFonts w:hint="eastAsia" w:ascii="仿宋_GB2312" w:eastAsia="仿宋_GB2312"/>
          <w:color w:val="000000"/>
          <w:sz w:val="32"/>
          <w:szCs w:val="32"/>
        </w:rPr>
        <w:t>。</w:t>
      </w:r>
    </w:p>
    <w:p>
      <w:pPr>
        <w:numPr>
          <w:ilvl w:val="0"/>
          <w:numId w:val="2"/>
        </w:numPr>
        <w:spacing w:line="560" w:lineRule="exact"/>
        <w:ind w:firstLine="800" w:firstLineChars="25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主要支出情况</w:t>
      </w:r>
    </w:p>
    <w:p>
      <w:pPr>
        <w:numPr>
          <w:ilvl w:val="0"/>
          <w:numId w:val="0"/>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（一）基本支出主要包括在职、离退休人员支出、个人和家庭补助支出、公用支出。</w:t>
      </w:r>
    </w:p>
    <w:p>
      <w:pPr>
        <w:numPr>
          <w:ilvl w:val="0"/>
          <w:numId w:val="0"/>
        </w:num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（二）项目支出主要包括保障性住房租金补贴</w:t>
      </w:r>
      <w:r>
        <w:rPr>
          <w:rFonts w:hint="eastAsia" w:ascii="仿宋_GB2312" w:eastAsia="仿宋_GB2312"/>
          <w:color w:val="000000"/>
          <w:sz w:val="32"/>
          <w:szCs w:val="32"/>
          <w:lang w:eastAsia="zh-CN"/>
        </w:rPr>
        <w:t>、保障性住房后期管理经费、</w:t>
      </w:r>
      <w:r>
        <w:rPr>
          <w:rFonts w:hint="eastAsia" w:ascii="仿宋_GB2312" w:eastAsia="仿宋_GB2312"/>
          <w:color w:val="000000"/>
          <w:sz w:val="32"/>
          <w:szCs w:val="32"/>
        </w:rPr>
        <w:t>房屋抢修抢险工程款</w:t>
      </w:r>
      <w:r>
        <w:rPr>
          <w:rFonts w:hint="eastAsia" w:ascii="仿宋_GB2312" w:eastAsia="仿宋_GB2312"/>
          <w:color w:val="000000"/>
          <w:sz w:val="32"/>
          <w:szCs w:val="32"/>
          <w:lang w:eastAsia="zh-CN"/>
        </w:rPr>
        <w:t>、西城区选调（培）生人才住房租金、</w:t>
      </w:r>
      <w:r>
        <w:rPr>
          <w:rFonts w:hint="eastAsia" w:ascii="仿宋_GB2312" w:eastAsia="仿宋_GB2312"/>
          <w:color w:val="000000"/>
          <w:sz w:val="32"/>
          <w:szCs w:val="32"/>
          <w:lang w:val="en-US" w:eastAsia="zh-CN"/>
        </w:rPr>
        <w:t>房屋安全检查及评估经费、房产实测绘成果审核服务经费</w:t>
      </w:r>
      <w:r>
        <w:rPr>
          <w:rFonts w:hint="eastAsia" w:ascii="仿宋_GB2312" w:eastAsia="仿宋_GB2312"/>
          <w:color w:val="000000"/>
          <w:sz w:val="32"/>
          <w:szCs w:val="32"/>
          <w:lang w:eastAsia="zh-CN"/>
        </w:rPr>
        <w:t>等。</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四、部门“三公”经费财政拨款预算说明</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numPr>
          <w:ilvl w:val="0"/>
          <w:numId w:val="0"/>
        </w:num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北京市西城区房屋管理局为全额拨款行政机关，部门预算中因公出国（境）费、公务接待费、公务用车购置及运行维护费的支出单位包括1个所属单位，即北京市西城区房屋管理局。</w:t>
      </w:r>
    </w:p>
    <w:p>
      <w:pPr>
        <w:numPr>
          <w:ilvl w:val="0"/>
          <w:numId w:val="0"/>
        </w:numPr>
        <w:spacing w:line="560" w:lineRule="exact"/>
        <w:ind w:leftChars="200" w:firstLine="320" w:firstLineChars="100"/>
        <w:rPr>
          <w:rFonts w:hint="eastAsia" w:ascii="仿宋_GB2312" w:eastAsia="仿宋_GB2312"/>
          <w:color w:val="000000"/>
          <w:sz w:val="32"/>
          <w:szCs w:val="32"/>
        </w:rPr>
      </w:pPr>
      <w:r>
        <w:rPr>
          <w:rFonts w:hint="eastAsia" w:ascii="仿宋_GB2312" w:eastAsia="仿宋_GB2312"/>
          <w:color w:val="000000"/>
          <w:sz w:val="32"/>
          <w:szCs w:val="32"/>
          <w:lang w:eastAsia="zh-CN"/>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numPr>
          <w:ilvl w:val="0"/>
          <w:numId w:val="0"/>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2024年</w:t>
      </w:r>
      <w:r>
        <w:rPr>
          <w:rFonts w:hint="eastAsia" w:ascii="仿宋_GB2312" w:eastAsia="仿宋_GB2312"/>
          <w:color w:val="000000"/>
          <w:sz w:val="32"/>
          <w:szCs w:val="32"/>
        </w:rPr>
        <w:t xml:space="preserve"> “三公”经费财政预算数</w:t>
      </w:r>
      <w:r>
        <w:rPr>
          <w:rFonts w:hint="eastAsia" w:ascii="仿宋_GB2312" w:eastAsia="仿宋_GB2312"/>
          <w:color w:val="000000"/>
          <w:sz w:val="32"/>
          <w:szCs w:val="32"/>
          <w:lang w:val="en-US" w:eastAsia="zh-CN"/>
        </w:rPr>
        <w:t>24,562.56</w:t>
      </w:r>
      <w:r>
        <w:rPr>
          <w:rFonts w:hint="eastAsia" w:ascii="仿宋_GB2312" w:eastAsia="仿宋_GB2312"/>
          <w:color w:val="000000"/>
          <w:sz w:val="32"/>
          <w:szCs w:val="32"/>
        </w:rPr>
        <w:t>元，</w:t>
      </w:r>
      <w:r>
        <w:rPr>
          <w:rFonts w:hint="eastAsia" w:ascii="仿宋_GB2312" w:eastAsia="仿宋_GB2312"/>
          <w:color w:val="000000"/>
          <w:sz w:val="32"/>
          <w:szCs w:val="32"/>
          <w:lang w:eastAsia="zh-CN"/>
        </w:rPr>
        <w:t>较</w:t>
      </w:r>
      <w:r>
        <w:rPr>
          <w:rFonts w:hint="eastAsia" w:ascii="仿宋_GB2312" w:eastAsia="仿宋_GB2312"/>
          <w:color w:val="000000"/>
          <w:sz w:val="32"/>
          <w:szCs w:val="32"/>
          <w:lang w:val="en-US" w:eastAsia="zh-CN"/>
        </w:rPr>
        <w:t>2023</w:t>
      </w:r>
      <w:r>
        <w:rPr>
          <w:rFonts w:hint="eastAsia" w:ascii="仿宋_GB2312" w:eastAsia="仿宋_GB2312"/>
          <w:color w:val="000000"/>
          <w:sz w:val="32"/>
          <w:szCs w:val="32"/>
        </w:rPr>
        <w:t>年“三公”经费</w:t>
      </w:r>
      <w:r>
        <w:rPr>
          <w:rFonts w:hint="eastAsia" w:ascii="仿宋_GB2312" w:eastAsia="仿宋_GB2312"/>
          <w:color w:val="000000"/>
          <w:sz w:val="32"/>
          <w:szCs w:val="32"/>
          <w:lang w:eastAsia="zh-CN"/>
        </w:rPr>
        <w:t>财政</w:t>
      </w:r>
      <w:r>
        <w:rPr>
          <w:rFonts w:hint="eastAsia" w:ascii="仿宋_GB2312" w:eastAsia="仿宋_GB2312"/>
          <w:color w:val="000000"/>
          <w:sz w:val="32"/>
          <w:szCs w:val="32"/>
        </w:rPr>
        <w:t>预算</w:t>
      </w:r>
      <w:r>
        <w:rPr>
          <w:rFonts w:hint="eastAsia" w:ascii="仿宋_GB2312" w:eastAsia="仿宋_GB2312"/>
          <w:color w:val="000000"/>
          <w:sz w:val="32"/>
          <w:szCs w:val="32"/>
          <w:lang w:val="en-US" w:eastAsia="zh-CN"/>
        </w:rPr>
        <w:t>数一致</w:t>
      </w:r>
      <w:r>
        <w:rPr>
          <w:rFonts w:hint="eastAsia" w:ascii="仿宋_GB2312" w:eastAsia="仿宋_GB2312"/>
          <w:color w:val="000000"/>
          <w:sz w:val="32"/>
          <w:szCs w:val="32"/>
          <w:lang w:eastAsia="zh-CN"/>
        </w:rPr>
        <w:t>。</w:t>
      </w:r>
      <w:r>
        <w:rPr>
          <w:rFonts w:hint="eastAsia" w:ascii="仿宋_GB2312" w:eastAsia="仿宋_GB2312"/>
          <w:color w:val="000000"/>
          <w:sz w:val="32"/>
          <w:szCs w:val="32"/>
        </w:rPr>
        <w:t>其中：</w:t>
      </w:r>
    </w:p>
    <w:p>
      <w:pPr>
        <w:numPr>
          <w:ilvl w:val="0"/>
          <w:numId w:val="0"/>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因公出国（境）费</w:t>
      </w:r>
    </w:p>
    <w:p>
      <w:pPr>
        <w:numPr>
          <w:ilvl w:val="0"/>
          <w:numId w:val="0"/>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2024年</w:t>
      </w:r>
      <w:r>
        <w:rPr>
          <w:rFonts w:hint="eastAsia" w:ascii="仿宋_GB2312" w:eastAsia="仿宋_GB2312"/>
          <w:color w:val="000000"/>
          <w:sz w:val="32"/>
          <w:szCs w:val="32"/>
        </w:rPr>
        <w:t>财政预算数0元，与20</w:t>
      </w:r>
      <w:r>
        <w:rPr>
          <w:rFonts w:hint="eastAsia" w:ascii="仿宋_GB2312" w:eastAsia="仿宋_GB2312"/>
          <w:color w:val="000000"/>
          <w:sz w:val="32"/>
          <w:szCs w:val="32"/>
          <w:lang w:val="en-US" w:eastAsia="zh-CN"/>
        </w:rPr>
        <w:t>23</w:t>
      </w:r>
      <w:r>
        <w:rPr>
          <w:rFonts w:hint="eastAsia" w:ascii="仿宋_GB2312" w:eastAsia="仿宋_GB2312"/>
          <w:color w:val="000000"/>
          <w:sz w:val="32"/>
          <w:szCs w:val="32"/>
        </w:rPr>
        <w:t>年</w:t>
      </w:r>
      <w:r>
        <w:rPr>
          <w:rFonts w:hint="eastAsia" w:ascii="仿宋_GB2312" w:eastAsia="仿宋_GB2312"/>
          <w:color w:val="000000"/>
          <w:sz w:val="32"/>
          <w:szCs w:val="32"/>
          <w:lang w:eastAsia="zh-CN"/>
        </w:rPr>
        <w:t>财政</w:t>
      </w:r>
      <w:r>
        <w:rPr>
          <w:rFonts w:hint="eastAsia" w:ascii="仿宋_GB2312" w:eastAsia="仿宋_GB2312"/>
          <w:color w:val="000000"/>
          <w:sz w:val="32"/>
          <w:szCs w:val="32"/>
        </w:rPr>
        <w:t>预算一致。</w:t>
      </w:r>
    </w:p>
    <w:p>
      <w:pPr>
        <w:numPr>
          <w:ilvl w:val="0"/>
          <w:numId w:val="0"/>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公务接待费</w:t>
      </w:r>
    </w:p>
    <w:p>
      <w:pPr>
        <w:numPr>
          <w:ilvl w:val="0"/>
          <w:numId w:val="0"/>
        </w:numPr>
        <w:spacing w:line="560"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2024年</w:t>
      </w:r>
      <w:r>
        <w:rPr>
          <w:rFonts w:hint="eastAsia" w:ascii="仿宋_GB2312" w:eastAsia="仿宋_GB2312"/>
          <w:color w:val="000000"/>
          <w:sz w:val="32"/>
          <w:szCs w:val="32"/>
          <w:lang w:eastAsia="zh-CN"/>
        </w:rPr>
        <w:t>财政</w:t>
      </w:r>
      <w:r>
        <w:rPr>
          <w:rFonts w:hint="eastAsia" w:ascii="仿宋_GB2312" w:eastAsia="仿宋_GB2312"/>
          <w:color w:val="000000"/>
          <w:sz w:val="32"/>
          <w:szCs w:val="32"/>
        </w:rPr>
        <w:t>预算</w:t>
      </w:r>
      <w:r>
        <w:rPr>
          <w:rFonts w:hint="eastAsia" w:ascii="仿宋_GB2312" w:eastAsia="仿宋_GB2312"/>
          <w:color w:val="000000"/>
          <w:sz w:val="32"/>
          <w:szCs w:val="32"/>
          <w:lang w:val="en-US" w:eastAsia="zh-CN"/>
        </w:rPr>
        <w:t>24,562.56</w:t>
      </w:r>
      <w:r>
        <w:rPr>
          <w:rFonts w:hint="eastAsia" w:ascii="仿宋_GB2312" w:eastAsia="仿宋_GB2312"/>
          <w:color w:val="000000"/>
          <w:sz w:val="32"/>
          <w:szCs w:val="32"/>
        </w:rPr>
        <w:t>元，与20</w:t>
      </w:r>
      <w:r>
        <w:rPr>
          <w:rFonts w:hint="eastAsia" w:ascii="仿宋_GB2312" w:eastAsia="仿宋_GB2312"/>
          <w:color w:val="000000"/>
          <w:sz w:val="32"/>
          <w:szCs w:val="32"/>
          <w:lang w:val="en-US" w:eastAsia="zh-CN"/>
        </w:rPr>
        <w:t>23</w:t>
      </w:r>
      <w:r>
        <w:rPr>
          <w:rFonts w:hint="eastAsia" w:ascii="仿宋_GB2312" w:eastAsia="仿宋_GB2312"/>
          <w:color w:val="000000"/>
          <w:sz w:val="32"/>
          <w:szCs w:val="32"/>
        </w:rPr>
        <w:t>年</w:t>
      </w:r>
      <w:r>
        <w:rPr>
          <w:rFonts w:hint="eastAsia" w:ascii="仿宋_GB2312" w:eastAsia="仿宋_GB2312"/>
          <w:color w:val="000000"/>
          <w:sz w:val="32"/>
          <w:szCs w:val="32"/>
          <w:lang w:eastAsia="zh-CN"/>
        </w:rPr>
        <w:t>财政</w:t>
      </w:r>
      <w:r>
        <w:rPr>
          <w:rFonts w:hint="eastAsia" w:ascii="仿宋_GB2312" w:eastAsia="仿宋_GB2312"/>
          <w:color w:val="000000"/>
          <w:sz w:val="32"/>
          <w:szCs w:val="32"/>
        </w:rPr>
        <w:t>预算一致</w:t>
      </w:r>
      <w:r>
        <w:rPr>
          <w:rFonts w:hint="eastAsia" w:ascii="仿宋_GB2312" w:eastAsia="仿宋_GB2312"/>
          <w:color w:val="000000"/>
          <w:sz w:val="32"/>
          <w:szCs w:val="32"/>
          <w:lang w:eastAsia="zh-CN"/>
        </w:rPr>
        <w:t>。</w:t>
      </w:r>
    </w:p>
    <w:p>
      <w:pPr>
        <w:numPr>
          <w:ilvl w:val="0"/>
          <w:numId w:val="0"/>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公务用车购置及运行维护费</w:t>
      </w:r>
    </w:p>
    <w:p>
      <w:pPr>
        <w:numPr>
          <w:ilvl w:val="0"/>
          <w:numId w:val="0"/>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2024年</w:t>
      </w:r>
      <w:r>
        <w:rPr>
          <w:rFonts w:hint="eastAsia" w:ascii="仿宋_GB2312" w:eastAsia="仿宋_GB2312"/>
          <w:color w:val="000000"/>
          <w:sz w:val="32"/>
          <w:szCs w:val="32"/>
        </w:rPr>
        <w:t>财政预算数0元，与2</w:t>
      </w:r>
      <w:r>
        <w:rPr>
          <w:rFonts w:hint="eastAsia" w:ascii="仿宋_GB2312" w:eastAsia="仿宋_GB2312"/>
          <w:color w:val="000000"/>
          <w:sz w:val="32"/>
          <w:szCs w:val="32"/>
          <w:lang w:val="en-US" w:eastAsia="zh-CN"/>
        </w:rPr>
        <w:t>023</w:t>
      </w:r>
      <w:r>
        <w:rPr>
          <w:rFonts w:hint="eastAsia" w:ascii="仿宋_GB2312" w:eastAsia="仿宋_GB2312"/>
          <w:color w:val="000000"/>
          <w:sz w:val="32"/>
          <w:szCs w:val="32"/>
        </w:rPr>
        <w:t>年</w:t>
      </w:r>
      <w:r>
        <w:rPr>
          <w:rFonts w:hint="eastAsia" w:ascii="仿宋_GB2312" w:eastAsia="仿宋_GB2312"/>
          <w:color w:val="000000"/>
          <w:sz w:val="32"/>
          <w:szCs w:val="32"/>
          <w:lang w:eastAsia="zh-CN"/>
        </w:rPr>
        <w:t>财政</w:t>
      </w:r>
      <w:r>
        <w:rPr>
          <w:rFonts w:hint="eastAsia" w:ascii="仿宋_GB2312" w:eastAsia="仿宋_GB2312"/>
          <w:color w:val="000000"/>
          <w:sz w:val="32"/>
          <w:szCs w:val="32"/>
        </w:rPr>
        <w:t>预算一致。</w:t>
      </w:r>
      <w:r>
        <w:rPr>
          <w:rFonts w:hint="eastAsia" w:ascii="仿宋_GB2312" w:eastAsia="仿宋_GB2312"/>
          <w:color w:val="000000"/>
          <w:sz w:val="32"/>
          <w:szCs w:val="32"/>
          <w:lang w:eastAsia="zh-CN"/>
        </w:rPr>
        <w:t>因</w:t>
      </w:r>
      <w:r>
        <w:rPr>
          <w:rFonts w:hint="eastAsia" w:ascii="仿宋_GB2312" w:eastAsia="仿宋_GB2312"/>
          <w:color w:val="000000"/>
          <w:sz w:val="32"/>
          <w:szCs w:val="32"/>
        </w:rPr>
        <w:t>公务用车已移交，</w:t>
      </w:r>
      <w:r>
        <w:rPr>
          <w:rFonts w:hint="eastAsia" w:ascii="仿宋_GB2312" w:eastAsia="仿宋_GB2312"/>
          <w:color w:val="000000"/>
          <w:sz w:val="32"/>
          <w:szCs w:val="32"/>
          <w:lang w:val="en-US" w:eastAsia="zh-CN"/>
        </w:rPr>
        <w:t>2024年</w:t>
      </w:r>
      <w:r>
        <w:rPr>
          <w:rFonts w:hint="eastAsia" w:ascii="仿宋_GB2312" w:eastAsia="仿宋_GB2312"/>
          <w:color w:val="000000"/>
          <w:sz w:val="32"/>
          <w:szCs w:val="32"/>
        </w:rPr>
        <w:t>预算没有安排公车购置及运行维护费。</w:t>
      </w:r>
    </w:p>
    <w:p>
      <w:pPr>
        <w:numPr>
          <w:ilvl w:val="0"/>
          <w:numId w:val="2"/>
        </w:numPr>
        <w:spacing w:line="560" w:lineRule="exact"/>
        <w:ind w:left="0" w:leftChars="0" w:firstLine="800" w:firstLineChars="250"/>
        <w:rPr>
          <w:rFonts w:hint="eastAsia" w:ascii="黑体" w:hAnsi="黑体" w:eastAsia="黑体" w:cs="黑体"/>
          <w:color w:val="000000"/>
          <w:sz w:val="32"/>
          <w:szCs w:val="32"/>
        </w:rPr>
      </w:pPr>
      <w:r>
        <w:rPr>
          <w:rFonts w:hint="eastAsia" w:ascii="黑体" w:hAnsi="黑体" w:eastAsia="黑体" w:cs="黑体"/>
          <w:color w:val="000000"/>
          <w:sz w:val="32"/>
          <w:szCs w:val="32"/>
        </w:rPr>
        <w:t>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（一）机构运行经费</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eastAsia="zh-CN"/>
        </w:rPr>
        <w:t>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lang w:eastAsia="zh-CN"/>
        </w:rPr>
        <w:t>年</w:t>
      </w:r>
      <w:r>
        <w:rPr>
          <w:rFonts w:hint="eastAsia" w:ascii="仿宋_GB2312" w:eastAsia="仿宋_GB2312"/>
          <w:color w:val="000000"/>
          <w:sz w:val="32"/>
          <w:szCs w:val="32"/>
        </w:rPr>
        <w:t>，</w:t>
      </w:r>
      <w:r>
        <w:rPr>
          <w:rFonts w:hint="eastAsia" w:ascii="仿宋_GB2312" w:eastAsia="仿宋_GB2312"/>
          <w:color w:val="000000"/>
          <w:sz w:val="32"/>
          <w:szCs w:val="32"/>
          <w:lang w:eastAsia="zh-CN"/>
        </w:rPr>
        <w:t>北京市西城区房屋管理局</w:t>
      </w:r>
      <w:r>
        <w:rPr>
          <w:rFonts w:hint="eastAsia" w:ascii="仿宋_GB2312" w:eastAsia="仿宋_GB2312"/>
          <w:color w:val="000000"/>
          <w:sz w:val="32"/>
          <w:szCs w:val="32"/>
        </w:rPr>
        <w:t>机关运行经费财政拨款预算</w:t>
      </w:r>
      <w:r>
        <w:rPr>
          <w:rFonts w:hint="eastAsia" w:ascii="仿宋_GB2312" w:eastAsia="仿宋_GB2312"/>
          <w:color w:val="000000"/>
          <w:sz w:val="32"/>
          <w:szCs w:val="32"/>
          <w:lang w:val="en-US" w:eastAsia="zh-CN"/>
        </w:rPr>
        <w:t>3,842,184</w:t>
      </w:r>
      <w:r>
        <w:rPr>
          <w:rFonts w:hint="eastAsia" w:ascii="仿宋_GB2312" w:eastAsia="仿宋_GB2312"/>
          <w:color w:val="000000"/>
          <w:sz w:val="32"/>
          <w:szCs w:val="32"/>
        </w:rPr>
        <w:t>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rPr>
        <w:t>涉及政府采购项目</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个，预算资金737.9604</w:t>
      </w:r>
      <w:r>
        <w:rPr>
          <w:rFonts w:hint="eastAsia" w:ascii="仿宋_GB2312" w:hAnsi="仿宋_GB2312" w:eastAsia="仿宋_GB2312" w:cs="仿宋_GB2312"/>
          <w:color w:val="000000"/>
          <w:sz w:val="32"/>
          <w:szCs w:val="32"/>
          <w:lang w:val="en-US" w:eastAsia="zh-CN"/>
        </w:rPr>
        <w:t>万元</w:t>
      </w:r>
      <w:r>
        <w:rPr>
          <w:rFonts w:hint="eastAsia" w:ascii="仿宋_GB2312" w:hAnsi="仿宋_GB2312" w:eastAsia="仿宋_GB2312" w:cs="仿宋_GB2312"/>
          <w:color w:val="000000"/>
          <w:sz w:val="32"/>
          <w:szCs w:val="32"/>
        </w:rPr>
        <w:t>。</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（三）政府购买服务预算说明</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rPr>
        <w:t>政府购买服务项目</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个，预算资金531.0788</w:t>
      </w:r>
      <w:r>
        <w:rPr>
          <w:rFonts w:hint="eastAsia" w:ascii="仿宋_GB2312" w:hAnsi="仿宋_GB2312" w:eastAsia="仿宋_GB2312" w:cs="仿宋_GB2312"/>
          <w:color w:val="000000"/>
          <w:sz w:val="32"/>
          <w:szCs w:val="32"/>
          <w:lang w:val="en-US" w:eastAsia="zh-CN"/>
        </w:rPr>
        <w:t>万</w:t>
      </w:r>
      <w:r>
        <w:rPr>
          <w:rFonts w:hint="eastAsia" w:ascii="仿宋_GB2312" w:hAnsi="仿宋_GB2312" w:eastAsia="仿宋_GB2312" w:cs="仿宋_GB2312"/>
          <w:color w:val="000000"/>
          <w:sz w:val="32"/>
          <w:szCs w:val="32"/>
        </w:rPr>
        <w:t>元。</w:t>
      </w:r>
    </w:p>
    <w:p>
      <w:pPr>
        <w:spacing w:line="56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（四）绩效目标情况及绩效评价结果说明</w:t>
      </w:r>
    </w:p>
    <w:p>
      <w:pPr>
        <w:spacing w:line="560" w:lineRule="exact"/>
        <w:ind w:firstLine="645"/>
        <w:rPr>
          <w:rFonts w:hint="default"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highlight w:val="none"/>
          <w:lang w:eastAsia="zh-CN"/>
        </w:rPr>
        <w:t>202</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lang w:eastAsia="zh-CN"/>
        </w:rPr>
        <w:t>年</w:t>
      </w:r>
      <w:r>
        <w:rPr>
          <w:rFonts w:hint="eastAsia" w:ascii="仿宋_GB2312" w:hAnsi="仿宋_GB2312" w:eastAsia="仿宋_GB2312" w:cs="仿宋_GB2312"/>
          <w:color w:val="000000"/>
          <w:sz w:val="32"/>
          <w:szCs w:val="32"/>
          <w:highlight w:val="none"/>
        </w:rPr>
        <w:t>填报绩效目标的预算项目</w:t>
      </w:r>
      <w:r>
        <w:rPr>
          <w:rFonts w:hint="eastAsia" w:ascii="仿宋_GB2312" w:hAnsi="仿宋_GB2312" w:eastAsia="仿宋_GB2312" w:cs="仿宋_GB2312"/>
          <w:color w:val="000000"/>
          <w:sz w:val="32"/>
          <w:szCs w:val="32"/>
          <w:highlight w:val="none"/>
          <w:lang w:val="en-US" w:eastAsia="zh-CN"/>
        </w:rPr>
        <w:t>33</w:t>
      </w:r>
      <w:r>
        <w:rPr>
          <w:rFonts w:hint="eastAsia" w:ascii="仿宋_GB2312" w:hAnsi="仿宋_GB2312" w:eastAsia="仿宋_GB2312" w:cs="仿宋_GB2312"/>
          <w:color w:val="000000"/>
          <w:sz w:val="32"/>
          <w:szCs w:val="32"/>
          <w:highlight w:val="none"/>
        </w:rPr>
        <w:t>个</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占本部门本年预算项目的100%</w:t>
      </w:r>
      <w:r>
        <w:rPr>
          <w:rFonts w:hint="eastAsia" w:ascii="仿宋_GB2312" w:hAnsi="仿宋_GB2312" w:eastAsia="仿宋_GB2312" w:cs="仿宋_GB2312"/>
          <w:color w:val="000000"/>
          <w:sz w:val="32"/>
          <w:szCs w:val="32"/>
          <w:highlight w:val="none"/>
          <w:lang w:eastAsia="zh-CN"/>
        </w:rPr>
        <w:t>。</w:t>
      </w:r>
      <w:bookmarkStart w:id="0" w:name="_GoBack"/>
      <w:bookmarkEnd w:id="0"/>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年北京市西城区房屋管理局组织开展2022年度全年部门整体支出单位自评和2023年半年绩效运行监控</w:t>
      </w:r>
      <w:r>
        <w:rPr>
          <w:rFonts w:hint="eastAsia" w:ascii="仿宋_GB2312" w:hAnsi="仿宋_GB2312" w:eastAsia="仿宋_GB2312" w:cs="仿宋_GB2312"/>
          <w:color w:val="000000"/>
          <w:sz w:val="32"/>
          <w:szCs w:val="32"/>
          <w:lang w:val="en-US" w:eastAsia="zh-CN"/>
        </w:rPr>
        <w:t>工作，对预算批复的项目绩效目标完成情况进行自我评价，评价结果良好，对发现的问题及时纠正。</w:t>
      </w:r>
    </w:p>
    <w:p>
      <w:pPr>
        <w:spacing w:line="56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（五）国有资本经营预算财政拨款情况说明</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北京市西城区</w:t>
      </w:r>
      <w:r>
        <w:rPr>
          <w:rFonts w:hint="eastAsia" w:ascii="仿宋_GB2312" w:hAnsi="仿宋_GB2312" w:eastAsia="仿宋_GB2312" w:cs="仿宋_GB2312"/>
          <w:sz w:val="32"/>
          <w:szCs w:val="32"/>
          <w:lang w:eastAsia="zh-CN"/>
        </w:rPr>
        <w:t>房屋管理</w:t>
      </w:r>
      <w:r>
        <w:rPr>
          <w:rFonts w:hint="eastAsia" w:ascii="仿宋_GB2312" w:hAnsi="仿宋_GB2312" w:eastAsia="仿宋_GB2312" w:cs="仿宋_GB2312"/>
          <w:sz w:val="32"/>
          <w:szCs w:val="32"/>
        </w:rPr>
        <w:t>局无国有资本经营预算拨款收支。</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（六）国有资产占用情况说明</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截止2023年底，本部门固定资产总额</w:t>
      </w:r>
      <w:r>
        <w:rPr>
          <w:rFonts w:hint="eastAsia" w:ascii="仿宋_GB2312" w:eastAsia="仿宋_GB2312"/>
          <w:color w:val="000000"/>
          <w:sz w:val="32"/>
          <w:szCs w:val="32"/>
          <w:lang w:val="en-US" w:eastAsia="zh-CN"/>
        </w:rPr>
        <w:t>1006.71</w:t>
      </w:r>
      <w:r>
        <w:rPr>
          <w:rFonts w:hint="eastAsia" w:ascii="仿宋_GB2312" w:eastAsia="仿宋_GB2312"/>
          <w:color w:val="000000"/>
          <w:sz w:val="32"/>
          <w:szCs w:val="32"/>
        </w:rPr>
        <w:t>万元，其中：车辆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万元；单位价值50万元以上的通用设备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万元，单位价值100万元以上的专用设备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2024部门预算：安排购置车辆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万元；安排购置单位价值50万元以上的通用设备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万元，安排购置单位价值100万元以上的专用设备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60" w:lineRule="exact"/>
        <w:ind w:firstLine="640" w:firstLineChars="200"/>
        <w:rPr>
          <w:rFonts w:ascii="仿宋_GB2312" w:eastAsia="仿宋_GB2312"/>
          <w:color w:val="000000"/>
          <w:sz w:val="32"/>
          <w:szCs w:val="32"/>
        </w:rPr>
      </w:pPr>
      <w:r>
        <w:rPr>
          <w:rFonts w:hint="eastAsia" w:ascii="黑体" w:hAnsi="黑体" w:eastAsia="黑体" w:cs="黑体"/>
          <w:color w:val="000000"/>
          <w:sz w:val="32"/>
          <w:szCs w:val="32"/>
        </w:rPr>
        <w:t>六、名称解释</w:t>
      </w:r>
    </w:p>
    <w:p>
      <w:pPr>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基本支出：指为保障机构正常运转、完成日常工作任务而发生的人员支出和公用支出。</w:t>
      </w:r>
    </w:p>
    <w:p>
      <w:pPr>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项目支出：指在基本支出之外为完成特定行政任务或事业发展目标所发生的支出。</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机关运行经费是指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Pr>
        <w:autoSpaceDE w:val="0"/>
        <w:autoSpaceDN w:val="0"/>
        <w:adjustRightInd w:val="0"/>
        <w:spacing w:line="560" w:lineRule="exact"/>
        <w:ind w:firstLine="800" w:firstLineChars="250"/>
        <w:jc w:val="left"/>
        <w:rPr>
          <w:rFonts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76FB"/>
    <w:multiLevelType w:val="singleLevel"/>
    <w:tmpl w:val="049A76FB"/>
    <w:lvl w:ilvl="0" w:tentative="0">
      <w:start w:val="2"/>
      <w:numFmt w:val="chineseCounting"/>
      <w:suff w:val="nothing"/>
      <w:lvlText w:val="（%1）"/>
      <w:lvlJc w:val="left"/>
      <w:rPr>
        <w:rFonts w:hint="eastAsia"/>
      </w:rPr>
    </w:lvl>
  </w:abstractNum>
  <w:abstractNum w:abstractNumId="1">
    <w:nsid w:val="41DB0358"/>
    <w:multiLevelType w:val="singleLevel"/>
    <w:tmpl w:val="41DB0358"/>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0298C"/>
    <w:rsid w:val="00083695"/>
    <w:rsid w:val="0077587E"/>
    <w:rsid w:val="008B3A79"/>
    <w:rsid w:val="00B61D4C"/>
    <w:rsid w:val="00CB2254"/>
    <w:rsid w:val="00F86CF8"/>
    <w:rsid w:val="01195328"/>
    <w:rsid w:val="01626B61"/>
    <w:rsid w:val="01B879DA"/>
    <w:rsid w:val="01BD49B8"/>
    <w:rsid w:val="01D30055"/>
    <w:rsid w:val="01EA4735"/>
    <w:rsid w:val="02104659"/>
    <w:rsid w:val="022C7BD8"/>
    <w:rsid w:val="02380E15"/>
    <w:rsid w:val="024F5B72"/>
    <w:rsid w:val="029142F0"/>
    <w:rsid w:val="02AD078F"/>
    <w:rsid w:val="02F940CE"/>
    <w:rsid w:val="031B624E"/>
    <w:rsid w:val="0345483B"/>
    <w:rsid w:val="034C3BE3"/>
    <w:rsid w:val="0365643B"/>
    <w:rsid w:val="037D3F8E"/>
    <w:rsid w:val="03865F30"/>
    <w:rsid w:val="03CA1B90"/>
    <w:rsid w:val="03D8318B"/>
    <w:rsid w:val="03E93F3F"/>
    <w:rsid w:val="03EC55F1"/>
    <w:rsid w:val="03F744D7"/>
    <w:rsid w:val="03FC4405"/>
    <w:rsid w:val="042F1C1A"/>
    <w:rsid w:val="0436223C"/>
    <w:rsid w:val="04451868"/>
    <w:rsid w:val="044A44A0"/>
    <w:rsid w:val="045166C9"/>
    <w:rsid w:val="04986979"/>
    <w:rsid w:val="04CC2E3D"/>
    <w:rsid w:val="04D03755"/>
    <w:rsid w:val="04D42B2F"/>
    <w:rsid w:val="04F002B6"/>
    <w:rsid w:val="054B6A7E"/>
    <w:rsid w:val="055E25D3"/>
    <w:rsid w:val="05613E7E"/>
    <w:rsid w:val="05792474"/>
    <w:rsid w:val="05B27CD7"/>
    <w:rsid w:val="05B3533C"/>
    <w:rsid w:val="05DA587B"/>
    <w:rsid w:val="05E0039C"/>
    <w:rsid w:val="06120CDC"/>
    <w:rsid w:val="061E4A43"/>
    <w:rsid w:val="062245B7"/>
    <w:rsid w:val="0635359D"/>
    <w:rsid w:val="06534C05"/>
    <w:rsid w:val="066521A3"/>
    <w:rsid w:val="06743171"/>
    <w:rsid w:val="067610B7"/>
    <w:rsid w:val="06BB1756"/>
    <w:rsid w:val="06C73155"/>
    <w:rsid w:val="06CB41BE"/>
    <w:rsid w:val="06F86133"/>
    <w:rsid w:val="07085B8A"/>
    <w:rsid w:val="071A3F9D"/>
    <w:rsid w:val="071D0F86"/>
    <w:rsid w:val="07405990"/>
    <w:rsid w:val="07B267AA"/>
    <w:rsid w:val="07CB17FF"/>
    <w:rsid w:val="07ED1436"/>
    <w:rsid w:val="07FA3C63"/>
    <w:rsid w:val="080E4F32"/>
    <w:rsid w:val="081E50D9"/>
    <w:rsid w:val="08365310"/>
    <w:rsid w:val="083E4F03"/>
    <w:rsid w:val="084835A8"/>
    <w:rsid w:val="086606D8"/>
    <w:rsid w:val="0892510B"/>
    <w:rsid w:val="089D0C1E"/>
    <w:rsid w:val="08C37B43"/>
    <w:rsid w:val="08E22F9D"/>
    <w:rsid w:val="08EB7F41"/>
    <w:rsid w:val="09090091"/>
    <w:rsid w:val="095A0961"/>
    <w:rsid w:val="09720BA2"/>
    <w:rsid w:val="09BC6946"/>
    <w:rsid w:val="09BD3182"/>
    <w:rsid w:val="09CC6C6E"/>
    <w:rsid w:val="09CF1858"/>
    <w:rsid w:val="09EB5BA5"/>
    <w:rsid w:val="0A1F6D6F"/>
    <w:rsid w:val="0A495A0B"/>
    <w:rsid w:val="0A8506E4"/>
    <w:rsid w:val="0A883EAA"/>
    <w:rsid w:val="0A944892"/>
    <w:rsid w:val="0A9B26B1"/>
    <w:rsid w:val="0AD82904"/>
    <w:rsid w:val="0ADE4790"/>
    <w:rsid w:val="0AEA60B0"/>
    <w:rsid w:val="0AFB7201"/>
    <w:rsid w:val="0B262541"/>
    <w:rsid w:val="0B262C2A"/>
    <w:rsid w:val="0B2828DF"/>
    <w:rsid w:val="0B3669C5"/>
    <w:rsid w:val="0B37306B"/>
    <w:rsid w:val="0B550C82"/>
    <w:rsid w:val="0BCB3066"/>
    <w:rsid w:val="0BF71607"/>
    <w:rsid w:val="0BF77D93"/>
    <w:rsid w:val="0C0957AC"/>
    <w:rsid w:val="0C2328E4"/>
    <w:rsid w:val="0C6C2D8F"/>
    <w:rsid w:val="0CC17CEF"/>
    <w:rsid w:val="0CD27283"/>
    <w:rsid w:val="0CDD4AB3"/>
    <w:rsid w:val="0D8B479F"/>
    <w:rsid w:val="0E244D75"/>
    <w:rsid w:val="0E2D4BC6"/>
    <w:rsid w:val="0E34726A"/>
    <w:rsid w:val="0E4C4D2C"/>
    <w:rsid w:val="0E6A07D7"/>
    <w:rsid w:val="0E9D27F2"/>
    <w:rsid w:val="0F017AEB"/>
    <w:rsid w:val="0F06245F"/>
    <w:rsid w:val="0F1A1296"/>
    <w:rsid w:val="0F1A581E"/>
    <w:rsid w:val="0F8E23D7"/>
    <w:rsid w:val="0F8E2C4D"/>
    <w:rsid w:val="0FCF13C8"/>
    <w:rsid w:val="1012666C"/>
    <w:rsid w:val="10156EE5"/>
    <w:rsid w:val="10563C65"/>
    <w:rsid w:val="10665CD1"/>
    <w:rsid w:val="108B61A5"/>
    <w:rsid w:val="10C37E42"/>
    <w:rsid w:val="10DF3789"/>
    <w:rsid w:val="11336D11"/>
    <w:rsid w:val="11382545"/>
    <w:rsid w:val="11624ABE"/>
    <w:rsid w:val="11957437"/>
    <w:rsid w:val="11A1086F"/>
    <w:rsid w:val="11B300DA"/>
    <w:rsid w:val="121602AA"/>
    <w:rsid w:val="12233EAF"/>
    <w:rsid w:val="122472A5"/>
    <w:rsid w:val="12520B57"/>
    <w:rsid w:val="12610A93"/>
    <w:rsid w:val="12834A32"/>
    <w:rsid w:val="12D26C28"/>
    <w:rsid w:val="12E20CEA"/>
    <w:rsid w:val="12EF1412"/>
    <w:rsid w:val="130E6E3D"/>
    <w:rsid w:val="13191AC2"/>
    <w:rsid w:val="135C1B28"/>
    <w:rsid w:val="13D3010F"/>
    <w:rsid w:val="14037550"/>
    <w:rsid w:val="140571D7"/>
    <w:rsid w:val="14133B23"/>
    <w:rsid w:val="14321C86"/>
    <w:rsid w:val="145C0278"/>
    <w:rsid w:val="145D719F"/>
    <w:rsid w:val="1498723A"/>
    <w:rsid w:val="14D302C8"/>
    <w:rsid w:val="150F41A7"/>
    <w:rsid w:val="151058AA"/>
    <w:rsid w:val="15427663"/>
    <w:rsid w:val="15572ACC"/>
    <w:rsid w:val="155D33AB"/>
    <w:rsid w:val="15780DCB"/>
    <w:rsid w:val="158C1D47"/>
    <w:rsid w:val="159B661A"/>
    <w:rsid w:val="15AB1ED2"/>
    <w:rsid w:val="15D77FE5"/>
    <w:rsid w:val="15EB7C7D"/>
    <w:rsid w:val="16145FF2"/>
    <w:rsid w:val="1617557C"/>
    <w:rsid w:val="161A22AB"/>
    <w:rsid w:val="16400408"/>
    <w:rsid w:val="164D0D7B"/>
    <w:rsid w:val="16575CCE"/>
    <w:rsid w:val="165F7BBB"/>
    <w:rsid w:val="16641C79"/>
    <w:rsid w:val="16874369"/>
    <w:rsid w:val="168A45D4"/>
    <w:rsid w:val="16A14317"/>
    <w:rsid w:val="16B47383"/>
    <w:rsid w:val="16BC09D9"/>
    <w:rsid w:val="16BE701D"/>
    <w:rsid w:val="16D70C74"/>
    <w:rsid w:val="16FC39C2"/>
    <w:rsid w:val="1734117D"/>
    <w:rsid w:val="17346D77"/>
    <w:rsid w:val="17502D9B"/>
    <w:rsid w:val="175E70F2"/>
    <w:rsid w:val="1771442B"/>
    <w:rsid w:val="17941136"/>
    <w:rsid w:val="17DC55B4"/>
    <w:rsid w:val="181B1EC7"/>
    <w:rsid w:val="18210E41"/>
    <w:rsid w:val="1855021E"/>
    <w:rsid w:val="186E6B28"/>
    <w:rsid w:val="189D38D2"/>
    <w:rsid w:val="18CD297D"/>
    <w:rsid w:val="18E817B2"/>
    <w:rsid w:val="19055E8A"/>
    <w:rsid w:val="19463409"/>
    <w:rsid w:val="197F3752"/>
    <w:rsid w:val="1994333E"/>
    <w:rsid w:val="19B65158"/>
    <w:rsid w:val="19D84667"/>
    <w:rsid w:val="1A176D2B"/>
    <w:rsid w:val="1A1F2608"/>
    <w:rsid w:val="1A452ED1"/>
    <w:rsid w:val="1A5450F9"/>
    <w:rsid w:val="1AAD74F0"/>
    <w:rsid w:val="1AB122A1"/>
    <w:rsid w:val="1ABD629C"/>
    <w:rsid w:val="1AE55DD3"/>
    <w:rsid w:val="1AF02188"/>
    <w:rsid w:val="1B015ED0"/>
    <w:rsid w:val="1B165B76"/>
    <w:rsid w:val="1B22573C"/>
    <w:rsid w:val="1B285428"/>
    <w:rsid w:val="1B730C80"/>
    <w:rsid w:val="1B751E0A"/>
    <w:rsid w:val="1B92280F"/>
    <w:rsid w:val="1B9C054E"/>
    <w:rsid w:val="1C05399D"/>
    <w:rsid w:val="1C1563F5"/>
    <w:rsid w:val="1C2F2457"/>
    <w:rsid w:val="1C443EA5"/>
    <w:rsid w:val="1C9C68B5"/>
    <w:rsid w:val="1CCF05E7"/>
    <w:rsid w:val="1CF57A94"/>
    <w:rsid w:val="1D097BC2"/>
    <w:rsid w:val="1D0B7F35"/>
    <w:rsid w:val="1D0C5941"/>
    <w:rsid w:val="1D1B7F2C"/>
    <w:rsid w:val="1D1E2AD0"/>
    <w:rsid w:val="1D560F7C"/>
    <w:rsid w:val="1D6D47CE"/>
    <w:rsid w:val="1D7446FD"/>
    <w:rsid w:val="1D7B734F"/>
    <w:rsid w:val="1D8D6960"/>
    <w:rsid w:val="1DD0449B"/>
    <w:rsid w:val="1DD1200C"/>
    <w:rsid w:val="1E164B42"/>
    <w:rsid w:val="1E17430B"/>
    <w:rsid w:val="1E4826DC"/>
    <w:rsid w:val="1E4C3E58"/>
    <w:rsid w:val="1EB85C42"/>
    <w:rsid w:val="1EF60628"/>
    <w:rsid w:val="1EF865B6"/>
    <w:rsid w:val="1EFA30C9"/>
    <w:rsid w:val="1EFE32FB"/>
    <w:rsid w:val="1F042E60"/>
    <w:rsid w:val="1F757F83"/>
    <w:rsid w:val="1FE25B5E"/>
    <w:rsid w:val="1FEB4A18"/>
    <w:rsid w:val="201277E3"/>
    <w:rsid w:val="201F5280"/>
    <w:rsid w:val="205208BB"/>
    <w:rsid w:val="20D213FB"/>
    <w:rsid w:val="20ED1322"/>
    <w:rsid w:val="20F17A41"/>
    <w:rsid w:val="212036D1"/>
    <w:rsid w:val="21564975"/>
    <w:rsid w:val="217A20AD"/>
    <w:rsid w:val="218A076B"/>
    <w:rsid w:val="21A15EBB"/>
    <w:rsid w:val="21F06F51"/>
    <w:rsid w:val="22136DFC"/>
    <w:rsid w:val="2220362F"/>
    <w:rsid w:val="224108E0"/>
    <w:rsid w:val="22473E97"/>
    <w:rsid w:val="22667C7B"/>
    <w:rsid w:val="22684031"/>
    <w:rsid w:val="22D16D62"/>
    <w:rsid w:val="230E6E18"/>
    <w:rsid w:val="231F294C"/>
    <w:rsid w:val="23605971"/>
    <w:rsid w:val="2372194E"/>
    <w:rsid w:val="23721EC1"/>
    <w:rsid w:val="23A661EE"/>
    <w:rsid w:val="23AE0171"/>
    <w:rsid w:val="23D03046"/>
    <w:rsid w:val="23FB4ADC"/>
    <w:rsid w:val="241254BE"/>
    <w:rsid w:val="242549D0"/>
    <w:rsid w:val="24377CE8"/>
    <w:rsid w:val="24712329"/>
    <w:rsid w:val="24791CAE"/>
    <w:rsid w:val="24A274B2"/>
    <w:rsid w:val="24C82EDB"/>
    <w:rsid w:val="24DE063D"/>
    <w:rsid w:val="24E35F91"/>
    <w:rsid w:val="25372911"/>
    <w:rsid w:val="25725AD7"/>
    <w:rsid w:val="25747DD2"/>
    <w:rsid w:val="257A6248"/>
    <w:rsid w:val="257D50CA"/>
    <w:rsid w:val="25E115D9"/>
    <w:rsid w:val="2608272A"/>
    <w:rsid w:val="2623430C"/>
    <w:rsid w:val="26526546"/>
    <w:rsid w:val="266E38FD"/>
    <w:rsid w:val="2681720D"/>
    <w:rsid w:val="26921730"/>
    <w:rsid w:val="26A5121B"/>
    <w:rsid w:val="26AA1A87"/>
    <w:rsid w:val="26BE4E69"/>
    <w:rsid w:val="26D86CF3"/>
    <w:rsid w:val="26D93817"/>
    <w:rsid w:val="26DB71FD"/>
    <w:rsid w:val="26FD1D86"/>
    <w:rsid w:val="27B256DA"/>
    <w:rsid w:val="27D66EC8"/>
    <w:rsid w:val="27F8412D"/>
    <w:rsid w:val="28102F1E"/>
    <w:rsid w:val="285C358F"/>
    <w:rsid w:val="287C6994"/>
    <w:rsid w:val="28C466BB"/>
    <w:rsid w:val="28F926B4"/>
    <w:rsid w:val="29054945"/>
    <w:rsid w:val="29217F89"/>
    <w:rsid w:val="292D15E4"/>
    <w:rsid w:val="29394511"/>
    <w:rsid w:val="29DD72BE"/>
    <w:rsid w:val="29F74B7C"/>
    <w:rsid w:val="2A350E57"/>
    <w:rsid w:val="2A4319C6"/>
    <w:rsid w:val="2A491A4A"/>
    <w:rsid w:val="2A5F514D"/>
    <w:rsid w:val="2A673D0D"/>
    <w:rsid w:val="2A9C7D8F"/>
    <w:rsid w:val="2ABF2685"/>
    <w:rsid w:val="2ACE4033"/>
    <w:rsid w:val="2AE96258"/>
    <w:rsid w:val="2AFA1F29"/>
    <w:rsid w:val="2AFB3CC4"/>
    <w:rsid w:val="2B260990"/>
    <w:rsid w:val="2B342AC6"/>
    <w:rsid w:val="2B680150"/>
    <w:rsid w:val="2BDF5999"/>
    <w:rsid w:val="2BE4721D"/>
    <w:rsid w:val="2CF64B82"/>
    <w:rsid w:val="2D4D0664"/>
    <w:rsid w:val="2D734168"/>
    <w:rsid w:val="2DC36D5E"/>
    <w:rsid w:val="2DE833D6"/>
    <w:rsid w:val="2E1F1125"/>
    <w:rsid w:val="2E3377E7"/>
    <w:rsid w:val="2E3767A1"/>
    <w:rsid w:val="2E3C76BE"/>
    <w:rsid w:val="2E47410C"/>
    <w:rsid w:val="2E506492"/>
    <w:rsid w:val="2E585EB8"/>
    <w:rsid w:val="2E5C582A"/>
    <w:rsid w:val="2E66355F"/>
    <w:rsid w:val="2E765B09"/>
    <w:rsid w:val="2E831070"/>
    <w:rsid w:val="2E883A7E"/>
    <w:rsid w:val="2E91701B"/>
    <w:rsid w:val="2EAA5E58"/>
    <w:rsid w:val="2EAD6D08"/>
    <w:rsid w:val="2ED826A9"/>
    <w:rsid w:val="2EF62ECE"/>
    <w:rsid w:val="2F112CB6"/>
    <w:rsid w:val="2F2C18C9"/>
    <w:rsid w:val="2F3C5BA8"/>
    <w:rsid w:val="2F4D4D43"/>
    <w:rsid w:val="2F5E44BF"/>
    <w:rsid w:val="2F753721"/>
    <w:rsid w:val="2F797BCE"/>
    <w:rsid w:val="2F7B156D"/>
    <w:rsid w:val="2F7F4043"/>
    <w:rsid w:val="2F8F1ACF"/>
    <w:rsid w:val="2FAC20D9"/>
    <w:rsid w:val="2FE84238"/>
    <w:rsid w:val="2FEB7CA3"/>
    <w:rsid w:val="302A4EF9"/>
    <w:rsid w:val="30330757"/>
    <w:rsid w:val="304301A3"/>
    <w:rsid w:val="304567C1"/>
    <w:rsid w:val="3053272E"/>
    <w:rsid w:val="305659A8"/>
    <w:rsid w:val="306B3837"/>
    <w:rsid w:val="309B3890"/>
    <w:rsid w:val="30BC1FC2"/>
    <w:rsid w:val="30BC5033"/>
    <w:rsid w:val="30E23CAC"/>
    <w:rsid w:val="312C12C2"/>
    <w:rsid w:val="317C236F"/>
    <w:rsid w:val="317D471F"/>
    <w:rsid w:val="31CD755D"/>
    <w:rsid w:val="320B237D"/>
    <w:rsid w:val="322C4B26"/>
    <w:rsid w:val="323D00A4"/>
    <w:rsid w:val="323E390F"/>
    <w:rsid w:val="326551B9"/>
    <w:rsid w:val="32913483"/>
    <w:rsid w:val="32970680"/>
    <w:rsid w:val="32D46693"/>
    <w:rsid w:val="32D62CA5"/>
    <w:rsid w:val="32D659BF"/>
    <w:rsid w:val="32E50FD9"/>
    <w:rsid w:val="32E8366D"/>
    <w:rsid w:val="331136EA"/>
    <w:rsid w:val="33655828"/>
    <w:rsid w:val="336A67BB"/>
    <w:rsid w:val="33AE46A7"/>
    <w:rsid w:val="33BE17EB"/>
    <w:rsid w:val="33EF6AE0"/>
    <w:rsid w:val="33FA76C0"/>
    <w:rsid w:val="343C1F65"/>
    <w:rsid w:val="343D257C"/>
    <w:rsid w:val="345F6FB1"/>
    <w:rsid w:val="34823946"/>
    <w:rsid w:val="34F3649B"/>
    <w:rsid w:val="34F97609"/>
    <w:rsid w:val="34FE7423"/>
    <w:rsid w:val="352758FC"/>
    <w:rsid w:val="352B67FF"/>
    <w:rsid w:val="35616251"/>
    <w:rsid w:val="357B533B"/>
    <w:rsid w:val="35886B38"/>
    <w:rsid w:val="35A77865"/>
    <w:rsid w:val="35BE1A05"/>
    <w:rsid w:val="35D317F3"/>
    <w:rsid w:val="35D70B09"/>
    <w:rsid w:val="35F442AF"/>
    <w:rsid w:val="35F93CE5"/>
    <w:rsid w:val="360C40FB"/>
    <w:rsid w:val="361372D4"/>
    <w:rsid w:val="361F3DF2"/>
    <w:rsid w:val="36217D60"/>
    <w:rsid w:val="36B8083A"/>
    <w:rsid w:val="36DE347A"/>
    <w:rsid w:val="36E13A11"/>
    <w:rsid w:val="3715253E"/>
    <w:rsid w:val="37323A64"/>
    <w:rsid w:val="376F638C"/>
    <w:rsid w:val="37830CD6"/>
    <w:rsid w:val="37874FE7"/>
    <w:rsid w:val="37A11AA6"/>
    <w:rsid w:val="37AC128D"/>
    <w:rsid w:val="37B7293B"/>
    <w:rsid w:val="37DB5EFA"/>
    <w:rsid w:val="37F75178"/>
    <w:rsid w:val="38105188"/>
    <w:rsid w:val="382A02F2"/>
    <w:rsid w:val="383C1D30"/>
    <w:rsid w:val="388541E8"/>
    <w:rsid w:val="38B95AE3"/>
    <w:rsid w:val="38C60602"/>
    <w:rsid w:val="38CA755B"/>
    <w:rsid w:val="38FF0114"/>
    <w:rsid w:val="39280726"/>
    <w:rsid w:val="394B7AAA"/>
    <w:rsid w:val="396310D8"/>
    <w:rsid w:val="396A4810"/>
    <w:rsid w:val="397A0357"/>
    <w:rsid w:val="39B82188"/>
    <w:rsid w:val="39E41E1D"/>
    <w:rsid w:val="39E87D6F"/>
    <w:rsid w:val="3A377A42"/>
    <w:rsid w:val="3A3E5515"/>
    <w:rsid w:val="3A57342D"/>
    <w:rsid w:val="3A5D0435"/>
    <w:rsid w:val="3A5F5355"/>
    <w:rsid w:val="3A677307"/>
    <w:rsid w:val="3AAC188F"/>
    <w:rsid w:val="3AEC5E36"/>
    <w:rsid w:val="3AEE7752"/>
    <w:rsid w:val="3B0E093D"/>
    <w:rsid w:val="3B263803"/>
    <w:rsid w:val="3B2C220F"/>
    <w:rsid w:val="3B7F20CF"/>
    <w:rsid w:val="3BBB52E8"/>
    <w:rsid w:val="3C0B5F31"/>
    <w:rsid w:val="3C261C16"/>
    <w:rsid w:val="3C2D35B6"/>
    <w:rsid w:val="3C465570"/>
    <w:rsid w:val="3C7E1E8A"/>
    <w:rsid w:val="3C87365D"/>
    <w:rsid w:val="3CE61821"/>
    <w:rsid w:val="3D1B591A"/>
    <w:rsid w:val="3D2F2D35"/>
    <w:rsid w:val="3D305DA3"/>
    <w:rsid w:val="3D393CD1"/>
    <w:rsid w:val="3D766A22"/>
    <w:rsid w:val="3D9379E4"/>
    <w:rsid w:val="3D98622B"/>
    <w:rsid w:val="3DBB1838"/>
    <w:rsid w:val="3DEA3457"/>
    <w:rsid w:val="3DFD2252"/>
    <w:rsid w:val="3E0E15C0"/>
    <w:rsid w:val="3E2E28FE"/>
    <w:rsid w:val="3E310C56"/>
    <w:rsid w:val="3E41125F"/>
    <w:rsid w:val="3E447E6E"/>
    <w:rsid w:val="3E651458"/>
    <w:rsid w:val="3E6711F1"/>
    <w:rsid w:val="3E990A34"/>
    <w:rsid w:val="3E9A2F71"/>
    <w:rsid w:val="3EA152B5"/>
    <w:rsid w:val="3EDF50EF"/>
    <w:rsid w:val="3EE515B7"/>
    <w:rsid w:val="3F16661A"/>
    <w:rsid w:val="3F2637C4"/>
    <w:rsid w:val="3F410BB2"/>
    <w:rsid w:val="3F4E4733"/>
    <w:rsid w:val="3F815BE8"/>
    <w:rsid w:val="3F83648B"/>
    <w:rsid w:val="3F9914D1"/>
    <w:rsid w:val="3FA05456"/>
    <w:rsid w:val="3FDF4CE2"/>
    <w:rsid w:val="3FE74E8D"/>
    <w:rsid w:val="402813EB"/>
    <w:rsid w:val="40346BD6"/>
    <w:rsid w:val="404557B0"/>
    <w:rsid w:val="40563BC5"/>
    <w:rsid w:val="407F240E"/>
    <w:rsid w:val="409C4F59"/>
    <w:rsid w:val="40BD2EF0"/>
    <w:rsid w:val="40FD7EC7"/>
    <w:rsid w:val="41167004"/>
    <w:rsid w:val="41230079"/>
    <w:rsid w:val="41285E54"/>
    <w:rsid w:val="41315DD0"/>
    <w:rsid w:val="414F03C3"/>
    <w:rsid w:val="41CC1EAD"/>
    <w:rsid w:val="41D711E1"/>
    <w:rsid w:val="41F00AA5"/>
    <w:rsid w:val="41F45072"/>
    <w:rsid w:val="420817A4"/>
    <w:rsid w:val="42242588"/>
    <w:rsid w:val="422B4849"/>
    <w:rsid w:val="4238679E"/>
    <w:rsid w:val="42395447"/>
    <w:rsid w:val="4240509B"/>
    <w:rsid w:val="42446385"/>
    <w:rsid w:val="425626E2"/>
    <w:rsid w:val="42A92C83"/>
    <w:rsid w:val="42AA6F1B"/>
    <w:rsid w:val="42AF3FD3"/>
    <w:rsid w:val="42C84DB6"/>
    <w:rsid w:val="42C86E1B"/>
    <w:rsid w:val="43410E25"/>
    <w:rsid w:val="434905D4"/>
    <w:rsid w:val="43661CE2"/>
    <w:rsid w:val="438925AD"/>
    <w:rsid w:val="43CF164C"/>
    <w:rsid w:val="440A7863"/>
    <w:rsid w:val="442F21B2"/>
    <w:rsid w:val="444E5AA9"/>
    <w:rsid w:val="44864E0F"/>
    <w:rsid w:val="45183488"/>
    <w:rsid w:val="458629C8"/>
    <w:rsid w:val="45882AEC"/>
    <w:rsid w:val="45D03241"/>
    <w:rsid w:val="45D82429"/>
    <w:rsid w:val="45DC0E7B"/>
    <w:rsid w:val="45FE1FC5"/>
    <w:rsid w:val="460F4225"/>
    <w:rsid w:val="46102E28"/>
    <w:rsid w:val="46165B5F"/>
    <w:rsid w:val="46752EA2"/>
    <w:rsid w:val="468F3B99"/>
    <w:rsid w:val="46D401CE"/>
    <w:rsid w:val="46F82953"/>
    <w:rsid w:val="47236FEF"/>
    <w:rsid w:val="472D676C"/>
    <w:rsid w:val="47566BB1"/>
    <w:rsid w:val="47931AE8"/>
    <w:rsid w:val="47A9270E"/>
    <w:rsid w:val="47FA219C"/>
    <w:rsid w:val="47FB7166"/>
    <w:rsid w:val="48007473"/>
    <w:rsid w:val="481D0943"/>
    <w:rsid w:val="48310E81"/>
    <w:rsid w:val="4848213F"/>
    <w:rsid w:val="484B1F41"/>
    <w:rsid w:val="484D3C23"/>
    <w:rsid w:val="489D1978"/>
    <w:rsid w:val="48FD418B"/>
    <w:rsid w:val="4929176C"/>
    <w:rsid w:val="49295B68"/>
    <w:rsid w:val="493600B7"/>
    <w:rsid w:val="4950750C"/>
    <w:rsid w:val="49545AB9"/>
    <w:rsid w:val="496D3A43"/>
    <w:rsid w:val="49A522CB"/>
    <w:rsid w:val="49C231FD"/>
    <w:rsid w:val="49C61611"/>
    <w:rsid w:val="49D24514"/>
    <w:rsid w:val="49E35949"/>
    <w:rsid w:val="49E93782"/>
    <w:rsid w:val="49F04DD1"/>
    <w:rsid w:val="4A0C70F9"/>
    <w:rsid w:val="4A4F5715"/>
    <w:rsid w:val="4A674010"/>
    <w:rsid w:val="4A6B3E89"/>
    <w:rsid w:val="4A7B268B"/>
    <w:rsid w:val="4A9F2F3C"/>
    <w:rsid w:val="4ACB7DE7"/>
    <w:rsid w:val="4B197575"/>
    <w:rsid w:val="4B2B7FB8"/>
    <w:rsid w:val="4B2D44C2"/>
    <w:rsid w:val="4BB34DFC"/>
    <w:rsid w:val="4BBD2EA3"/>
    <w:rsid w:val="4BDD7FCF"/>
    <w:rsid w:val="4C572920"/>
    <w:rsid w:val="4C65451B"/>
    <w:rsid w:val="4C7954CA"/>
    <w:rsid w:val="4CBC279C"/>
    <w:rsid w:val="4CE916DC"/>
    <w:rsid w:val="4CEB1F57"/>
    <w:rsid w:val="4D332DE5"/>
    <w:rsid w:val="4D5909A7"/>
    <w:rsid w:val="4D5956B4"/>
    <w:rsid w:val="4D637022"/>
    <w:rsid w:val="4D741515"/>
    <w:rsid w:val="4D8974A2"/>
    <w:rsid w:val="4D977021"/>
    <w:rsid w:val="4D9933F9"/>
    <w:rsid w:val="4DA47C12"/>
    <w:rsid w:val="4DCC3419"/>
    <w:rsid w:val="4DCD2E28"/>
    <w:rsid w:val="4DCF24DD"/>
    <w:rsid w:val="4DF06627"/>
    <w:rsid w:val="4E011D72"/>
    <w:rsid w:val="4E33262D"/>
    <w:rsid w:val="4E4170FA"/>
    <w:rsid w:val="4E7C7B72"/>
    <w:rsid w:val="4E827DA9"/>
    <w:rsid w:val="4EAA70AE"/>
    <w:rsid w:val="4EE8070B"/>
    <w:rsid w:val="4EE83B91"/>
    <w:rsid w:val="4F012885"/>
    <w:rsid w:val="4F094113"/>
    <w:rsid w:val="4F1F4A25"/>
    <w:rsid w:val="4F2B7E08"/>
    <w:rsid w:val="4F451A04"/>
    <w:rsid w:val="4F506DAD"/>
    <w:rsid w:val="4F554439"/>
    <w:rsid w:val="4F630602"/>
    <w:rsid w:val="4F7A05F6"/>
    <w:rsid w:val="4F7A5DAB"/>
    <w:rsid w:val="4FEB2441"/>
    <w:rsid w:val="4FF52C3B"/>
    <w:rsid w:val="4FFD6E64"/>
    <w:rsid w:val="502C384D"/>
    <w:rsid w:val="504845F5"/>
    <w:rsid w:val="505A37E3"/>
    <w:rsid w:val="505B1F5E"/>
    <w:rsid w:val="50840608"/>
    <w:rsid w:val="508F5B2F"/>
    <w:rsid w:val="509649EB"/>
    <w:rsid w:val="509D1D52"/>
    <w:rsid w:val="50A97E3A"/>
    <w:rsid w:val="50D00C95"/>
    <w:rsid w:val="515A5B04"/>
    <w:rsid w:val="5162537D"/>
    <w:rsid w:val="518A5BF0"/>
    <w:rsid w:val="523D6448"/>
    <w:rsid w:val="5254766B"/>
    <w:rsid w:val="52C60EDA"/>
    <w:rsid w:val="52DB2C8C"/>
    <w:rsid w:val="52F937F1"/>
    <w:rsid w:val="53407E8C"/>
    <w:rsid w:val="53445144"/>
    <w:rsid w:val="534B0CA2"/>
    <w:rsid w:val="53736DB9"/>
    <w:rsid w:val="53896822"/>
    <w:rsid w:val="538A2768"/>
    <w:rsid w:val="53A73346"/>
    <w:rsid w:val="53DD6AD9"/>
    <w:rsid w:val="543B6246"/>
    <w:rsid w:val="544B1E97"/>
    <w:rsid w:val="544C26C6"/>
    <w:rsid w:val="5476544B"/>
    <w:rsid w:val="54836227"/>
    <w:rsid w:val="548C249C"/>
    <w:rsid w:val="54B52AE9"/>
    <w:rsid w:val="54B54705"/>
    <w:rsid w:val="54BB1F8E"/>
    <w:rsid w:val="54C94083"/>
    <w:rsid w:val="54CD275D"/>
    <w:rsid w:val="54DC3CB3"/>
    <w:rsid w:val="54E06E39"/>
    <w:rsid w:val="54E12D05"/>
    <w:rsid w:val="55544DD8"/>
    <w:rsid w:val="55CD4D9B"/>
    <w:rsid w:val="55DB1C75"/>
    <w:rsid w:val="55E71947"/>
    <w:rsid w:val="56257A13"/>
    <w:rsid w:val="56511C91"/>
    <w:rsid w:val="56690540"/>
    <w:rsid w:val="566963F3"/>
    <w:rsid w:val="567E56CC"/>
    <w:rsid w:val="568C3F6E"/>
    <w:rsid w:val="56C00D1E"/>
    <w:rsid w:val="56D65DC0"/>
    <w:rsid w:val="56EC7FA8"/>
    <w:rsid w:val="57023020"/>
    <w:rsid w:val="57310023"/>
    <w:rsid w:val="573E5DAD"/>
    <w:rsid w:val="575C3AAC"/>
    <w:rsid w:val="57753207"/>
    <w:rsid w:val="579B1CC0"/>
    <w:rsid w:val="57B26A13"/>
    <w:rsid w:val="57B75944"/>
    <w:rsid w:val="57D34FED"/>
    <w:rsid w:val="58496231"/>
    <w:rsid w:val="585513F0"/>
    <w:rsid w:val="5860148A"/>
    <w:rsid w:val="58693A26"/>
    <w:rsid w:val="586D6D3A"/>
    <w:rsid w:val="58786A16"/>
    <w:rsid w:val="58AD7BB8"/>
    <w:rsid w:val="58F67AD0"/>
    <w:rsid w:val="58FC1C3E"/>
    <w:rsid w:val="591F221A"/>
    <w:rsid w:val="59304629"/>
    <w:rsid w:val="594354E5"/>
    <w:rsid w:val="594D3E9F"/>
    <w:rsid w:val="59574F34"/>
    <w:rsid w:val="59600AB2"/>
    <w:rsid w:val="5974225D"/>
    <w:rsid w:val="599B36C2"/>
    <w:rsid w:val="59A216D0"/>
    <w:rsid w:val="59AA0B9C"/>
    <w:rsid w:val="59AD021D"/>
    <w:rsid w:val="59CC55EE"/>
    <w:rsid w:val="59F54029"/>
    <w:rsid w:val="5A797840"/>
    <w:rsid w:val="5A8E7E56"/>
    <w:rsid w:val="5AB95AC5"/>
    <w:rsid w:val="5AD07E71"/>
    <w:rsid w:val="5B8F0A36"/>
    <w:rsid w:val="5BE5103E"/>
    <w:rsid w:val="5BFA2262"/>
    <w:rsid w:val="5C717EEC"/>
    <w:rsid w:val="5D0F2502"/>
    <w:rsid w:val="5D1E314E"/>
    <w:rsid w:val="5D6569EA"/>
    <w:rsid w:val="5D661F55"/>
    <w:rsid w:val="5D941B8A"/>
    <w:rsid w:val="5E126083"/>
    <w:rsid w:val="5E237B1B"/>
    <w:rsid w:val="5E96404D"/>
    <w:rsid w:val="5EA31ADE"/>
    <w:rsid w:val="5EA603D4"/>
    <w:rsid w:val="5ED229A2"/>
    <w:rsid w:val="5EEB565E"/>
    <w:rsid w:val="5EEE6FC9"/>
    <w:rsid w:val="5EFB5884"/>
    <w:rsid w:val="5F94245B"/>
    <w:rsid w:val="5FB04D19"/>
    <w:rsid w:val="5FF15584"/>
    <w:rsid w:val="600300E6"/>
    <w:rsid w:val="601C6818"/>
    <w:rsid w:val="607E49CB"/>
    <w:rsid w:val="60E15135"/>
    <w:rsid w:val="6121738D"/>
    <w:rsid w:val="618261B1"/>
    <w:rsid w:val="619874C0"/>
    <w:rsid w:val="61CF729D"/>
    <w:rsid w:val="61F81F22"/>
    <w:rsid w:val="62415EA9"/>
    <w:rsid w:val="626B2375"/>
    <w:rsid w:val="62773F1B"/>
    <w:rsid w:val="627C7891"/>
    <w:rsid w:val="62E90ECD"/>
    <w:rsid w:val="62FD6F3D"/>
    <w:rsid w:val="63205EB7"/>
    <w:rsid w:val="632410C8"/>
    <w:rsid w:val="633859C5"/>
    <w:rsid w:val="633B029E"/>
    <w:rsid w:val="63543B1E"/>
    <w:rsid w:val="63704014"/>
    <w:rsid w:val="63763F39"/>
    <w:rsid w:val="63AF6E06"/>
    <w:rsid w:val="63D8660A"/>
    <w:rsid w:val="63E43CF3"/>
    <w:rsid w:val="640161E0"/>
    <w:rsid w:val="642D0E8A"/>
    <w:rsid w:val="64657D65"/>
    <w:rsid w:val="647A3652"/>
    <w:rsid w:val="648750F3"/>
    <w:rsid w:val="64EB1624"/>
    <w:rsid w:val="64F01247"/>
    <w:rsid w:val="651039B4"/>
    <w:rsid w:val="651A1FA4"/>
    <w:rsid w:val="651F0E2E"/>
    <w:rsid w:val="652324FD"/>
    <w:rsid w:val="65782C76"/>
    <w:rsid w:val="65AE5BEF"/>
    <w:rsid w:val="65C145A5"/>
    <w:rsid w:val="65DE53A1"/>
    <w:rsid w:val="65FA755D"/>
    <w:rsid w:val="661B21B3"/>
    <w:rsid w:val="66322DCB"/>
    <w:rsid w:val="6658089E"/>
    <w:rsid w:val="66721006"/>
    <w:rsid w:val="667E1284"/>
    <w:rsid w:val="66802F4B"/>
    <w:rsid w:val="66AC62EC"/>
    <w:rsid w:val="66C27812"/>
    <w:rsid w:val="66D77DAF"/>
    <w:rsid w:val="66D83375"/>
    <w:rsid w:val="66F27AA2"/>
    <w:rsid w:val="66F64A47"/>
    <w:rsid w:val="67157D90"/>
    <w:rsid w:val="671D5F6F"/>
    <w:rsid w:val="67235DC1"/>
    <w:rsid w:val="676529C6"/>
    <w:rsid w:val="67732599"/>
    <w:rsid w:val="67A15C19"/>
    <w:rsid w:val="67D00C1C"/>
    <w:rsid w:val="67D908F1"/>
    <w:rsid w:val="68021CD6"/>
    <w:rsid w:val="68051630"/>
    <w:rsid w:val="680560E1"/>
    <w:rsid w:val="68130BE0"/>
    <w:rsid w:val="68457DF6"/>
    <w:rsid w:val="685C2EA1"/>
    <w:rsid w:val="687A0DD6"/>
    <w:rsid w:val="68856B99"/>
    <w:rsid w:val="688A4049"/>
    <w:rsid w:val="688B30AD"/>
    <w:rsid w:val="6893345D"/>
    <w:rsid w:val="68BA16A4"/>
    <w:rsid w:val="68C93F0B"/>
    <w:rsid w:val="69181460"/>
    <w:rsid w:val="69582243"/>
    <w:rsid w:val="69D63A79"/>
    <w:rsid w:val="69F23C17"/>
    <w:rsid w:val="6A0520EC"/>
    <w:rsid w:val="6A712352"/>
    <w:rsid w:val="6A890ECF"/>
    <w:rsid w:val="6AEF311F"/>
    <w:rsid w:val="6B371B3B"/>
    <w:rsid w:val="6B4C6ABD"/>
    <w:rsid w:val="6B50070F"/>
    <w:rsid w:val="6B7452B1"/>
    <w:rsid w:val="6B951E2D"/>
    <w:rsid w:val="6BAF0094"/>
    <w:rsid w:val="6BF960D6"/>
    <w:rsid w:val="6BFB7681"/>
    <w:rsid w:val="6C061226"/>
    <w:rsid w:val="6C113C9C"/>
    <w:rsid w:val="6C260132"/>
    <w:rsid w:val="6C382F80"/>
    <w:rsid w:val="6C3B65B6"/>
    <w:rsid w:val="6C3C6A60"/>
    <w:rsid w:val="6C464AAD"/>
    <w:rsid w:val="6C517E3C"/>
    <w:rsid w:val="6C5F0569"/>
    <w:rsid w:val="6C6418C5"/>
    <w:rsid w:val="6C7A2DED"/>
    <w:rsid w:val="6CB539B5"/>
    <w:rsid w:val="6CE4379A"/>
    <w:rsid w:val="6CEF2F9C"/>
    <w:rsid w:val="6CF125F4"/>
    <w:rsid w:val="6CF7663E"/>
    <w:rsid w:val="6D176354"/>
    <w:rsid w:val="6D2C44AB"/>
    <w:rsid w:val="6D4B16DA"/>
    <w:rsid w:val="6D847382"/>
    <w:rsid w:val="6DB32114"/>
    <w:rsid w:val="6DBD3958"/>
    <w:rsid w:val="6DE773ED"/>
    <w:rsid w:val="6DF65416"/>
    <w:rsid w:val="6E6556E8"/>
    <w:rsid w:val="6E670682"/>
    <w:rsid w:val="6E6E28BC"/>
    <w:rsid w:val="6E9E409C"/>
    <w:rsid w:val="6ED10E05"/>
    <w:rsid w:val="6EDC4C32"/>
    <w:rsid w:val="6F391A4B"/>
    <w:rsid w:val="6F832599"/>
    <w:rsid w:val="6F850D32"/>
    <w:rsid w:val="6FA51C1A"/>
    <w:rsid w:val="6FA633CE"/>
    <w:rsid w:val="6FC8382D"/>
    <w:rsid w:val="6FCC151C"/>
    <w:rsid w:val="6FDF41DF"/>
    <w:rsid w:val="6FE6396B"/>
    <w:rsid w:val="70261E0B"/>
    <w:rsid w:val="708A70D3"/>
    <w:rsid w:val="70A52A52"/>
    <w:rsid w:val="70BB496C"/>
    <w:rsid w:val="711749DF"/>
    <w:rsid w:val="711B7B48"/>
    <w:rsid w:val="71315BAB"/>
    <w:rsid w:val="71341E4B"/>
    <w:rsid w:val="715F3216"/>
    <w:rsid w:val="71AF3C8A"/>
    <w:rsid w:val="71C71AD2"/>
    <w:rsid w:val="71DD26B6"/>
    <w:rsid w:val="722B67EC"/>
    <w:rsid w:val="722C4B40"/>
    <w:rsid w:val="7259392D"/>
    <w:rsid w:val="72743722"/>
    <w:rsid w:val="72772E6E"/>
    <w:rsid w:val="72B73206"/>
    <w:rsid w:val="72B90800"/>
    <w:rsid w:val="72BE6BC2"/>
    <w:rsid w:val="72E23FC0"/>
    <w:rsid w:val="72E500EF"/>
    <w:rsid w:val="73204F8E"/>
    <w:rsid w:val="733113A6"/>
    <w:rsid w:val="73AE523B"/>
    <w:rsid w:val="73B9124E"/>
    <w:rsid w:val="73D82969"/>
    <w:rsid w:val="741A6E02"/>
    <w:rsid w:val="745268CE"/>
    <w:rsid w:val="747844C9"/>
    <w:rsid w:val="74893C9D"/>
    <w:rsid w:val="748C4007"/>
    <w:rsid w:val="74B424CB"/>
    <w:rsid w:val="74ED3C90"/>
    <w:rsid w:val="752F7539"/>
    <w:rsid w:val="7537643D"/>
    <w:rsid w:val="758135D3"/>
    <w:rsid w:val="75A52782"/>
    <w:rsid w:val="75C30C5F"/>
    <w:rsid w:val="75C95E31"/>
    <w:rsid w:val="75DA1BE0"/>
    <w:rsid w:val="75DA5FED"/>
    <w:rsid w:val="760408E4"/>
    <w:rsid w:val="76147855"/>
    <w:rsid w:val="762B2812"/>
    <w:rsid w:val="766243BD"/>
    <w:rsid w:val="766801AB"/>
    <w:rsid w:val="767B6CBD"/>
    <w:rsid w:val="76806392"/>
    <w:rsid w:val="76864E28"/>
    <w:rsid w:val="770248C7"/>
    <w:rsid w:val="77241FE8"/>
    <w:rsid w:val="773850A0"/>
    <w:rsid w:val="77843E57"/>
    <w:rsid w:val="77977253"/>
    <w:rsid w:val="77A86902"/>
    <w:rsid w:val="77B434A8"/>
    <w:rsid w:val="77BF4D00"/>
    <w:rsid w:val="77CA49F9"/>
    <w:rsid w:val="77DE3929"/>
    <w:rsid w:val="77EB2F19"/>
    <w:rsid w:val="77F31FDF"/>
    <w:rsid w:val="780E6DD3"/>
    <w:rsid w:val="78143009"/>
    <w:rsid w:val="78162CFB"/>
    <w:rsid w:val="785D6852"/>
    <w:rsid w:val="78893C75"/>
    <w:rsid w:val="78FC132F"/>
    <w:rsid w:val="79245F6F"/>
    <w:rsid w:val="79450733"/>
    <w:rsid w:val="794C3DEA"/>
    <w:rsid w:val="79A57138"/>
    <w:rsid w:val="79BA3698"/>
    <w:rsid w:val="79D134C8"/>
    <w:rsid w:val="7A10352D"/>
    <w:rsid w:val="7A1A769D"/>
    <w:rsid w:val="7B0D6630"/>
    <w:rsid w:val="7B1C0296"/>
    <w:rsid w:val="7B25690A"/>
    <w:rsid w:val="7B923992"/>
    <w:rsid w:val="7BB9026F"/>
    <w:rsid w:val="7BCB11EB"/>
    <w:rsid w:val="7C1019FB"/>
    <w:rsid w:val="7C2457FA"/>
    <w:rsid w:val="7C3F1B5F"/>
    <w:rsid w:val="7C434DF1"/>
    <w:rsid w:val="7C4F0164"/>
    <w:rsid w:val="7C6303A9"/>
    <w:rsid w:val="7C9776EF"/>
    <w:rsid w:val="7CB04660"/>
    <w:rsid w:val="7CEF00F9"/>
    <w:rsid w:val="7D50298C"/>
    <w:rsid w:val="7D7D1309"/>
    <w:rsid w:val="7D8B565E"/>
    <w:rsid w:val="7DC25752"/>
    <w:rsid w:val="7DCF2014"/>
    <w:rsid w:val="7DD06C0B"/>
    <w:rsid w:val="7DE9777B"/>
    <w:rsid w:val="7E1B73B4"/>
    <w:rsid w:val="7E3C4C40"/>
    <w:rsid w:val="7E6A4E43"/>
    <w:rsid w:val="7E8F4D80"/>
    <w:rsid w:val="7E96658F"/>
    <w:rsid w:val="7EAE4F6D"/>
    <w:rsid w:val="7EBD3B0B"/>
    <w:rsid w:val="7EE1376A"/>
    <w:rsid w:val="7F0175AB"/>
    <w:rsid w:val="7F2856E6"/>
    <w:rsid w:val="7F361612"/>
    <w:rsid w:val="7F375925"/>
    <w:rsid w:val="7F4F7630"/>
    <w:rsid w:val="7F972E71"/>
    <w:rsid w:val="7FC31173"/>
    <w:rsid w:val="7FD91508"/>
    <w:rsid w:val="7FFC2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96</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2024-01-30T03:19:00Z</dcterms:created>
  <dc:creator>刘雪瑶</dc:creator>
  <cp:lastModifiedBy>刘雪瑶</cp:lastModifiedBy>
  <dcterms:modified xsi:type="dcterms:W3CDTF">2024-02-01T07:00:45Z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