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展览路街道</w:t>
      </w:r>
      <w:r>
        <w:rPr>
          <w:rFonts w:hint="eastAsia" w:ascii="方正小标宋简体" w:hAnsi="方正小标宋简体" w:eastAsia="方正小标宋简体" w:cs="方正小标宋简体"/>
          <w:sz w:val="36"/>
          <w:szCs w:val="36"/>
          <w:lang w:eastAsia="zh-CN"/>
        </w:rPr>
        <w:t>2024</w:t>
      </w:r>
      <w:r>
        <w:rPr>
          <w:rFonts w:hint="eastAsia" w:ascii="方正小标宋简体" w:hAnsi="方正小标宋简体" w:eastAsia="方正小标宋简体" w:cs="方正小标宋简体"/>
          <w:sz w:val="36"/>
          <w:szCs w:val="36"/>
        </w:rPr>
        <w:t>年部门预算情况说明</w:t>
      </w:r>
    </w:p>
    <w:p>
      <w:pPr>
        <w:ind w:firstLine="1767" w:firstLineChars="400"/>
        <w:rPr>
          <w:rFonts w:ascii="仿宋_GB2312" w:eastAsia="仿宋_GB2312"/>
          <w:b/>
          <w:bCs/>
          <w:sz w:val="44"/>
          <w:szCs w:val="44"/>
        </w:rPr>
      </w:pPr>
    </w:p>
    <w:p>
      <w:pPr>
        <w:spacing w:line="560" w:lineRule="exact"/>
        <w:ind w:firstLine="640" w:firstLineChars="200"/>
        <w:outlineLvl w:val="0"/>
        <w:rPr>
          <w:rFonts w:ascii="黑体" w:hAnsi="黑体" w:eastAsia="黑体"/>
          <w:sz w:val="32"/>
          <w:szCs w:val="32"/>
        </w:rPr>
      </w:pPr>
      <w:r>
        <w:rPr>
          <w:rFonts w:hint="eastAsia" w:ascii="黑体" w:hAnsi="黑体" w:eastAsia="黑体" w:cs="黑体"/>
          <w:sz w:val="32"/>
          <w:szCs w:val="32"/>
        </w:rPr>
        <w:t>一、部门主要职责及机构设置情况</w:t>
      </w:r>
    </w:p>
    <w:p>
      <w:pPr>
        <w:spacing w:line="560" w:lineRule="exact"/>
        <w:ind w:firstLine="555"/>
        <w:rPr>
          <w:rFonts w:ascii="楷体_GB2312" w:eastAsia="楷体_GB2312"/>
          <w:b/>
          <w:bCs/>
          <w:sz w:val="32"/>
          <w:szCs w:val="32"/>
        </w:rPr>
      </w:pPr>
      <w:r>
        <w:rPr>
          <w:rFonts w:hint="eastAsia" w:ascii="楷体_GB2312" w:hAnsi="宋体" w:eastAsia="楷体_GB2312" w:cs="宋体"/>
          <w:b/>
          <w:bCs/>
          <w:sz w:val="32"/>
          <w:szCs w:val="32"/>
        </w:rPr>
        <w:t>（一）部门机构设置、职责</w:t>
      </w:r>
    </w:p>
    <w:p>
      <w:pPr>
        <w:spacing w:line="560" w:lineRule="exact"/>
        <w:ind w:firstLine="951" w:firstLineChars="296"/>
        <w:outlineLvl w:val="0"/>
        <w:rPr>
          <w:rFonts w:ascii="仿宋_GB2312" w:hAnsi="宋体" w:eastAsia="仿宋_GB2312" w:cs="宋体"/>
          <w:b/>
          <w:bCs/>
          <w:sz w:val="32"/>
          <w:szCs w:val="32"/>
        </w:rPr>
      </w:pPr>
      <w:r>
        <w:rPr>
          <w:rFonts w:hint="eastAsia" w:ascii="仿宋_GB2312" w:hAnsi="宋体" w:eastAsia="仿宋_GB2312" w:cs="宋体"/>
          <w:b/>
          <w:bCs/>
          <w:sz w:val="32"/>
          <w:szCs w:val="32"/>
        </w:rPr>
        <w:t>1、街道内设机构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（1）纪律检查工作委员会</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（2）综合办公室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（3）党群工作办公室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（4）平安建设办公室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（5）城市管理办公室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（6）社区建设办公室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（7）民生保障办公室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（8）地区协调服务办公室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（9）党群服务中心</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（10）市民服务中心</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（11）全响应街区治理中心</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（12）西直门地区综合服务中心</w:t>
      </w:r>
    </w:p>
    <w:p>
      <w:pPr>
        <w:spacing w:line="560" w:lineRule="exact"/>
        <w:ind w:firstLine="803" w:firstLineChars="250"/>
        <w:outlineLvl w:val="0"/>
        <w:rPr>
          <w:rFonts w:ascii="仿宋_GB2312" w:eastAsia="仿宋_GB2312"/>
          <w:b/>
          <w:bCs/>
          <w:sz w:val="32"/>
          <w:szCs w:val="32"/>
        </w:rPr>
      </w:pPr>
      <w:r>
        <w:rPr>
          <w:rFonts w:hint="eastAsia" w:ascii="仿宋_GB2312" w:hAnsi="宋体" w:eastAsia="仿宋_GB2312" w:cs="宋体"/>
          <w:b/>
          <w:bCs/>
          <w:sz w:val="32"/>
          <w:szCs w:val="32"/>
        </w:rPr>
        <w:t>2、街道工委主要职责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（1）宣传和执行党的路线、方针、政策，宣传和执行党中央、市委、区委的决议，及时向区委报告辖区有关情况、反映问题、提出意见建议。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（2）讨论并决定辖区重大问题，统筹推进平安建设、城市管理、社区建设、民生保障等工作，统筹、协调辖区单位和组织，团结、组织党内外干部和群众，抓好决策部署的组织实施和督促落实。</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（3）履行全面从严治党主体责任，全面推进辖区党的政治建设、思想建设、组织建设、作风建设、纪律建设，把制度建设贯穿其中，组织协调反腐败工作。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（4）落实基层党建工作责任制，加强街道党工委自身建设和基层党组织建设，统筹推进区域化党建和“两新”组织党建、社区党建工作。对党员进行教育、管理、监督和服务，做好经常性的发展党员工作。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（5）按照管理权限，对街道机关及所属单位干部进行教育、培训、任免、考核和监督，对市、区政府职能部门派出机构相关工作人员的任免、调动、奖惩提出意见，对社区工作者队伍进行教育、管理。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（6）负责思想政治、意识形态、精神文明、统一战线工作，领导街道纪工委、人大工委、总工会、团工委、妇联、残联等组织，支持和保证其依照党内法规、法律、法规、规章、各自的章程开展工作。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（7）组织维护辖区安全稳定，协调推动社会治安综合治理，承担民兵预备役、征兵、民防工作。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（8）承办区委交办的其他事项。</w:t>
      </w:r>
    </w:p>
    <w:p>
      <w:pPr>
        <w:spacing w:line="560" w:lineRule="exact"/>
        <w:ind w:firstLine="803" w:firstLineChars="250"/>
        <w:rPr>
          <w:rFonts w:ascii="仿宋_GB2312" w:eastAsia="仿宋_GB2312"/>
          <w:b/>
          <w:bCs/>
          <w:sz w:val="32"/>
          <w:szCs w:val="32"/>
        </w:rPr>
      </w:pPr>
      <w:r>
        <w:rPr>
          <w:rFonts w:hint="eastAsia" w:ascii="仿宋_GB2312" w:hAnsi="宋体" w:eastAsia="仿宋_GB2312" w:cs="宋体"/>
          <w:b/>
          <w:bCs/>
          <w:sz w:val="32"/>
          <w:szCs w:val="32"/>
        </w:rPr>
        <w:t>3、街道办事处主要职责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（1）贯彻执行法律、法规、规章和市、区政府的决策部署，依法管理基层公共事务。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（2）承担辖区市容环境卫生、绿化美化的管理工作，推进街巷长、河长制工作，组织、协调城市管理综合执法和环境秩序综合治理工作，推进城市精细化管理。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（3）协助依法履行安全生产、消防安全、食品安全、环境保护、劳动保障、流动人口及出租房屋监督管理工作，承担辖区应急、防汛和防灾减灾工作。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（4）参与制定并组织实施社区建设规划和公共服务设施规划，组织辖区单位、居民和志愿者队伍为社区发展服务。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（5）负责社区居民委员会建设，指导社区居民委员会工作，培育、发展社区社会组织，指导、监督社区业主委员会。</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（6）推进居民自治，动员社会力量参与社区治理，推动形成社区共治合力。向上级政府反映社情民意。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（7）组织开展群众性文化、体育、科普活动，开展法治宣传和社会公德教育，推动社区公益事业发展。</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（8）组织开展公共服务，落实人力社保、民政、卫生健康、教育、住房保障、便民服务等政策，维护老年人、妇女、未成年人、残疾人等合法权益。</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（9）负责联系、服务辖区单位，营造良好的营商环境。</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（10）承办区政府交办的其他事项。</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4、纪律检查工作委员会（监察组）职责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街道纪律检查工作委员会是区纪律检查委员会的派出机构，监察组是区监察委员会的派出机构，与纪律检查工作委员会合署办公。</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5、安全生产工作职责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（1）落实安全生产属地管理责任，贯彻执行安全生产法律、法规、规章，建立健全安全生产“党政同责、一岗双责”的安全生产责任体系及辖区安全管理制度。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（2）推进辖区安全生产预防控制体系、隐患排查治理体系建设，协助有关部门开展辖区安全风险评估、城市安全隐患治理和企业隐患排查治理工作。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（3）对安全生产事故隐患或安全生产违法行为责令排除或改正，及时向安全生产监督管理部门和政府其他有关部门报告。</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（4）建立完善辖区生产经营单位台账。监督、检查生产经营单位落实安全生产主体责任。</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（5）加强和推进专职安全员队伍建设及日常管理工作。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（6）组织开展安全生产宣传教育以及安全社区建设工作。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（7）对以本街道工委、办事处名义承办的各类重大活动的安全工作承担主体责任。</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（8）对本机关及所属单位的安全工作承担领导责任。</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6、环境保护工作职责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落实生态环境保护属地责任，严格实行“党政同责、一岗双责”。动员和组织社会力量积极参与并认真做好污染源普查工作，对重点领域污染源实施台账管理。配合区环境保护主管部门开展辖区污染源的监督和巡查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（2）负责辖区大气污染防治精细化管理推进工作。配合做好日常禁煤、控车减油、治污减排、清洁降尘等大气污染防治相关任务和政策措施。</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（3）开展辖区有关水污染防治工作，督促供水单位定期监测、检测和评估辖区饮用水安全状况。落实河长制工作，配合有关部门开展河湖生态环境治理与保护工作。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（4）配合做好辖区土壤污染防治工作，发现在污染地块、疑似污染地块实施开发建设活动的，及时通报区环境保护主管部门调查处理。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协助开展确定重点监管对象、划分监管等级、健全监管档案、采取差别化监管措施等环境监管工作。根据分工组织落实辖区的网格化环境监管责任。配合区环境保护主管部门开展环境保护监察执法。参与突发环境事件的应急准备、应急处置和事后恢复等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（6）组织开展环境保护宣传工作，普及环境保护法律法规和科学知识。</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7、展览路街道党群服务中心主要职责：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承担辖区基层党组织和群团组织日常事务性工作；协助推进城市基层党建工作；组织开展各类共建活动，加强党建带统战、群团组织建设；承担党建信息化建设具体工作，负责党内信息管理系统、党员E先锋等信息平台日常管理和系统维护；联系、服务、凝聚、引领辖区单位、“两新”组织、党员干部、居民群众及区域各类组织参与地区各项建设。</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8、展览路街道市民服务中心主要职责：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承接政府部门为社区群众和单位提供的各类政务服务、劳动和社会保障及居家养老服务；负责失业、退休、工伤人员的管理与服务；协助落实优抚、低保、保障性住房、社会救助等工作；推进互联网+政务服务；综合管理办事大厅各项事务；协调有关社会服务组织、承担政府委托的社会事务等方面的管理和服务项目；负责辖区内社区服务管理人员、从业人员和社区志愿者的管理和培训工作；组织社区开展各类文体活动。</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9、展览路街道全响应街区治理中心主要职责：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负责街道数据分中心的运维和管理，监督辖区城市运行管理；负责辖区各类问题的发现、收集、分派等工作；综合苏丽、分析研判辖区各类事件数据；推进街道、社区各信息系统、基础数据等方面的深度融合，为街道决策提供数据基础；承担街道中心信息化建设项目具体工作；承担辖区综合执法相关的文稿、会务、档案等保障工作。</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10、展览路街道西直门地区综合服务中心主要职责：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负责西直门地区公建维护、市政维修、绿化养护、街景照明、道路保洁等工作的巡查，协助、监督职能部门及专业队伍开展相关工作；负责西直门地区监控系统的运行值守，及时掌握区域内各种社会动态，发现问题及时协调处理，并向区街领导和各有关部门通报；负责各作业面人员的组织或招募、培训以及核定工作任务、作业标准；在西直门地区组织各类公益性社会活动，及时了解和掌握该地区公共服务需求并积极组织实施；负责承办上级部门交办的其他各项工作。</w:t>
      </w:r>
    </w:p>
    <w:p>
      <w:pPr>
        <w:spacing w:line="560" w:lineRule="exact"/>
        <w:rPr>
          <w:rFonts w:ascii="楷体_GB2312" w:hAnsi="宋体" w:eastAsia="楷体_GB2312" w:cs="宋体"/>
          <w:b/>
          <w:bCs/>
          <w:sz w:val="32"/>
          <w:szCs w:val="32"/>
        </w:rPr>
      </w:pPr>
      <w:r>
        <w:rPr>
          <w:rFonts w:hint="eastAsia" w:ascii="仿宋_GB2312" w:eastAsia="仿宋_GB2312" w:cs="楷体_GB2312"/>
          <w:b/>
          <w:bCs/>
          <w:sz w:val="32"/>
          <w:szCs w:val="32"/>
        </w:rPr>
        <w:t xml:space="preserve">   </w:t>
      </w:r>
      <w:r>
        <w:rPr>
          <w:rFonts w:hint="eastAsia" w:ascii="楷体_GB2312" w:hAnsi="宋体" w:eastAsia="楷体_GB2312" w:cs="宋体"/>
          <w:b/>
          <w:bCs/>
          <w:sz w:val="32"/>
          <w:szCs w:val="32"/>
        </w:rPr>
        <w:t>（二）人员构成情况</w:t>
      </w:r>
    </w:p>
    <w:p>
      <w:pPr>
        <w:spacing w:line="560" w:lineRule="exact"/>
        <w:ind w:firstLine="555"/>
        <w:rPr>
          <w:rFonts w:ascii="仿宋_GB2312" w:eastAsia="仿宋_GB2312"/>
          <w:sz w:val="32"/>
          <w:szCs w:val="32"/>
        </w:rPr>
      </w:pPr>
      <w:r>
        <w:rPr>
          <w:rFonts w:hint="eastAsia" w:ascii="仿宋_GB2312" w:hAnsi="宋体" w:eastAsia="仿宋_GB2312" w:cs="宋体"/>
          <w:sz w:val="32"/>
          <w:szCs w:val="32"/>
        </w:rPr>
        <w:t>北京市西城区人民政府展览路街道办事处行政编制15</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人；事业编制</w:t>
      </w:r>
      <w:r>
        <w:rPr>
          <w:rFonts w:hint="eastAsia" w:ascii="仿宋_GB2312" w:hAnsi="宋体" w:eastAsia="仿宋_GB2312" w:cs="宋体"/>
          <w:sz w:val="32"/>
          <w:szCs w:val="32"/>
          <w:lang w:val="en-US" w:eastAsia="zh-CN"/>
        </w:rPr>
        <w:t>104</w:t>
      </w:r>
      <w:r>
        <w:rPr>
          <w:rFonts w:hint="eastAsia" w:ascii="仿宋_GB2312" w:hAnsi="宋体" w:eastAsia="仿宋_GB2312" w:cs="宋体"/>
          <w:sz w:val="32"/>
          <w:szCs w:val="32"/>
        </w:rPr>
        <w:t>人；行政执法专项编制60人；</w:t>
      </w:r>
      <w:r>
        <w:rPr>
          <w:rFonts w:hint="eastAsia" w:ascii="仿宋_GB2312" w:hAnsi="宋体" w:eastAsia="仿宋_GB2312"/>
          <w:sz w:val="32"/>
          <w:szCs w:val="32"/>
        </w:rPr>
        <w:t>实际在职人数2</w:t>
      </w:r>
      <w:r>
        <w:rPr>
          <w:rFonts w:hint="eastAsia" w:ascii="仿宋_GB2312" w:hAnsi="宋体" w:eastAsia="仿宋_GB2312"/>
          <w:sz w:val="32"/>
          <w:szCs w:val="32"/>
          <w:lang w:val="en-US" w:eastAsia="zh-CN"/>
        </w:rPr>
        <w:t>89</w:t>
      </w:r>
      <w:r>
        <w:rPr>
          <w:rFonts w:hint="eastAsia" w:ascii="仿宋_GB2312" w:hAnsi="宋体" w:eastAsia="仿宋_GB2312"/>
          <w:sz w:val="32"/>
          <w:szCs w:val="32"/>
        </w:rPr>
        <w:t>人</w:t>
      </w:r>
      <w:r>
        <w:rPr>
          <w:rFonts w:hint="eastAsia" w:ascii="仿宋_GB2312" w:hAnsi="宋体" w:eastAsia="仿宋_GB2312"/>
          <w:sz w:val="32"/>
          <w:szCs w:val="32"/>
          <w:lang w:eastAsia="zh-CN"/>
        </w:rPr>
        <w:t>，其中行政在职</w:t>
      </w:r>
      <w:r>
        <w:rPr>
          <w:rFonts w:hint="eastAsia" w:ascii="仿宋_GB2312" w:hAnsi="宋体" w:eastAsia="仿宋_GB2312"/>
          <w:sz w:val="32"/>
          <w:szCs w:val="32"/>
          <w:lang w:val="en-US" w:eastAsia="zh-CN"/>
        </w:rPr>
        <w:t>190人，事业在职99人</w:t>
      </w:r>
      <w:r>
        <w:rPr>
          <w:rFonts w:hint="eastAsia" w:ascii="仿宋_GB2312" w:hAnsi="宋体" w:eastAsia="仿宋_GB2312"/>
          <w:sz w:val="32"/>
          <w:szCs w:val="32"/>
        </w:rPr>
        <w:t>；长期聘用临时工</w:t>
      </w:r>
      <w:r>
        <w:rPr>
          <w:rFonts w:hint="eastAsia" w:ascii="仿宋_GB2312" w:eastAsia="仿宋_GB2312"/>
          <w:sz w:val="32"/>
          <w:szCs w:val="32"/>
        </w:rPr>
        <w:t>0</w:t>
      </w:r>
      <w:r>
        <w:rPr>
          <w:rFonts w:hint="eastAsia" w:ascii="仿宋_GB2312" w:hAnsi="宋体" w:eastAsia="仿宋_GB2312"/>
          <w:sz w:val="32"/>
          <w:szCs w:val="32"/>
        </w:rPr>
        <w:t>人。</w:t>
      </w:r>
    </w:p>
    <w:p>
      <w:pPr>
        <w:spacing w:line="560" w:lineRule="exact"/>
        <w:ind w:firstLine="555"/>
        <w:rPr>
          <w:rFonts w:ascii="仿宋_GB2312" w:eastAsia="仿宋_GB2312"/>
          <w:sz w:val="32"/>
          <w:szCs w:val="32"/>
        </w:rPr>
      </w:pPr>
      <w:r>
        <w:rPr>
          <w:rFonts w:hint="eastAsia" w:ascii="仿宋_GB2312" w:hAnsi="宋体" w:eastAsia="仿宋_GB2312" w:cs="宋体"/>
          <w:sz w:val="32"/>
          <w:szCs w:val="32"/>
        </w:rPr>
        <w:t>离退休人员31</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人，其中：离休</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人，退休3</w:t>
      </w:r>
      <w:r>
        <w:rPr>
          <w:rFonts w:hint="eastAsia" w:ascii="仿宋_GB2312" w:hAnsi="宋体" w:eastAsia="仿宋_GB2312" w:cs="宋体"/>
          <w:sz w:val="32"/>
          <w:szCs w:val="32"/>
          <w:lang w:val="en-US" w:eastAsia="zh-CN"/>
        </w:rPr>
        <w:t>13</w:t>
      </w:r>
      <w:r>
        <w:rPr>
          <w:rFonts w:hint="eastAsia" w:ascii="仿宋_GB2312" w:hAnsi="宋体" w:eastAsia="仿宋_GB2312" w:cs="宋体"/>
          <w:sz w:val="32"/>
          <w:szCs w:val="32"/>
        </w:rPr>
        <w:t>人。</w:t>
      </w:r>
    </w:p>
    <w:p>
      <w:pPr>
        <w:spacing w:line="560" w:lineRule="exact"/>
        <w:outlineLvl w:val="0"/>
        <w:rPr>
          <w:rFonts w:ascii="黑体" w:hAnsi="黑体" w:eastAsia="黑体" w:cs="黑体"/>
          <w:color w:val="000000" w:themeColor="text1"/>
          <w:sz w:val="32"/>
          <w:szCs w:val="32"/>
        </w:rPr>
      </w:pPr>
      <w:r>
        <w:rPr>
          <w:rFonts w:hint="eastAsia" w:ascii="仿宋_GB2312" w:eastAsia="仿宋_GB2312"/>
          <w:sz w:val="32"/>
          <w:szCs w:val="32"/>
        </w:rPr>
        <w:t xml:space="preserve">    </w:t>
      </w:r>
      <w:r>
        <w:rPr>
          <w:rFonts w:hint="eastAsia" w:ascii="黑体" w:hAnsi="黑体" w:eastAsia="黑体" w:cs="黑体"/>
          <w:color w:val="000000" w:themeColor="text1"/>
          <w:sz w:val="32"/>
          <w:szCs w:val="32"/>
        </w:rPr>
        <w:t>二、</w:t>
      </w:r>
      <w:r>
        <w:rPr>
          <w:rFonts w:hint="eastAsia" w:ascii="黑体" w:hAnsi="黑体" w:eastAsia="黑体" w:cs="黑体"/>
          <w:color w:val="000000" w:themeColor="text1"/>
          <w:sz w:val="32"/>
          <w:szCs w:val="32"/>
          <w:lang w:eastAsia="zh-CN"/>
        </w:rPr>
        <w:t>2024</w:t>
      </w:r>
      <w:r>
        <w:rPr>
          <w:rFonts w:hint="eastAsia" w:ascii="黑体" w:hAnsi="黑体" w:eastAsia="黑体" w:cs="黑体"/>
          <w:color w:val="000000" w:themeColor="text1"/>
          <w:sz w:val="32"/>
          <w:szCs w:val="32"/>
        </w:rPr>
        <w:t>年部门预算收支及增减变化情况说明</w:t>
      </w:r>
    </w:p>
    <w:p>
      <w:pPr>
        <w:spacing w:line="560" w:lineRule="exact"/>
        <w:ind w:firstLine="643" w:firstLineChars="200"/>
        <w:outlineLvl w:val="0"/>
        <w:rPr>
          <w:rFonts w:ascii="楷体_GB2312" w:eastAsia="楷体_GB2312" w:cs="黑体"/>
          <w:b/>
          <w:color w:val="000000" w:themeColor="text1"/>
          <w:sz w:val="32"/>
          <w:szCs w:val="32"/>
        </w:rPr>
      </w:pPr>
      <w:r>
        <w:rPr>
          <w:rFonts w:hint="eastAsia" w:ascii="楷体_GB2312" w:eastAsia="楷体_GB2312" w:cs="黑体"/>
          <w:b/>
          <w:color w:val="000000" w:themeColor="text1"/>
          <w:sz w:val="32"/>
          <w:szCs w:val="32"/>
        </w:rPr>
        <w:t>(一)收入预算情况说明</w:t>
      </w:r>
    </w:p>
    <w:p>
      <w:pPr>
        <w:pStyle w:val="33"/>
        <w:adjustRightInd w:val="0"/>
        <w:spacing w:line="560" w:lineRule="exact"/>
        <w:ind w:firstLine="640" w:firstLineChars="200"/>
        <w:rPr>
          <w:rFonts w:ascii="仿宋_GB2312" w:eastAsia="仿宋_GB2312"/>
          <w:kern w:val="2"/>
          <w:sz w:val="32"/>
          <w:szCs w:val="32"/>
        </w:rPr>
      </w:pPr>
      <w:r>
        <w:rPr>
          <w:rFonts w:hint="eastAsia" w:ascii="仿宋_GB2312" w:hAnsi="宋体" w:eastAsia="仿宋_GB2312" w:cs="宋体"/>
          <w:color w:val="000000" w:themeColor="text1"/>
          <w:sz w:val="32"/>
          <w:szCs w:val="32"/>
          <w:lang w:eastAsia="zh-CN"/>
        </w:rPr>
        <w:t>2024</w:t>
      </w:r>
      <w:r>
        <w:rPr>
          <w:rFonts w:hint="eastAsia" w:ascii="仿宋_GB2312" w:hAnsi="宋体" w:eastAsia="仿宋_GB2312" w:cs="宋体"/>
          <w:color w:val="000000" w:themeColor="text1"/>
          <w:sz w:val="32"/>
          <w:szCs w:val="32"/>
        </w:rPr>
        <w:t>年收入预算45972.35万元。其中：预算内资金安排40807.41万元，财政专户资金安排0万元，其他资金安排0万元,市级提前下达专项转移支付项目资金安排4302.46万元，上年结转结余862.4</w:t>
      </w:r>
      <w:r>
        <w:rPr>
          <w:rFonts w:hint="eastAsia" w:ascii="仿宋_GB2312" w:hAnsi="宋体" w:eastAsia="仿宋_GB2312" w:cs="宋体"/>
          <w:color w:val="000000" w:themeColor="text1"/>
          <w:sz w:val="32"/>
          <w:szCs w:val="32"/>
          <w:lang w:val="en-US" w:eastAsia="zh-CN"/>
        </w:rPr>
        <w:t>8</w:t>
      </w:r>
      <w:r>
        <w:rPr>
          <w:rFonts w:hint="eastAsia" w:ascii="仿宋_GB2312" w:hAnsi="宋体" w:eastAsia="仿宋_GB2312" w:cs="宋体"/>
          <w:color w:val="000000" w:themeColor="text1"/>
          <w:sz w:val="32"/>
          <w:szCs w:val="32"/>
        </w:rPr>
        <w:t>万元</w:t>
      </w:r>
      <w:r>
        <w:rPr>
          <w:rFonts w:hint="eastAsia" w:ascii="仿宋_GB2312" w:hAnsi="宋体" w:eastAsia="仿宋_GB2312" w:cs="宋体"/>
          <w:color w:val="000000" w:themeColor="text1"/>
          <w:sz w:val="32"/>
          <w:szCs w:val="32"/>
          <w:lang w:eastAsia="zh-CN"/>
        </w:rPr>
        <w:t>。</w:t>
      </w:r>
      <w:r>
        <w:rPr>
          <w:rFonts w:hint="eastAsia" w:ascii="仿宋_GB2312" w:hAnsi="宋体" w:eastAsia="仿宋_GB2312" w:cs="宋体"/>
          <w:color w:val="000000" w:themeColor="text1"/>
          <w:sz w:val="32"/>
          <w:szCs w:val="32"/>
          <w14:textFill>
            <w14:solidFill>
              <w14:schemeClr w14:val="tx1"/>
            </w14:solidFill>
          </w14:textFill>
        </w:rPr>
        <w:t>收入预算较</w:t>
      </w:r>
      <w:r>
        <w:rPr>
          <w:rFonts w:hint="eastAsia" w:ascii="仿宋_GB2312" w:hAnsi="宋体" w:eastAsia="仿宋_GB2312" w:cs="宋体"/>
          <w:color w:val="000000" w:themeColor="text1"/>
          <w:sz w:val="32"/>
          <w:szCs w:val="32"/>
          <w:lang w:eastAsia="zh-CN"/>
          <w14:textFill>
            <w14:solidFill>
              <w14:schemeClr w14:val="tx1"/>
            </w14:solidFill>
          </w14:textFill>
        </w:rPr>
        <w:t>2023</w:t>
      </w:r>
      <w:r>
        <w:rPr>
          <w:rFonts w:hint="eastAsia" w:ascii="仿宋_GB2312" w:hAnsi="宋体" w:eastAsia="仿宋_GB2312" w:cs="宋体"/>
          <w:color w:val="000000" w:themeColor="text1"/>
          <w:sz w:val="32"/>
          <w:szCs w:val="32"/>
          <w14:textFill>
            <w14:solidFill>
              <w14:schemeClr w14:val="tx1"/>
            </w14:solidFill>
          </w14:textFill>
        </w:rPr>
        <w:t>年</w:t>
      </w:r>
      <w:r>
        <w:rPr>
          <w:rFonts w:hint="eastAsia" w:ascii="仿宋_GB2312" w:hAnsi="宋体" w:eastAsia="仿宋_GB2312" w:cs="宋体"/>
          <w:color w:val="000000" w:themeColor="text1"/>
          <w:sz w:val="32"/>
          <w:szCs w:val="32"/>
          <w:lang w:eastAsia="zh-CN"/>
          <w14:textFill>
            <w14:solidFill>
              <w14:schemeClr w14:val="tx1"/>
            </w14:solidFill>
          </w14:textFill>
        </w:rPr>
        <w:t>减少</w:t>
      </w:r>
      <w:r>
        <w:rPr>
          <w:rFonts w:hint="eastAsia" w:ascii="仿宋_GB2312" w:hAnsi="宋体" w:eastAsia="仿宋_GB2312" w:cs="宋体"/>
          <w:color w:val="000000" w:themeColor="text1"/>
          <w:sz w:val="32"/>
          <w:szCs w:val="32"/>
          <w:lang w:val="en-US" w:eastAsia="zh-CN"/>
          <w14:textFill>
            <w14:solidFill>
              <w14:schemeClr w14:val="tx1"/>
            </w14:solidFill>
          </w14:textFill>
        </w:rPr>
        <w:t>1048.47</w:t>
      </w:r>
      <w:r>
        <w:rPr>
          <w:rFonts w:hint="eastAsia" w:ascii="仿宋_GB2312" w:hAnsi="宋体" w:eastAsia="仿宋_GB2312" w:cs="宋体"/>
          <w:color w:val="000000" w:themeColor="text1"/>
          <w:sz w:val="32"/>
          <w:szCs w:val="32"/>
          <w14:textFill>
            <w14:solidFill>
              <w14:schemeClr w14:val="tx1"/>
            </w14:solidFill>
          </w14:textFill>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2.23</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hAnsi="宋体" w:eastAsia="仿宋_GB2312"/>
          <w:sz w:val="32"/>
          <w:szCs w:val="32"/>
        </w:rPr>
        <w:t>全面贯彻落实习近平总书记关于“艰苦奋斗、勤俭节约”和“党和政府带头过紧日子”等重要指示精神，进一步压减</w:t>
      </w:r>
      <w:r>
        <w:rPr>
          <w:rFonts w:hint="eastAsia" w:ascii="仿宋_GB2312" w:hAnsi="宋体" w:eastAsia="仿宋_GB2312"/>
          <w:sz w:val="32"/>
          <w:szCs w:val="32"/>
          <w:lang w:eastAsia="zh-CN"/>
        </w:rPr>
        <w:t>非必要</w:t>
      </w:r>
      <w:r>
        <w:rPr>
          <w:rFonts w:hint="eastAsia" w:ascii="仿宋_GB2312" w:hAnsi="宋体" w:eastAsia="仿宋_GB2312"/>
          <w:sz w:val="32"/>
          <w:szCs w:val="32"/>
        </w:rPr>
        <w:t>支出。</w:t>
      </w:r>
    </w:p>
    <w:p>
      <w:pPr>
        <w:spacing w:line="560" w:lineRule="exact"/>
        <w:ind w:firstLine="643" w:firstLineChars="200"/>
        <w:outlineLvl w:val="0"/>
        <w:rPr>
          <w:rFonts w:ascii="楷体_GB2312" w:eastAsia="楷体_GB2312" w:cs="黑体"/>
          <w:b/>
          <w:color w:val="000000" w:themeColor="text1"/>
          <w:sz w:val="32"/>
          <w:szCs w:val="32"/>
        </w:rPr>
      </w:pPr>
      <w:r>
        <w:rPr>
          <w:rFonts w:hint="eastAsia" w:ascii="楷体_GB2312" w:eastAsia="楷体_GB2312" w:cs="黑体"/>
          <w:b/>
          <w:color w:val="000000" w:themeColor="text1"/>
          <w:sz w:val="32"/>
          <w:szCs w:val="32"/>
        </w:rPr>
        <w:t>(二)支出预算情况说明</w:t>
      </w:r>
    </w:p>
    <w:p>
      <w:pPr>
        <w:spacing w:line="560" w:lineRule="exact"/>
        <w:ind w:firstLine="555"/>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1.</w:t>
      </w:r>
      <w:r>
        <w:rPr>
          <w:rFonts w:hint="eastAsia" w:ascii="仿宋_GB2312" w:hAnsi="仿宋" w:eastAsia="仿宋_GB2312"/>
          <w:sz w:val="32"/>
          <w:szCs w:val="32"/>
        </w:rPr>
        <w:t xml:space="preserve"> </w:t>
      </w: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年支出预算按用途划分：（1）基本支出预算10984.9</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与2023</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基本持平</w:t>
      </w:r>
      <w:r>
        <w:rPr>
          <w:rFonts w:hint="eastAsia" w:ascii="仿宋_GB2312" w:hAnsi="宋体" w:eastAsia="仿宋_GB2312" w:cs="宋体"/>
          <w:sz w:val="32"/>
          <w:szCs w:val="32"/>
        </w:rPr>
        <w:t>。（2）项目支出预算34987.44</w:t>
      </w:r>
      <w:r>
        <w:rPr>
          <w:rFonts w:hint="eastAsia" w:ascii="仿宋_GB2312" w:hAnsi="宋体" w:eastAsia="仿宋_GB2312" w:cs="宋体"/>
          <w:sz w:val="32"/>
          <w:szCs w:val="32"/>
          <w:lang w:eastAsia="zh-CN"/>
        </w:rPr>
        <w:t>万元，</w:t>
      </w:r>
      <w:r>
        <w:rPr>
          <w:rFonts w:hint="eastAsia" w:ascii="仿宋_GB2312" w:hAnsi="宋体" w:eastAsia="仿宋_GB2312" w:cs="宋体"/>
          <w:sz w:val="32"/>
          <w:szCs w:val="32"/>
        </w:rPr>
        <w:t>较</w:t>
      </w:r>
      <w:r>
        <w:rPr>
          <w:rFonts w:hint="eastAsia" w:ascii="仿宋_GB2312" w:hAnsi="宋体" w:eastAsia="仿宋_GB2312" w:cs="宋体"/>
          <w:sz w:val="32"/>
          <w:szCs w:val="32"/>
          <w:lang w:eastAsia="zh-CN"/>
        </w:rPr>
        <w:t>2023</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lang w:val="en-US" w:eastAsia="zh-CN"/>
        </w:rPr>
        <w:t>1077.41</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lang w:val="en-US" w:eastAsia="zh-CN"/>
        </w:rPr>
        <w:t>2.99</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主要原因是</w:t>
      </w:r>
      <w:r>
        <w:rPr>
          <w:rFonts w:hint="eastAsia" w:ascii="仿宋_GB2312" w:hAnsi="宋体" w:eastAsia="仿宋_GB2312"/>
          <w:sz w:val="32"/>
          <w:szCs w:val="32"/>
        </w:rPr>
        <w:t>全面贯彻落实习近平总书记关于“艰苦奋斗、勤俭节约”和“党和政府带头过紧日子”等重要指示精神，进一步压减</w:t>
      </w:r>
      <w:r>
        <w:rPr>
          <w:rFonts w:hint="eastAsia" w:ascii="仿宋_GB2312" w:hAnsi="宋体" w:eastAsia="仿宋_GB2312"/>
          <w:sz w:val="32"/>
          <w:szCs w:val="32"/>
          <w:lang w:eastAsia="zh-CN"/>
        </w:rPr>
        <w:t>非必要</w:t>
      </w:r>
      <w:r>
        <w:rPr>
          <w:rFonts w:hint="eastAsia" w:ascii="仿宋_GB2312" w:hAnsi="宋体" w:eastAsia="仿宋_GB2312"/>
          <w:sz w:val="32"/>
          <w:szCs w:val="32"/>
        </w:rPr>
        <w:t>支出。</w:t>
      </w:r>
    </w:p>
    <w:p>
      <w:pPr>
        <w:spacing w:line="560" w:lineRule="exact"/>
        <w:ind w:firstLine="555"/>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color w:val="000000" w:themeColor="text1"/>
          <w:sz w:val="32"/>
          <w:szCs w:val="32"/>
        </w:rPr>
        <w:t xml:space="preserve"> </w:t>
      </w: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年市级提前下达专项转移支付项目资金安排</w:t>
      </w:r>
      <w:r>
        <w:rPr>
          <w:rFonts w:hint="eastAsia" w:ascii="仿宋_GB2312" w:hAnsi="宋体" w:eastAsia="仿宋_GB2312" w:cs="宋体"/>
          <w:color w:val="000000" w:themeColor="text1"/>
          <w:sz w:val="32"/>
          <w:szCs w:val="32"/>
          <w14:textFill>
            <w14:solidFill>
              <w14:schemeClr w14:val="tx1"/>
            </w14:solidFill>
          </w14:textFill>
        </w:rPr>
        <w:t>4302.46</w:t>
      </w:r>
      <w:r>
        <w:rPr>
          <w:rFonts w:hint="eastAsia" w:ascii="仿宋_GB2312" w:hAnsi="宋体" w:eastAsia="仿宋_GB2312" w:cs="宋体"/>
          <w:color w:val="000000" w:themeColor="text1"/>
          <w:sz w:val="32"/>
          <w:szCs w:val="32"/>
          <w:lang w:eastAsia="zh-CN"/>
          <w14:textFill>
            <w14:solidFill>
              <w14:schemeClr w14:val="tx1"/>
            </w14:solidFill>
          </w14:textFill>
        </w:rPr>
        <w:t>万元，</w:t>
      </w:r>
      <w:r>
        <w:rPr>
          <w:rFonts w:hint="eastAsia" w:ascii="仿宋_GB2312" w:hAnsi="宋体" w:eastAsia="仿宋_GB2312" w:cs="宋体"/>
          <w:sz w:val="32"/>
          <w:szCs w:val="32"/>
        </w:rPr>
        <w:t>较</w:t>
      </w:r>
      <w:r>
        <w:rPr>
          <w:rFonts w:hint="eastAsia" w:ascii="仿宋_GB2312" w:hAnsi="宋体" w:eastAsia="仿宋_GB2312" w:cs="宋体"/>
          <w:sz w:val="32"/>
          <w:szCs w:val="32"/>
          <w:lang w:eastAsia="zh-CN"/>
        </w:rPr>
        <w:t>2023</w:t>
      </w:r>
      <w:r>
        <w:rPr>
          <w:rFonts w:hint="eastAsia" w:ascii="仿宋_GB2312" w:hAnsi="宋体" w:eastAsia="仿宋_GB2312" w:cs="宋体"/>
          <w:sz w:val="32"/>
          <w:szCs w:val="32"/>
        </w:rPr>
        <w:t>年增加增长</w:t>
      </w:r>
      <w:r>
        <w:rPr>
          <w:rFonts w:hint="eastAsia" w:ascii="仿宋_GB2312" w:hAnsi="宋体" w:eastAsia="仿宋_GB2312" w:cs="宋体"/>
          <w:sz w:val="32"/>
          <w:szCs w:val="32"/>
          <w:lang w:val="en-US" w:eastAsia="zh-CN"/>
        </w:rPr>
        <w:t>1089.77</w:t>
      </w:r>
      <w:r>
        <w:rPr>
          <w:rFonts w:hint="eastAsia" w:ascii="仿宋_GB2312" w:hAnsi="宋体" w:eastAsia="仿宋_GB2312" w:cs="宋体"/>
          <w:sz w:val="32"/>
          <w:szCs w:val="32"/>
        </w:rPr>
        <w:t>万元，主要原因是退役安置补助、优抚对象补助等项目经费较上年有所增长，</w:t>
      </w: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年市级提前下达专项转移支付项目主要包括无军籍职工退役安置补助、优抚对象补助、社会建设和公益事业补助、基层党组织服务群众经费等。</w:t>
      </w:r>
    </w:p>
    <w:p>
      <w:pPr>
        <w:spacing w:line="560" w:lineRule="exact"/>
        <w:ind w:firstLine="555"/>
        <w:outlineLvl w:val="0"/>
        <w:rPr>
          <w:rFonts w:ascii="黑体" w:hAnsi="黑体" w:eastAsia="黑体"/>
          <w:color w:val="000000" w:themeColor="text1"/>
          <w:sz w:val="32"/>
          <w:szCs w:val="32"/>
        </w:rPr>
      </w:pPr>
      <w:r>
        <w:rPr>
          <w:rFonts w:hint="eastAsia" w:ascii="黑体" w:hAnsi="黑体" w:eastAsia="黑体" w:cs="黑体"/>
          <w:color w:val="000000" w:themeColor="text1"/>
          <w:sz w:val="32"/>
          <w:szCs w:val="32"/>
        </w:rPr>
        <w:t>三、主要支出情况</w:t>
      </w:r>
    </w:p>
    <w:p>
      <w:pPr>
        <w:spacing w:line="560" w:lineRule="exact"/>
        <w:ind w:firstLine="555"/>
        <w:rPr>
          <w:rFonts w:ascii="楷体_GB2312" w:hAnsi="宋体" w:eastAsia="楷体_GB2312" w:cs="宋体"/>
          <w:b/>
          <w:color w:val="000000" w:themeColor="text1"/>
          <w:sz w:val="32"/>
          <w:szCs w:val="32"/>
        </w:rPr>
      </w:pPr>
      <w:bookmarkStart w:id="0" w:name="_Toc25448"/>
      <w:bookmarkStart w:id="1" w:name="_Toc17531"/>
      <w:r>
        <w:rPr>
          <w:rFonts w:hint="eastAsia" w:ascii="楷体_GB2312" w:hAnsi="宋体" w:eastAsia="楷体_GB2312" w:cs="宋体"/>
          <w:b/>
          <w:color w:val="000000" w:themeColor="text1"/>
          <w:sz w:val="32"/>
          <w:szCs w:val="32"/>
        </w:rPr>
        <w:t>（一）基本支出</w:t>
      </w:r>
    </w:p>
    <w:p>
      <w:pPr>
        <w:spacing w:line="560" w:lineRule="exact"/>
        <w:ind w:firstLine="555"/>
        <w:rPr>
          <w:rFonts w:ascii="仿宋_GB2312" w:hAnsi="宋体" w:eastAsia="仿宋_GB2312" w:cs="宋体"/>
          <w:sz w:val="32"/>
          <w:szCs w:val="32"/>
        </w:rPr>
      </w:pPr>
      <w:r>
        <w:rPr>
          <w:rFonts w:hint="eastAsia" w:ascii="仿宋_GB2312" w:hAnsi="宋体" w:eastAsia="仿宋_GB2312" w:cs="宋体"/>
          <w:color w:val="000000" w:themeColor="text1"/>
          <w:sz w:val="32"/>
          <w:szCs w:val="32"/>
        </w:rPr>
        <w:t>主要包括</w:t>
      </w:r>
      <w:bookmarkEnd w:id="0"/>
      <w:bookmarkEnd w:id="1"/>
      <w:r>
        <w:rPr>
          <w:rFonts w:hint="eastAsia" w:ascii="仿宋_GB2312" w:hAnsi="宋体" w:eastAsia="仿宋_GB2312" w:cs="宋体"/>
          <w:color w:val="000000" w:themeColor="text1"/>
          <w:sz w:val="32"/>
          <w:szCs w:val="32"/>
        </w:rPr>
        <w:t>在职、离退休人员支出、个人和家庭补助支出及公用支出。</w:t>
      </w:r>
      <w:r>
        <w:rPr>
          <w:rFonts w:hint="eastAsia" w:ascii="仿宋_GB2312" w:hAnsi="宋体" w:eastAsia="仿宋_GB2312" w:cs="宋体"/>
          <w:sz w:val="32"/>
          <w:szCs w:val="32"/>
        </w:rPr>
        <w:t>其中：人员支出预算9974.7</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万元，公用支出预算1010.13万元。</w:t>
      </w:r>
    </w:p>
    <w:p>
      <w:pPr>
        <w:spacing w:line="560" w:lineRule="exact"/>
        <w:ind w:firstLine="555"/>
        <w:rPr>
          <w:rFonts w:ascii="楷体_GB2312" w:hAnsi="宋体" w:eastAsia="楷体_GB2312" w:cs="宋体"/>
          <w:b/>
          <w:color w:val="000000" w:themeColor="text1"/>
          <w:sz w:val="32"/>
          <w:szCs w:val="32"/>
        </w:rPr>
      </w:pPr>
      <w:r>
        <w:rPr>
          <w:rFonts w:hint="eastAsia" w:ascii="楷体_GB2312" w:hAnsi="宋体" w:eastAsia="楷体_GB2312" w:cs="宋体"/>
          <w:b/>
          <w:color w:val="000000" w:themeColor="text1"/>
          <w:sz w:val="32"/>
          <w:szCs w:val="32"/>
        </w:rPr>
        <w:t>（二）项目支出</w:t>
      </w:r>
    </w:p>
    <w:p>
      <w:pPr>
        <w:spacing w:line="560" w:lineRule="exact"/>
        <w:ind w:firstLine="555"/>
        <w:rPr>
          <w:rFonts w:ascii="仿宋_GB2312" w:hAnsi="宋体" w:eastAsia="仿宋_GB2312" w:cs="宋体"/>
          <w:sz w:val="32"/>
          <w:szCs w:val="32"/>
        </w:rPr>
      </w:pPr>
      <w:r>
        <w:rPr>
          <w:rFonts w:hint="eastAsia" w:ascii="仿宋_GB2312" w:hAnsi="宋体" w:eastAsia="仿宋_GB2312" w:cs="宋体"/>
          <w:sz w:val="32"/>
          <w:szCs w:val="32"/>
        </w:rPr>
        <w:t>主要包括城市管理和环境建设、民生服务和保障、社区建设、综治维稳、地区党建等方面。</w:t>
      </w:r>
    </w:p>
    <w:p>
      <w:pPr>
        <w:spacing w:line="560" w:lineRule="exact"/>
        <w:ind w:firstLine="555"/>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其中，城市管理和环境建设安排预算资金</w:t>
      </w:r>
      <w:r>
        <w:rPr>
          <w:rFonts w:hint="eastAsia" w:ascii="仿宋_GB2312" w:hAnsi="宋体" w:eastAsia="仿宋_GB2312" w:cs="宋体"/>
          <w:color w:val="000000" w:themeColor="text1"/>
          <w:sz w:val="32"/>
          <w:szCs w:val="32"/>
          <w:lang w:val="en-US" w:eastAsia="zh-CN"/>
        </w:rPr>
        <w:t>8251.8</w:t>
      </w:r>
      <w:r>
        <w:rPr>
          <w:rFonts w:hint="eastAsia" w:ascii="仿宋_GB2312" w:hAnsi="宋体" w:eastAsia="仿宋_GB2312" w:cs="宋体"/>
          <w:color w:val="000000" w:themeColor="text1"/>
          <w:sz w:val="32"/>
          <w:szCs w:val="32"/>
        </w:rPr>
        <w:t>万元，主要用于地区保洁、绿化、垃圾分类服务，环境整治及街巷物业管理。民生服务和保障安排预算资金</w:t>
      </w:r>
      <w:r>
        <w:rPr>
          <w:rFonts w:hint="eastAsia" w:ascii="仿宋_GB2312" w:hAnsi="宋体" w:eastAsia="仿宋_GB2312" w:cs="宋体"/>
          <w:color w:val="000000" w:themeColor="text1"/>
          <w:sz w:val="32"/>
          <w:szCs w:val="32"/>
          <w:lang w:val="en-US" w:eastAsia="zh-CN"/>
        </w:rPr>
        <w:t>9281.13</w:t>
      </w:r>
      <w:r>
        <w:rPr>
          <w:rFonts w:hint="eastAsia" w:ascii="仿宋_GB2312" w:hAnsi="宋体" w:eastAsia="仿宋_GB2312" w:cs="宋体"/>
          <w:color w:val="000000" w:themeColor="text1"/>
          <w:sz w:val="32"/>
          <w:szCs w:val="32"/>
        </w:rPr>
        <w:t>万元，主要用于低保、低收入家庭低保金及医疗救助，代管退休人员工资，残疾人、特困人员、优抚人员及公益性岗位补贴等。社区建设安排预算资金</w:t>
      </w:r>
      <w:r>
        <w:rPr>
          <w:rFonts w:hint="eastAsia" w:ascii="仿宋_GB2312" w:hAnsi="宋体" w:eastAsia="仿宋_GB2312" w:cs="宋体"/>
          <w:color w:val="000000" w:themeColor="text1"/>
          <w:sz w:val="32"/>
          <w:szCs w:val="32"/>
          <w:lang w:val="en-US" w:eastAsia="zh-CN"/>
        </w:rPr>
        <w:t>8418.56</w:t>
      </w:r>
      <w:r>
        <w:rPr>
          <w:rFonts w:hint="eastAsia" w:ascii="仿宋_GB2312" w:hAnsi="宋体" w:eastAsia="仿宋_GB2312" w:cs="宋体"/>
          <w:color w:val="000000" w:themeColor="text1"/>
          <w:sz w:val="32"/>
          <w:szCs w:val="32"/>
        </w:rPr>
        <w:t>万元，主要用于社区日常办公支出，社区文化、教育、科普、体育方面支出，社工、安全员、流管员及食药安全监察员工资等。综治维稳安排预算资金</w:t>
      </w:r>
      <w:r>
        <w:rPr>
          <w:rFonts w:hint="eastAsia" w:ascii="仿宋_GB2312" w:hAnsi="宋体" w:eastAsia="仿宋_GB2312" w:cs="宋体"/>
          <w:color w:val="000000" w:themeColor="text1"/>
          <w:sz w:val="32"/>
          <w:szCs w:val="32"/>
          <w:lang w:val="en-US" w:eastAsia="zh-CN"/>
        </w:rPr>
        <w:t>803.27</w:t>
      </w:r>
      <w:r>
        <w:rPr>
          <w:rFonts w:hint="eastAsia" w:ascii="仿宋_GB2312" w:hAnsi="宋体" w:eastAsia="仿宋_GB2312" w:cs="宋体"/>
          <w:color w:val="000000" w:themeColor="text1"/>
          <w:sz w:val="32"/>
          <w:szCs w:val="32"/>
        </w:rPr>
        <w:t>万元，主要用于地区综合治理、安全生产及日常维稳等工作。地区党建安排预算资金</w:t>
      </w:r>
      <w:r>
        <w:rPr>
          <w:rFonts w:hint="eastAsia" w:ascii="仿宋_GB2312" w:hAnsi="宋体" w:eastAsia="仿宋_GB2312" w:cs="宋体"/>
          <w:color w:val="000000" w:themeColor="text1"/>
          <w:sz w:val="32"/>
          <w:szCs w:val="32"/>
          <w:lang w:val="en-US" w:eastAsia="zh-CN"/>
        </w:rPr>
        <w:t>1598.17</w:t>
      </w:r>
      <w:r>
        <w:rPr>
          <w:rFonts w:hint="eastAsia" w:ascii="仿宋_GB2312" w:hAnsi="宋体" w:eastAsia="仿宋_GB2312" w:cs="宋体"/>
          <w:color w:val="000000" w:themeColor="text1"/>
          <w:sz w:val="32"/>
          <w:szCs w:val="32"/>
        </w:rPr>
        <w:t>万元，主要用于日常党建支出、商务楼宇工作站运行等。</w:t>
      </w:r>
      <w:bookmarkStart w:id="2" w:name="_GoBack"/>
      <w:bookmarkEnd w:id="2"/>
    </w:p>
    <w:p>
      <w:pPr>
        <w:spacing w:line="560" w:lineRule="exact"/>
        <w:ind w:firstLine="555"/>
        <w:outlineLvl w:val="0"/>
        <w:rPr>
          <w:rFonts w:ascii="黑体" w:hAnsi="黑体" w:eastAsia="黑体" w:cs="黑体"/>
          <w:color w:val="000000" w:themeColor="text1"/>
          <w:sz w:val="32"/>
          <w:szCs w:val="32"/>
          <w:highlight w:val="none"/>
        </w:rPr>
      </w:pPr>
      <w:r>
        <w:rPr>
          <w:rFonts w:hint="eastAsia" w:ascii="黑体" w:hAnsi="黑体" w:eastAsia="黑体" w:cs="黑体"/>
          <w:color w:val="000000" w:themeColor="text1"/>
          <w:sz w:val="32"/>
          <w:szCs w:val="32"/>
          <w:highlight w:val="none"/>
        </w:rPr>
        <w:t>四、</w:t>
      </w:r>
      <w:r>
        <w:rPr>
          <w:rFonts w:hint="eastAsia" w:ascii="黑体" w:hAnsi="黑体" w:eastAsia="黑体"/>
          <w:color w:val="000000"/>
          <w:sz w:val="32"/>
          <w:szCs w:val="32"/>
          <w:highlight w:val="none"/>
        </w:rPr>
        <w:t>部门“三公”经费财政拨款预算说明</w:t>
      </w:r>
    </w:p>
    <w:p>
      <w:pPr>
        <w:spacing w:line="560" w:lineRule="exact"/>
        <w:ind w:firstLine="555"/>
        <w:rPr>
          <w:rFonts w:ascii="楷体_GB2312" w:eastAsia="楷体_GB2312" w:cs="楷体_GB2312"/>
          <w:b/>
          <w:bCs/>
          <w:sz w:val="32"/>
          <w:szCs w:val="32"/>
        </w:rPr>
      </w:pPr>
      <w:r>
        <w:rPr>
          <w:rFonts w:hint="eastAsia" w:ascii="楷体_GB2312" w:eastAsia="楷体_GB2312" w:cs="楷体_GB2312"/>
          <w:b/>
          <w:bCs/>
          <w:sz w:val="32"/>
          <w:szCs w:val="32"/>
        </w:rPr>
        <w:t>（一）“三公”经费的单位范围</w:t>
      </w:r>
    </w:p>
    <w:p>
      <w:pPr>
        <w:spacing w:line="560" w:lineRule="exact"/>
        <w:ind w:firstLine="555"/>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北京市西城区人民政府展览路街道办事处部门预算中因公出国（境）费、公务接待费、公务用车购置及运行维护费的支出单位包括1个所属单位，即北京市西城区人民政府展览路街道办事处。</w:t>
      </w:r>
    </w:p>
    <w:p>
      <w:pPr>
        <w:spacing w:line="560" w:lineRule="exact"/>
        <w:ind w:firstLine="555"/>
        <w:rPr>
          <w:rFonts w:ascii="楷体_GB2312" w:eastAsia="楷体_GB2312" w:cs="楷体_GB2312"/>
          <w:b/>
          <w:bCs/>
          <w:sz w:val="32"/>
          <w:szCs w:val="32"/>
        </w:rPr>
      </w:pPr>
      <w:r>
        <w:rPr>
          <w:rFonts w:hint="eastAsia" w:ascii="楷体_GB2312" w:eastAsia="楷体_GB2312" w:cs="楷体_GB2312"/>
          <w:b/>
          <w:bCs/>
          <w:sz w:val="32"/>
          <w:szCs w:val="32"/>
        </w:rPr>
        <w:t>（二）“三公”经费财政拨款预算说明</w:t>
      </w:r>
    </w:p>
    <w:p>
      <w:pPr>
        <w:spacing w:line="560" w:lineRule="exact"/>
        <w:ind w:firstLine="555"/>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lang w:eastAsia="zh-CN"/>
        </w:rPr>
        <w:t>2024</w:t>
      </w:r>
      <w:r>
        <w:rPr>
          <w:rFonts w:hint="eastAsia" w:ascii="仿宋_GB2312" w:hAnsi="宋体" w:eastAsia="仿宋_GB2312" w:cs="宋体"/>
          <w:color w:val="000000" w:themeColor="text1"/>
          <w:sz w:val="32"/>
          <w:szCs w:val="32"/>
        </w:rPr>
        <w:t>年部门预算“三公”经费财政拨款预算安排</w:t>
      </w:r>
      <w:r>
        <w:rPr>
          <w:rFonts w:hint="eastAsia" w:ascii="仿宋_GB2312" w:hAnsi="宋体" w:eastAsia="仿宋_GB2312" w:cs="宋体"/>
          <w:color w:val="000000" w:themeColor="text1"/>
          <w:sz w:val="32"/>
          <w:szCs w:val="32"/>
          <w14:textFill>
            <w14:solidFill>
              <w14:schemeClr w14:val="tx1"/>
            </w14:solidFill>
          </w14:textFill>
        </w:rPr>
        <w:t>2.45</w:t>
      </w:r>
      <w:r>
        <w:rPr>
          <w:rFonts w:hint="eastAsia" w:ascii="仿宋_GB2312" w:hAnsi="宋体" w:eastAsia="仿宋_GB2312" w:cs="宋体"/>
          <w:color w:val="000000" w:themeColor="text1"/>
          <w:sz w:val="32"/>
          <w:szCs w:val="32"/>
        </w:rPr>
        <w:t>万元，其中：</w:t>
      </w:r>
    </w:p>
    <w:p>
      <w:pPr>
        <w:spacing w:line="560" w:lineRule="exact"/>
        <w:ind w:firstLine="555"/>
        <w:rPr>
          <w:rFonts w:ascii="仿宋_GB2312" w:hAnsi="宋体" w:eastAsia="仿宋_GB2312" w:cs="宋体"/>
          <w:b/>
          <w:color w:val="000000" w:themeColor="text1"/>
          <w:sz w:val="32"/>
          <w:szCs w:val="32"/>
        </w:rPr>
      </w:pPr>
      <w:r>
        <w:rPr>
          <w:rFonts w:hint="eastAsia" w:ascii="仿宋_GB2312" w:hAnsi="宋体" w:eastAsia="仿宋_GB2312" w:cs="宋体"/>
          <w:b/>
          <w:color w:val="000000" w:themeColor="text1"/>
          <w:sz w:val="32"/>
          <w:szCs w:val="32"/>
        </w:rPr>
        <w:t>（1）因公出国（境）费</w:t>
      </w:r>
    </w:p>
    <w:p>
      <w:pPr>
        <w:spacing w:line="560" w:lineRule="exact"/>
        <w:ind w:firstLine="555"/>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lang w:eastAsia="zh-CN"/>
        </w:rPr>
        <w:t>2024</w:t>
      </w:r>
      <w:r>
        <w:rPr>
          <w:rFonts w:hint="eastAsia" w:ascii="仿宋_GB2312" w:hAnsi="宋体" w:eastAsia="仿宋_GB2312" w:cs="宋体"/>
          <w:color w:val="000000" w:themeColor="text1"/>
          <w:sz w:val="32"/>
          <w:szCs w:val="32"/>
        </w:rPr>
        <w:t>年财政拨款预算安排0万元。因公出国（境）经费预算由全区统一安排，街道不单独做预算。</w:t>
      </w:r>
    </w:p>
    <w:p>
      <w:pPr>
        <w:spacing w:line="560" w:lineRule="exact"/>
        <w:ind w:firstLine="555"/>
        <w:rPr>
          <w:rFonts w:ascii="仿宋_GB2312" w:hAnsi="宋体" w:eastAsia="仿宋_GB2312" w:cs="宋体"/>
          <w:b/>
          <w:color w:val="000000" w:themeColor="text1"/>
          <w:sz w:val="32"/>
          <w:szCs w:val="32"/>
        </w:rPr>
      </w:pPr>
      <w:r>
        <w:rPr>
          <w:rFonts w:hint="eastAsia" w:ascii="仿宋_GB2312" w:hAnsi="宋体" w:eastAsia="仿宋_GB2312" w:cs="宋体"/>
          <w:b/>
          <w:color w:val="000000" w:themeColor="text1"/>
          <w:sz w:val="32"/>
          <w:szCs w:val="32"/>
        </w:rPr>
        <w:t>（2）公务接待费</w:t>
      </w:r>
    </w:p>
    <w:p>
      <w:pPr>
        <w:spacing w:line="560" w:lineRule="exact"/>
        <w:ind w:firstLine="555"/>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lang w:eastAsia="zh-CN"/>
        </w:rPr>
        <w:t>2024</w:t>
      </w:r>
      <w:r>
        <w:rPr>
          <w:rFonts w:hint="eastAsia" w:ascii="仿宋_GB2312" w:hAnsi="宋体" w:eastAsia="仿宋_GB2312" w:cs="宋体"/>
          <w:color w:val="000000" w:themeColor="text1"/>
          <w:sz w:val="32"/>
          <w:szCs w:val="32"/>
        </w:rPr>
        <w:t>年财政拨款预算安排</w:t>
      </w:r>
      <w:r>
        <w:rPr>
          <w:rFonts w:hint="eastAsia" w:ascii="仿宋_GB2312" w:hAnsi="宋体" w:eastAsia="仿宋_GB2312" w:cs="宋体"/>
          <w:color w:val="000000" w:themeColor="text1"/>
          <w:sz w:val="32"/>
          <w:szCs w:val="32"/>
          <w:lang w:val="en-US" w:eastAsia="zh-CN"/>
        </w:rPr>
        <w:t>0</w:t>
      </w:r>
      <w:r>
        <w:rPr>
          <w:rFonts w:hint="eastAsia" w:ascii="仿宋_GB2312" w:hAnsi="宋体" w:eastAsia="仿宋_GB2312" w:cs="宋体"/>
          <w:color w:val="000000" w:themeColor="text1"/>
          <w:sz w:val="32"/>
          <w:szCs w:val="32"/>
        </w:rPr>
        <w:t>万元。</w:t>
      </w:r>
      <w:r>
        <w:rPr>
          <w:rFonts w:hint="eastAsia" w:ascii="仿宋_GB2312" w:hAnsi="宋体" w:eastAsia="仿宋_GB2312" w:cs="宋体"/>
          <w:color w:val="000000" w:themeColor="text1"/>
          <w:sz w:val="32"/>
          <w:szCs w:val="32"/>
          <w:lang w:eastAsia="zh-CN"/>
        </w:rPr>
        <w:t>2023</w:t>
      </w:r>
      <w:r>
        <w:rPr>
          <w:rFonts w:hint="eastAsia" w:ascii="仿宋_GB2312" w:hAnsi="宋体" w:eastAsia="仿宋_GB2312" w:cs="宋体"/>
          <w:color w:val="000000" w:themeColor="text1"/>
          <w:sz w:val="32"/>
          <w:szCs w:val="32"/>
        </w:rPr>
        <w:t>年财政拨款预算安排</w:t>
      </w:r>
      <w:r>
        <w:rPr>
          <w:rFonts w:hint="eastAsia" w:ascii="仿宋_GB2312" w:hAnsi="宋体" w:eastAsia="仿宋_GB2312" w:cs="宋体"/>
          <w:color w:val="000000" w:themeColor="text1"/>
          <w:sz w:val="32"/>
          <w:szCs w:val="32"/>
          <w14:textFill>
            <w14:solidFill>
              <w14:schemeClr w14:val="tx1"/>
            </w14:solidFill>
          </w14:textFill>
        </w:rPr>
        <w:t>5.07</w:t>
      </w:r>
      <w:r>
        <w:rPr>
          <w:rFonts w:hint="eastAsia" w:ascii="仿宋_GB2312" w:hAnsi="宋体" w:eastAsia="仿宋_GB2312" w:cs="宋体"/>
          <w:color w:val="000000" w:themeColor="text1"/>
          <w:sz w:val="32"/>
          <w:szCs w:val="32"/>
        </w:rPr>
        <w:t>万元，</w:t>
      </w:r>
      <w:r>
        <w:rPr>
          <w:rFonts w:hint="eastAsia" w:ascii="仿宋_GB2312" w:hAnsi="宋体" w:eastAsia="仿宋_GB2312" w:cs="宋体"/>
          <w:color w:val="000000" w:themeColor="text1"/>
          <w:sz w:val="32"/>
          <w:szCs w:val="32"/>
          <w:lang w:eastAsia="zh-CN"/>
        </w:rPr>
        <w:t>较202</w:t>
      </w:r>
      <w:r>
        <w:rPr>
          <w:rFonts w:hint="eastAsia" w:ascii="仿宋_GB2312" w:hAnsi="宋体" w:eastAsia="仿宋_GB2312" w:cs="宋体"/>
          <w:color w:val="000000" w:themeColor="text1"/>
          <w:sz w:val="32"/>
          <w:szCs w:val="32"/>
          <w:lang w:val="en-US" w:eastAsia="zh-CN"/>
        </w:rPr>
        <w:t>3</w:t>
      </w:r>
      <w:r>
        <w:rPr>
          <w:rFonts w:hint="eastAsia" w:ascii="仿宋_GB2312" w:hAnsi="宋体" w:eastAsia="仿宋_GB2312" w:cs="宋体"/>
          <w:color w:val="000000" w:themeColor="text1"/>
          <w:sz w:val="32"/>
          <w:szCs w:val="32"/>
        </w:rPr>
        <w:t>年</w:t>
      </w:r>
      <w:r>
        <w:rPr>
          <w:rFonts w:hint="eastAsia" w:ascii="仿宋_GB2312" w:hAnsi="宋体" w:eastAsia="仿宋_GB2312" w:cs="宋体"/>
          <w:color w:val="000000" w:themeColor="text1"/>
          <w:sz w:val="32"/>
          <w:szCs w:val="32"/>
          <w:lang w:eastAsia="zh-CN"/>
        </w:rPr>
        <w:t>减少</w:t>
      </w:r>
      <w:r>
        <w:rPr>
          <w:rFonts w:hint="eastAsia" w:ascii="仿宋_GB2312" w:hAnsi="宋体" w:eastAsia="仿宋_GB2312" w:cs="宋体"/>
          <w:color w:val="000000" w:themeColor="text1"/>
          <w:sz w:val="32"/>
          <w:szCs w:val="32"/>
          <w:lang w:val="en-US" w:eastAsia="zh-CN"/>
        </w:rPr>
        <w:t>5.07万元</w:t>
      </w:r>
      <w:r>
        <w:rPr>
          <w:rFonts w:hint="eastAsia" w:ascii="仿宋_GB2312" w:hAnsi="宋体" w:eastAsia="仿宋_GB2312" w:cs="宋体"/>
          <w:color w:val="000000" w:themeColor="text1"/>
          <w:sz w:val="32"/>
          <w:szCs w:val="32"/>
        </w:rPr>
        <w:t>。</w:t>
      </w:r>
    </w:p>
    <w:p>
      <w:pPr>
        <w:spacing w:line="560" w:lineRule="exact"/>
        <w:ind w:firstLine="555"/>
        <w:rPr>
          <w:rFonts w:ascii="仿宋_GB2312" w:hAnsi="宋体" w:eastAsia="仿宋_GB2312" w:cs="宋体"/>
          <w:b/>
          <w:color w:val="000000" w:themeColor="text1"/>
          <w:sz w:val="32"/>
          <w:szCs w:val="32"/>
        </w:rPr>
      </w:pPr>
      <w:r>
        <w:rPr>
          <w:rFonts w:hint="eastAsia" w:ascii="仿宋_GB2312" w:hAnsi="宋体" w:eastAsia="仿宋_GB2312" w:cs="宋体"/>
          <w:b/>
          <w:color w:val="000000" w:themeColor="text1"/>
          <w:sz w:val="32"/>
          <w:szCs w:val="32"/>
        </w:rPr>
        <w:t>（3）公务用车购置及运行维护费</w:t>
      </w:r>
    </w:p>
    <w:p>
      <w:pPr>
        <w:spacing w:line="560" w:lineRule="exact"/>
        <w:ind w:firstLine="555"/>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lang w:eastAsia="zh-CN"/>
        </w:rPr>
        <w:t>2024</w:t>
      </w:r>
      <w:r>
        <w:rPr>
          <w:rFonts w:hint="eastAsia" w:ascii="仿宋_GB2312" w:hAnsi="宋体" w:eastAsia="仿宋_GB2312" w:cs="宋体"/>
          <w:color w:val="000000" w:themeColor="text1"/>
          <w:sz w:val="32"/>
          <w:szCs w:val="32"/>
        </w:rPr>
        <w:t>年公务用车数量为</w:t>
      </w:r>
      <w:r>
        <w:rPr>
          <w:rFonts w:hint="eastAsia" w:ascii="仿宋_GB2312" w:hAnsi="宋体" w:eastAsia="仿宋_GB2312" w:cs="宋体"/>
          <w:sz w:val="32"/>
          <w:szCs w:val="32"/>
        </w:rPr>
        <w:t>1</w:t>
      </w:r>
      <w:r>
        <w:rPr>
          <w:rFonts w:hint="eastAsia" w:ascii="仿宋_GB2312" w:hAnsi="宋体" w:eastAsia="仿宋_GB2312" w:cs="宋体"/>
          <w:color w:val="000000" w:themeColor="text1"/>
          <w:sz w:val="32"/>
          <w:szCs w:val="32"/>
        </w:rPr>
        <w:t>辆，财政拨款预算安排2.45万元，其中公务用车购置费0万元，公务用车运行维护费2.45万元。</w:t>
      </w:r>
      <w:r>
        <w:rPr>
          <w:rFonts w:hint="eastAsia" w:ascii="仿宋_GB2312" w:hAnsi="宋体" w:eastAsia="仿宋_GB2312" w:cs="宋体"/>
          <w:color w:val="000000" w:themeColor="text1"/>
          <w:sz w:val="32"/>
          <w:szCs w:val="32"/>
          <w:lang w:eastAsia="zh-CN"/>
        </w:rPr>
        <w:t>2023</w:t>
      </w:r>
      <w:r>
        <w:rPr>
          <w:rFonts w:hint="eastAsia" w:ascii="仿宋_GB2312" w:hAnsi="宋体" w:eastAsia="仿宋_GB2312" w:cs="宋体"/>
          <w:color w:val="000000" w:themeColor="text1"/>
          <w:sz w:val="32"/>
          <w:szCs w:val="32"/>
        </w:rPr>
        <w:t>年财政拨款预算安排2.45万元，和</w:t>
      </w:r>
      <w:r>
        <w:rPr>
          <w:rFonts w:hint="eastAsia" w:ascii="仿宋_GB2312" w:hAnsi="宋体" w:eastAsia="仿宋_GB2312" w:cs="宋体"/>
          <w:color w:val="000000" w:themeColor="text1"/>
          <w:sz w:val="32"/>
          <w:szCs w:val="32"/>
          <w:lang w:eastAsia="zh-CN"/>
        </w:rPr>
        <w:t>2024</w:t>
      </w:r>
      <w:r>
        <w:rPr>
          <w:rFonts w:hint="eastAsia" w:ascii="仿宋_GB2312" w:hAnsi="宋体" w:eastAsia="仿宋_GB2312" w:cs="宋体"/>
          <w:color w:val="000000" w:themeColor="text1"/>
          <w:sz w:val="32"/>
          <w:szCs w:val="32"/>
        </w:rPr>
        <w:t>年预算持平。</w:t>
      </w:r>
    </w:p>
    <w:p>
      <w:pPr>
        <w:spacing w:line="560" w:lineRule="exact"/>
        <w:ind w:firstLine="555"/>
        <w:outlineLvl w:val="0"/>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sz w:val="32"/>
          <w:szCs w:val="32"/>
        </w:rPr>
        <w:t>其他情况说明</w:t>
      </w:r>
    </w:p>
    <w:p>
      <w:pPr>
        <w:spacing w:line="560" w:lineRule="exact"/>
        <w:ind w:firstLine="555"/>
        <w:rPr>
          <w:rFonts w:ascii="楷体_GB2312" w:eastAsia="楷体_GB2312" w:cs="楷体_GB2312"/>
          <w:b/>
          <w:bCs/>
          <w:sz w:val="32"/>
          <w:szCs w:val="32"/>
        </w:rPr>
      </w:pPr>
      <w:r>
        <w:rPr>
          <w:rFonts w:hint="eastAsia" w:ascii="楷体_GB2312" w:eastAsia="楷体_GB2312" w:cs="楷体_GB2312"/>
          <w:b/>
          <w:bCs/>
          <w:sz w:val="32"/>
          <w:szCs w:val="32"/>
        </w:rPr>
        <w:t>（一）机构运行经费说明</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年本部门（含下属单位）履行一般行政事业管理职能、维持机关运行，用于一般公共预算安排的行政运行经费，</w:t>
      </w:r>
      <w:r>
        <w:rPr>
          <w:rFonts w:hint="eastAsia" w:ascii="仿宋_GB2312" w:hAnsi="宋体" w:eastAsia="仿宋_GB2312" w:cs="宋体"/>
          <w:color w:val="auto"/>
          <w:sz w:val="32"/>
          <w:szCs w:val="32"/>
        </w:rPr>
        <w:t>合计</w:t>
      </w:r>
      <w:r>
        <w:rPr>
          <w:rFonts w:hint="eastAsia" w:ascii="仿宋_GB2312" w:hAnsi="宋体" w:eastAsia="仿宋_GB2312" w:cs="宋体"/>
          <w:color w:val="auto"/>
          <w:sz w:val="32"/>
          <w:szCs w:val="32"/>
          <w:lang w:val="en-US" w:eastAsia="zh-CN"/>
        </w:rPr>
        <w:t>992.64</w:t>
      </w:r>
      <w:r>
        <w:rPr>
          <w:rFonts w:hint="eastAsia" w:ascii="仿宋_GB2312" w:hAnsi="宋体" w:eastAsia="仿宋_GB2312" w:cs="宋体"/>
          <w:sz w:val="32"/>
          <w:szCs w:val="32"/>
        </w:rPr>
        <w:t>万元。</w:t>
      </w:r>
    </w:p>
    <w:p>
      <w:pPr>
        <w:spacing w:line="560" w:lineRule="exact"/>
        <w:ind w:firstLine="555"/>
        <w:rPr>
          <w:rFonts w:ascii="楷体_GB2312" w:eastAsia="楷体_GB2312" w:cs="楷体_GB2312"/>
          <w:b/>
          <w:bCs/>
          <w:sz w:val="32"/>
          <w:szCs w:val="32"/>
        </w:rPr>
      </w:pPr>
      <w:r>
        <w:rPr>
          <w:rFonts w:hint="eastAsia" w:ascii="楷体_GB2312" w:eastAsia="楷体_GB2312" w:cs="楷体_GB2312"/>
          <w:b/>
          <w:bCs/>
          <w:sz w:val="32"/>
          <w:szCs w:val="32"/>
        </w:rPr>
        <w:t>（二）政府采购预算说明</w:t>
      </w:r>
    </w:p>
    <w:p>
      <w:pPr>
        <w:spacing w:line="560" w:lineRule="exact"/>
        <w:ind w:firstLine="555"/>
        <w:rPr>
          <w:rFonts w:ascii="仿宋_GB2312" w:eastAsia="仿宋_GB2312" w:cs="宋体"/>
          <w:sz w:val="32"/>
          <w:szCs w:val="32"/>
        </w:rPr>
      </w:pP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年涉及政府采购项目</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sz w:val="32"/>
          <w:szCs w:val="32"/>
        </w:rPr>
        <w:t>个，本年预算金额</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sz w:val="32"/>
          <w:szCs w:val="32"/>
        </w:rPr>
        <w:t>万元。</w:t>
      </w:r>
    </w:p>
    <w:p>
      <w:pPr>
        <w:spacing w:line="560" w:lineRule="exact"/>
        <w:ind w:firstLine="555"/>
        <w:rPr>
          <w:rFonts w:ascii="楷体_GB2312" w:eastAsia="楷体_GB2312" w:cs="楷体_GB2312"/>
          <w:b/>
          <w:bCs/>
          <w:sz w:val="32"/>
          <w:szCs w:val="32"/>
        </w:rPr>
      </w:pPr>
      <w:r>
        <w:rPr>
          <w:rFonts w:hint="eastAsia" w:ascii="楷体_GB2312" w:eastAsia="楷体_GB2312" w:cs="楷体_GB2312"/>
          <w:b/>
          <w:bCs/>
          <w:sz w:val="32"/>
          <w:szCs w:val="32"/>
        </w:rPr>
        <w:t>（三）政府购买服务预算说明</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年涉及政府购买服务项目</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个，本年预算金额</w:t>
      </w:r>
      <w:r>
        <w:rPr>
          <w:rFonts w:hint="eastAsia" w:ascii="仿宋_GB2312" w:hAnsi="宋体" w:eastAsia="仿宋_GB2312" w:cs="宋体"/>
          <w:sz w:val="32"/>
          <w:szCs w:val="32"/>
          <w:lang w:val="en-US" w:eastAsia="zh-CN"/>
        </w:rPr>
        <w:t>5973.94</w:t>
      </w:r>
      <w:r>
        <w:rPr>
          <w:rFonts w:hint="eastAsia" w:ascii="仿宋_GB2312" w:hAnsi="宋体" w:eastAsia="仿宋_GB2312" w:cs="宋体"/>
          <w:sz w:val="32"/>
          <w:szCs w:val="32"/>
        </w:rPr>
        <w:t>万元。</w:t>
      </w:r>
    </w:p>
    <w:p>
      <w:pPr>
        <w:spacing w:line="560" w:lineRule="exact"/>
        <w:ind w:firstLine="555"/>
        <w:rPr>
          <w:rFonts w:ascii="楷体_GB2312" w:eastAsia="楷体_GB2312" w:cs="楷体_GB2312"/>
          <w:b/>
          <w:bCs/>
          <w:color w:val="000000" w:themeColor="text1"/>
          <w:sz w:val="32"/>
          <w:szCs w:val="32"/>
        </w:rPr>
      </w:pPr>
      <w:r>
        <w:rPr>
          <w:rFonts w:hint="eastAsia" w:ascii="楷体_GB2312" w:eastAsia="楷体_GB2312" w:cs="楷体_GB2312"/>
          <w:b/>
          <w:bCs/>
          <w:color w:val="000000" w:themeColor="text1"/>
          <w:sz w:val="32"/>
          <w:szCs w:val="32"/>
        </w:rPr>
        <w:t>（四）绩效目标情况及绩效评价结果说明</w:t>
      </w:r>
    </w:p>
    <w:p>
      <w:pPr>
        <w:spacing w:line="560" w:lineRule="exact"/>
        <w:ind w:firstLine="555"/>
        <w:rPr>
          <w:rFonts w:ascii="仿宋_GB2312" w:eastAsia="仿宋_GB2312" w:cs="楷体_GB2312"/>
          <w:bCs/>
          <w:sz w:val="32"/>
          <w:szCs w:val="32"/>
        </w:rPr>
      </w:pPr>
      <w:r>
        <w:rPr>
          <w:rFonts w:hint="eastAsia" w:ascii="仿宋_GB2312" w:eastAsia="仿宋_GB2312" w:cs="楷体_GB2312"/>
          <w:bCs/>
          <w:sz w:val="32"/>
          <w:szCs w:val="32"/>
          <w:lang w:eastAsia="zh-CN"/>
        </w:rPr>
        <w:t>2024</w:t>
      </w:r>
      <w:r>
        <w:rPr>
          <w:rFonts w:hint="eastAsia" w:ascii="仿宋_GB2312" w:eastAsia="仿宋_GB2312" w:cs="楷体_GB2312"/>
          <w:bCs/>
          <w:sz w:val="32"/>
          <w:szCs w:val="32"/>
        </w:rPr>
        <w:t>年部门预算申报项目1</w:t>
      </w:r>
      <w:r>
        <w:rPr>
          <w:rFonts w:hint="eastAsia" w:ascii="仿宋_GB2312" w:eastAsia="仿宋_GB2312" w:cs="楷体_GB2312"/>
          <w:bCs/>
          <w:sz w:val="32"/>
          <w:szCs w:val="32"/>
          <w:lang w:val="en-US" w:eastAsia="zh-CN"/>
        </w:rPr>
        <w:t>40</w:t>
      </w:r>
      <w:r>
        <w:rPr>
          <w:rFonts w:hint="eastAsia" w:ascii="仿宋_GB2312" w:eastAsia="仿宋_GB2312" w:cs="楷体_GB2312"/>
          <w:bCs/>
          <w:sz w:val="32"/>
          <w:szCs w:val="32"/>
        </w:rPr>
        <w:t>个，填报绩效目标的项目数量为1</w:t>
      </w:r>
      <w:r>
        <w:rPr>
          <w:rFonts w:hint="eastAsia" w:ascii="仿宋_GB2312" w:eastAsia="仿宋_GB2312" w:cs="楷体_GB2312"/>
          <w:bCs/>
          <w:sz w:val="32"/>
          <w:szCs w:val="32"/>
          <w:lang w:val="en-US" w:eastAsia="zh-CN"/>
        </w:rPr>
        <w:t>40</w:t>
      </w:r>
      <w:r>
        <w:rPr>
          <w:rFonts w:hint="eastAsia" w:ascii="仿宋_GB2312" w:eastAsia="仿宋_GB2312" w:cs="楷体_GB2312"/>
          <w:bCs/>
          <w:sz w:val="32"/>
          <w:szCs w:val="32"/>
        </w:rPr>
        <w:t>个，其中100万以上的项目共计</w:t>
      </w:r>
      <w:r>
        <w:rPr>
          <w:rFonts w:hint="eastAsia" w:ascii="仿宋_GB2312" w:eastAsia="仿宋_GB2312" w:cs="楷体_GB2312"/>
          <w:bCs/>
          <w:sz w:val="32"/>
          <w:szCs w:val="32"/>
          <w:lang w:val="en-US" w:eastAsia="zh-CN"/>
        </w:rPr>
        <w:t>53</w:t>
      </w:r>
      <w:r>
        <w:rPr>
          <w:rFonts w:hint="eastAsia" w:ascii="仿宋_GB2312" w:eastAsia="仿宋_GB2312" w:cs="楷体_GB2312"/>
          <w:bCs/>
          <w:sz w:val="32"/>
          <w:szCs w:val="32"/>
        </w:rPr>
        <w:t>个。</w:t>
      </w:r>
    </w:p>
    <w:p>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2023年绩效评价工作共抽取重点资金项目5项，涉及金额612.92万元。通过向评价专家组汇报部门或被评价项目的整体绩效情况等方式，着重从立项必要性、投入经济性、绩效目标合理性、实施方案可行性、筹资合理性等方面的展开事前绩效评估，抽取项目专家评价均为“予以支持”，切实做到了“花钱必问效，无效必问责”，不断提高资源配置效率和使用效益。</w:t>
      </w:r>
    </w:p>
    <w:p>
      <w:pPr>
        <w:spacing w:line="560" w:lineRule="exact"/>
        <w:ind w:firstLine="555"/>
        <w:rPr>
          <w:rFonts w:ascii="楷体_GB2312" w:eastAsia="楷体_GB2312" w:cs="楷体_GB2312"/>
          <w:b/>
          <w:bCs/>
          <w:sz w:val="32"/>
          <w:szCs w:val="32"/>
        </w:rPr>
      </w:pPr>
      <w:r>
        <w:rPr>
          <w:rFonts w:hint="eastAsia" w:ascii="楷体_GB2312" w:eastAsia="楷体_GB2312" w:cs="楷体_GB2312"/>
          <w:b/>
          <w:bCs/>
          <w:sz w:val="32"/>
          <w:szCs w:val="32"/>
        </w:rPr>
        <w:t>（五）国有资本经营预算财政拨款情况说明</w:t>
      </w:r>
    </w:p>
    <w:p>
      <w:pPr>
        <w:spacing w:line="560" w:lineRule="exact"/>
        <w:ind w:firstLine="555"/>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本单位不涉及此情况。</w:t>
      </w:r>
    </w:p>
    <w:p>
      <w:pPr>
        <w:spacing w:line="560" w:lineRule="exact"/>
        <w:ind w:firstLine="556"/>
        <w:rPr>
          <w:rFonts w:ascii="楷体_GB2312" w:eastAsia="楷体_GB2312" w:cs="楷体_GB2312"/>
          <w:b/>
          <w:bCs/>
          <w:sz w:val="32"/>
          <w:szCs w:val="32"/>
        </w:rPr>
      </w:pPr>
      <w:r>
        <w:rPr>
          <w:rFonts w:hint="eastAsia" w:ascii="楷体_GB2312" w:eastAsia="楷体_GB2312" w:cs="楷体_GB2312"/>
          <w:b/>
          <w:bCs/>
          <w:sz w:val="32"/>
          <w:szCs w:val="32"/>
        </w:rPr>
        <w:t>（六）国有资产占用情况说明</w:t>
      </w:r>
    </w:p>
    <w:p>
      <w:pPr>
        <w:spacing w:line="560" w:lineRule="exact"/>
        <w:ind w:firstLine="556"/>
        <w:rPr>
          <w:rFonts w:ascii="仿宋_GB2312" w:hAnsi="宋体" w:eastAsia="仿宋_GB2312" w:cs="宋体"/>
          <w:sz w:val="32"/>
          <w:szCs w:val="32"/>
        </w:rPr>
      </w:pPr>
      <w:r>
        <w:rPr>
          <w:rFonts w:hint="eastAsia" w:ascii="仿宋_GB2312" w:hAnsi="宋体" w:eastAsia="仿宋_GB2312" w:cs="宋体"/>
          <w:sz w:val="32"/>
          <w:szCs w:val="32"/>
        </w:rPr>
        <w:t>截止</w:t>
      </w:r>
      <w:r>
        <w:rPr>
          <w:rFonts w:hint="eastAsia" w:ascii="仿宋_GB2312" w:hAnsi="宋体" w:eastAsia="仿宋_GB2312" w:cs="宋体"/>
          <w:sz w:val="32"/>
          <w:szCs w:val="32"/>
          <w:lang w:eastAsia="zh-CN"/>
        </w:rPr>
        <w:t>2023</w:t>
      </w:r>
      <w:r>
        <w:rPr>
          <w:rFonts w:hint="eastAsia" w:ascii="仿宋_GB2312" w:hAnsi="宋体" w:eastAsia="仿宋_GB2312" w:cs="宋体"/>
          <w:sz w:val="32"/>
          <w:szCs w:val="32"/>
        </w:rPr>
        <w:t>年底，本部门固定资产原值总额</w:t>
      </w:r>
      <w:r>
        <w:rPr>
          <w:rFonts w:hint="eastAsia" w:ascii="仿宋_GB2312" w:hAnsi="宋体" w:eastAsia="仿宋_GB2312" w:cs="宋体"/>
          <w:sz w:val="32"/>
          <w:szCs w:val="32"/>
          <w:lang w:val="en-US" w:eastAsia="zh-CN"/>
        </w:rPr>
        <w:t>10073.85</w:t>
      </w:r>
      <w:r>
        <w:rPr>
          <w:rFonts w:hint="eastAsia" w:ascii="仿宋_GB2312" w:hAnsi="宋体" w:eastAsia="仿宋_GB2312" w:cs="宋体"/>
          <w:sz w:val="32"/>
          <w:szCs w:val="32"/>
        </w:rPr>
        <w:t>万元，其中：车辆1台，原值16.42万元；单位价值50万元以上的通用设备4台（套），原值总额290.49万元，单位价值100万元以上的专用设备0台（套）、0万元。</w:t>
      </w:r>
    </w:p>
    <w:p>
      <w:pPr>
        <w:spacing w:line="560" w:lineRule="exact"/>
        <w:ind w:firstLine="556"/>
        <w:rPr>
          <w:rFonts w:ascii="仿宋_GB2312" w:hAnsi="宋体" w:eastAsia="仿宋_GB2312" w:cs="宋体"/>
          <w:sz w:val="32"/>
          <w:szCs w:val="32"/>
        </w:rPr>
      </w:pPr>
      <w:r>
        <w:rPr>
          <w:rFonts w:hint="eastAsia" w:ascii="仿宋_GB2312" w:hAnsi="宋体" w:eastAsia="仿宋_GB2312" w:cs="宋体"/>
          <w:sz w:val="32"/>
          <w:szCs w:val="32"/>
          <w:lang w:eastAsia="zh-CN"/>
        </w:rPr>
        <w:t>2024</w:t>
      </w:r>
      <w:r>
        <w:rPr>
          <w:rFonts w:hint="eastAsia" w:ascii="仿宋_GB2312" w:hAnsi="宋体" w:eastAsia="仿宋_GB2312" w:cs="宋体"/>
          <w:sz w:val="32"/>
          <w:szCs w:val="32"/>
        </w:rPr>
        <w:t>年部门预算：安排购置车辆0台，0万元；安排购置单位价值50万元以上的通用设备0台（套），0万元，安排购置单位价值100万元以上的专用设备0台（套），0万元。</w:t>
      </w:r>
    </w:p>
    <w:p>
      <w:pPr>
        <w:spacing w:line="560" w:lineRule="exact"/>
        <w:ind w:firstLine="555"/>
        <w:outlineLvl w:val="0"/>
        <w:rPr>
          <w:rFonts w:ascii="黑体" w:hAnsi="黑体" w:eastAsia="黑体" w:cs="黑体"/>
          <w:sz w:val="32"/>
          <w:szCs w:val="32"/>
        </w:rPr>
      </w:pPr>
      <w:r>
        <w:rPr>
          <w:rFonts w:hint="eastAsia" w:ascii="黑体" w:hAnsi="黑体" w:eastAsia="黑体" w:cs="黑体"/>
          <w:sz w:val="32"/>
          <w:szCs w:val="32"/>
        </w:rPr>
        <w:t>六、名称解释</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360" w:lineRule="auto"/>
        <w:rPr>
          <w:rFonts w:ascii="仿宋_GB2312" w:eastAsia="仿宋_GB2312"/>
          <w:w w:val="90"/>
        </w:rPr>
      </w:pPr>
    </w:p>
    <w:sectPr>
      <w:footerReference r:id="rId3" w:type="default"/>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2010609060101010101"/>
    <w:charset w:val="00"/>
    <w:family w:val="swiss"/>
    <w:pitch w:val="default"/>
    <w:sig w:usb0="00000000" w:usb1="00000000" w:usb2="00000000" w:usb3="00000000" w:csb0="0000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8</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17"/>
    <w:rsid w:val="00001FD7"/>
    <w:rsid w:val="00002E40"/>
    <w:rsid w:val="0000389E"/>
    <w:rsid w:val="000065A2"/>
    <w:rsid w:val="000103E9"/>
    <w:rsid w:val="0001132D"/>
    <w:rsid w:val="00012A56"/>
    <w:rsid w:val="00016A58"/>
    <w:rsid w:val="00017AEE"/>
    <w:rsid w:val="0002582B"/>
    <w:rsid w:val="00031D14"/>
    <w:rsid w:val="00035DE7"/>
    <w:rsid w:val="0004103D"/>
    <w:rsid w:val="00043ABC"/>
    <w:rsid w:val="000455FE"/>
    <w:rsid w:val="00050955"/>
    <w:rsid w:val="00052A4E"/>
    <w:rsid w:val="000539FA"/>
    <w:rsid w:val="0005451B"/>
    <w:rsid w:val="00054F48"/>
    <w:rsid w:val="00055CF9"/>
    <w:rsid w:val="00055FE3"/>
    <w:rsid w:val="00057369"/>
    <w:rsid w:val="00057441"/>
    <w:rsid w:val="00060B0B"/>
    <w:rsid w:val="00063A6A"/>
    <w:rsid w:val="0006599D"/>
    <w:rsid w:val="00067169"/>
    <w:rsid w:val="00071C48"/>
    <w:rsid w:val="00072BB8"/>
    <w:rsid w:val="0007492B"/>
    <w:rsid w:val="00074F48"/>
    <w:rsid w:val="0008093D"/>
    <w:rsid w:val="00080E73"/>
    <w:rsid w:val="0008111C"/>
    <w:rsid w:val="000813AF"/>
    <w:rsid w:val="00081A5B"/>
    <w:rsid w:val="00083868"/>
    <w:rsid w:val="00092F89"/>
    <w:rsid w:val="00097846"/>
    <w:rsid w:val="000A0D77"/>
    <w:rsid w:val="000A12C3"/>
    <w:rsid w:val="000A1DE2"/>
    <w:rsid w:val="000A44E1"/>
    <w:rsid w:val="000B0461"/>
    <w:rsid w:val="000B59D9"/>
    <w:rsid w:val="000C02CA"/>
    <w:rsid w:val="000C27EB"/>
    <w:rsid w:val="000C7516"/>
    <w:rsid w:val="000D3390"/>
    <w:rsid w:val="000D774E"/>
    <w:rsid w:val="000E3E73"/>
    <w:rsid w:val="000E70FE"/>
    <w:rsid w:val="000F3AB3"/>
    <w:rsid w:val="000F59B2"/>
    <w:rsid w:val="000F673D"/>
    <w:rsid w:val="000F72D1"/>
    <w:rsid w:val="000F7629"/>
    <w:rsid w:val="000F7C38"/>
    <w:rsid w:val="0010291D"/>
    <w:rsid w:val="00103710"/>
    <w:rsid w:val="001054AB"/>
    <w:rsid w:val="001067D1"/>
    <w:rsid w:val="00114FB3"/>
    <w:rsid w:val="00117E5E"/>
    <w:rsid w:val="00120FEB"/>
    <w:rsid w:val="001376E9"/>
    <w:rsid w:val="00137D39"/>
    <w:rsid w:val="00144088"/>
    <w:rsid w:val="00145124"/>
    <w:rsid w:val="0015053A"/>
    <w:rsid w:val="00155E88"/>
    <w:rsid w:val="00157C4D"/>
    <w:rsid w:val="00170185"/>
    <w:rsid w:val="001704ED"/>
    <w:rsid w:val="0017596A"/>
    <w:rsid w:val="00181B6B"/>
    <w:rsid w:val="00183FDD"/>
    <w:rsid w:val="00186B0F"/>
    <w:rsid w:val="00191628"/>
    <w:rsid w:val="00192F21"/>
    <w:rsid w:val="00194B7A"/>
    <w:rsid w:val="001A0FFC"/>
    <w:rsid w:val="001A3358"/>
    <w:rsid w:val="001A37C8"/>
    <w:rsid w:val="001A50FE"/>
    <w:rsid w:val="001A7A6A"/>
    <w:rsid w:val="001B05DC"/>
    <w:rsid w:val="001B0B76"/>
    <w:rsid w:val="001B419B"/>
    <w:rsid w:val="001B66FA"/>
    <w:rsid w:val="001C0497"/>
    <w:rsid w:val="001C09E4"/>
    <w:rsid w:val="001C0B42"/>
    <w:rsid w:val="001C4A00"/>
    <w:rsid w:val="001C4B45"/>
    <w:rsid w:val="001C67F3"/>
    <w:rsid w:val="001D1633"/>
    <w:rsid w:val="001D21EA"/>
    <w:rsid w:val="001E25F7"/>
    <w:rsid w:val="001E2D09"/>
    <w:rsid w:val="001E3807"/>
    <w:rsid w:val="001E4BC4"/>
    <w:rsid w:val="001F164D"/>
    <w:rsid w:val="001F2AB9"/>
    <w:rsid w:val="001F5459"/>
    <w:rsid w:val="00203A0B"/>
    <w:rsid w:val="00207449"/>
    <w:rsid w:val="00222D61"/>
    <w:rsid w:val="0022567B"/>
    <w:rsid w:val="0023127D"/>
    <w:rsid w:val="00245F76"/>
    <w:rsid w:val="0025518E"/>
    <w:rsid w:val="002571EC"/>
    <w:rsid w:val="00261348"/>
    <w:rsid w:val="00266362"/>
    <w:rsid w:val="002722A3"/>
    <w:rsid w:val="0027346C"/>
    <w:rsid w:val="00275539"/>
    <w:rsid w:val="002765DF"/>
    <w:rsid w:val="00281C23"/>
    <w:rsid w:val="00283165"/>
    <w:rsid w:val="002872A0"/>
    <w:rsid w:val="0029412D"/>
    <w:rsid w:val="002974BE"/>
    <w:rsid w:val="0029793D"/>
    <w:rsid w:val="002A0046"/>
    <w:rsid w:val="002A0688"/>
    <w:rsid w:val="002A0C5F"/>
    <w:rsid w:val="002A6CBF"/>
    <w:rsid w:val="002B6D3D"/>
    <w:rsid w:val="002C7922"/>
    <w:rsid w:val="002D0D63"/>
    <w:rsid w:val="002D48C8"/>
    <w:rsid w:val="002D5AF1"/>
    <w:rsid w:val="002D73E9"/>
    <w:rsid w:val="002E0F74"/>
    <w:rsid w:val="002E59D2"/>
    <w:rsid w:val="002E78E1"/>
    <w:rsid w:val="002F48B1"/>
    <w:rsid w:val="002F5104"/>
    <w:rsid w:val="00307AEC"/>
    <w:rsid w:val="003116BB"/>
    <w:rsid w:val="00311788"/>
    <w:rsid w:val="00317E1D"/>
    <w:rsid w:val="00323AB6"/>
    <w:rsid w:val="00333974"/>
    <w:rsid w:val="003362A8"/>
    <w:rsid w:val="003503CB"/>
    <w:rsid w:val="00357FEF"/>
    <w:rsid w:val="00363A5B"/>
    <w:rsid w:val="00364C53"/>
    <w:rsid w:val="00370EA1"/>
    <w:rsid w:val="0037185C"/>
    <w:rsid w:val="00372057"/>
    <w:rsid w:val="00377525"/>
    <w:rsid w:val="00377EE5"/>
    <w:rsid w:val="0038037E"/>
    <w:rsid w:val="0038157F"/>
    <w:rsid w:val="003843CA"/>
    <w:rsid w:val="003855D7"/>
    <w:rsid w:val="00386486"/>
    <w:rsid w:val="00390438"/>
    <w:rsid w:val="00391F84"/>
    <w:rsid w:val="003951FE"/>
    <w:rsid w:val="003A193A"/>
    <w:rsid w:val="003A1BE0"/>
    <w:rsid w:val="003B31F8"/>
    <w:rsid w:val="003B4D85"/>
    <w:rsid w:val="003B6F92"/>
    <w:rsid w:val="003B77B3"/>
    <w:rsid w:val="003C017B"/>
    <w:rsid w:val="003C076C"/>
    <w:rsid w:val="003C0B65"/>
    <w:rsid w:val="003C2AC1"/>
    <w:rsid w:val="003C2CD5"/>
    <w:rsid w:val="003C3725"/>
    <w:rsid w:val="003C55FB"/>
    <w:rsid w:val="003C7953"/>
    <w:rsid w:val="003D1934"/>
    <w:rsid w:val="003D4618"/>
    <w:rsid w:val="003D525A"/>
    <w:rsid w:val="003D6737"/>
    <w:rsid w:val="003D7C11"/>
    <w:rsid w:val="003E0DF2"/>
    <w:rsid w:val="003F11FC"/>
    <w:rsid w:val="00400D61"/>
    <w:rsid w:val="00402106"/>
    <w:rsid w:val="0040383E"/>
    <w:rsid w:val="00407AA2"/>
    <w:rsid w:val="00415736"/>
    <w:rsid w:val="00420323"/>
    <w:rsid w:val="004219AE"/>
    <w:rsid w:val="004234DE"/>
    <w:rsid w:val="00432036"/>
    <w:rsid w:val="0043510C"/>
    <w:rsid w:val="0043537E"/>
    <w:rsid w:val="00435574"/>
    <w:rsid w:val="00442D93"/>
    <w:rsid w:val="004553BE"/>
    <w:rsid w:val="00455DFC"/>
    <w:rsid w:val="00463616"/>
    <w:rsid w:val="00464218"/>
    <w:rsid w:val="00464638"/>
    <w:rsid w:val="00466F22"/>
    <w:rsid w:val="00467494"/>
    <w:rsid w:val="00470C5A"/>
    <w:rsid w:val="004747BB"/>
    <w:rsid w:val="00476BED"/>
    <w:rsid w:val="0047768B"/>
    <w:rsid w:val="00481002"/>
    <w:rsid w:val="00495B13"/>
    <w:rsid w:val="004A0038"/>
    <w:rsid w:val="004A4BBF"/>
    <w:rsid w:val="004A62E6"/>
    <w:rsid w:val="004A7AE6"/>
    <w:rsid w:val="004B105A"/>
    <w:rsid w:val="004B28E6"/>
    <w:rsid w:val="004B44B9"/>
    <w:rsid w:val="004B4B66"/>
    <w:rsid w:val="004B6EA9"/>
    <w:rsid w:val="004B713C"/>
    <w:rsid w:val="004B7B69"/>
    <w:rsid w:val="004C09AC"/>
    <w:rsid w:val="004C4810"/>
    <w:rsid w:val="004C5ACE"/>
    <w:rsid w:val="004D195B"/>
    <w:rsid w:val="004E2FCD"/>
    <w:rsid w:val="004E3DB5"/>
    <w:rsid w:val="004E425E"/>
    <w:rsid w:val="004E62FE"/>
    <w:rsid w:val="004F0DA0"/>
    <w:rsid w:val="004F1FEF"/>
    <w:rsid w:val="0050201D"/>
    <w:rsid w:val="005020F8"/>
    <w:rsid w:val="00502D17"/>
    <w:rsid w:val="00504065"/>
    <w:rsid w:val="005065D2"/>
    <w:rsid w:val="00507F25"/>
    <w:rsid w:val="0051099C"/>
    <w:rsid w:val="00513718"/>
    <w:rsid w:val="00515838"/>
    <w:rsid w:val="005164C7"/>
    <w:rsid w:val="00525933"/>
    <w:rsid w:val="0052676A"/>
    <w:rsid w:val="0053018F"/>
    <w:rsid w:val="00543E1C"/>
    <w:rsid w:val="005504FF"/>
    <w:rsid w:val="00550612"/>
    <w:rsid w:val="0055284D"/>
    <w:rsid w:val="00555309"/>
    <w:rsid w:val="00556D5E"/>
    <w:rsid w:val="0056264F"/>
    <w:rsid w:val="005655B3"/>
    <w:rsid w:val="00566E35"/>
    <w:rsid w:val="00570213"/>
    <w:rsid w:val="00570287"/>
    <w:rsid w:val="0057350B"/>
    <w:rsid w:val="00574208"/>
    <w:rsid w:val="00574828"/>
    <w:rsid w:val="00581A69"/>
    <w:rsid w:val="005827C5"/>
    <w:rsid w:val="00582F95"/>
    <w:rsid w:val="005861DC"/>
    <w:rsid w:val="005864F5"/>
    <w:rsid w:val="00587B5C"/>
    <w:rsid w:val="0059730D"/>
    <w:rsid w:val="005A0F5C"/>
    <w:rsid w:val="005A259F"/>
    <w:rsid w:val="005A33C0"/>
    <w:rsid w:val="005A36FD"/>
    <w:rsid w:val="005A397D"/>
    <w:rsid w:val="005A5CE7"/>
    <w:rsid w:val="005B0B06"/>
    <w:rsid w:val="005B2382"/>
    <w:rsid w:val="005B3A32"/>
    <w:rsid w:val="005B5637"/>
    <w:rsid w:val="005B7E80"/>
    <w:rsid w:val="005C08E8"/>
    <w:rsid w:val="005C2FB9"/>
    <w:rsid w:val="005C39F1"/>
    <w:rsid w:val="005C67F2"/>
    <w:rsid w:val="005D50FD"/>
    <w:rsid w:val="005E1A0C"/>
    <w:rsid w:val="005E2D23"/>
    <w:rsid w:val="005E5138"/>
    <w:rsid w:val="005E519F"/>
    <w:rsid w:val="005F276A"/>
    <w:rsid w:val="005F6926"/>
    <w:rsid w:val="00603648"/>
    <w:rsid w:val="006075A8"/>
    <w:rsid w:val="00611BB2"/>
    <w:rsid w:val="00612659"/>
    <w:rsid w:val="00622485"/>
    <w:rsid w:val="006236AE"/>
    <w:rsid w:val="006237B5"/>
    <w:rsid w:val="00626AA6"/>
    <w:rsid w:val="00630D13"/>
    <w:rsid w:val="00630FAA"/>
    <w:rsid w:val="006335D1"/>
    <w:rsid w:val="00644753"/>
    <w:rsid w:val="00645A2A"/>
    <w:rsid w:val="00646DE7"/>
    <w:rsid w:val="00650EBD"/>
    <w:rsid w:val="00652DBF"/>
    <w:rsid w:val="006543AD"/>
    <w:rsid w:val="0065453F"/>
    <w:rsid w:val="00660F5C"/>
    <w:rsid w:val="006629F5"/>
    <w:rsid w:val="00664C72"/>
    <w:rsid w:val="006654B3"/>
    <w:rsid w:val="00666126"/>
    <w:rsid w:val="006667EC"/>
    <w:rsid w:val="00681AF7"/>
    <w:rsid w:val="006826B9"/>
    <w:rsid w:val="00683370"/>
    <w:rsid w:val="006847C8"/>
    <w:rsid w:val="00684FD6"/>
    <w:rsid w:val="0069553B"/>
    <w:rsid w:val="006975CD"/>
    <w:rsid w:val="006A2A88"/>
    <w:rsid w:val="006A379B"/>
    <w:rsid w:val="006A6A36"/>
    <w:rsid w:val="006A7A01"/>
    <w:rsid w:val="006B21CE"/>
    <w:rsid w:val="006B7C30"/>
    <w:rsid w:val="006D0265"/>
    <w:rsid w:val="006D08C7"/>
    <w:rsid w:val="006D4E45"/>
    <w:rsid w:val="006D640C"/>
    <w:rsid w:val="006E5F91"/>
    <w:rsid w:val="006F133C"/>
    <w:rsid w:val="006F2FB5"/>
    <w:rsid w:val="007012FA"/>
    <w:rsid w:val="007061F5"/>
    <w:rsid w:val="0071540A"/>
    <w:rsid w:val="007165FB"/>
    <w:rsid w:val="007167C8"/>
    <w:rsid w:val="0072095D"/>
    <w:rsid w:val="007213FA"/>
    <w:rsid w:val="00731D0E"/>
    <w:rsid w:val="00733468"/>
    <w:rsid w:val="0073719A"/>
    <w:rsid w:val="00740500"/>
    <w:rsid w:val="00740C92"/>
    <w:rsid w:val="007412CF"/>
    <w:rsid w:val="00742333"/>
    <w:rsid w:val="0074574D"/>
    <w:rsid w:val="0075453C"/>
    <w:rsid w:val="0076420C"/>
    <w:rsid w:val="00765A16"/>
    <w:rsid w:val="0077439C"/>
    <w:rsid w:val="00774620"/>
    <w:rsid w:val="00777889"/>
    <w:rsid w:val="007819DD"/>
    <w:rsid w:val="0078532A"/>
    <w:rsid w:val="00791889"/>
    <w:rsid w:val="007A11A3"/>
    <w:rsid w:val="007A1B37"/>
    <w:rsid w:val="007A2DBB"/>
    <w:rsid w:val="007A460B"/>
    <w:rsid w:val="007A4FEF"/>
    <w:rsid w:val="007A501F"/>
    <w:rsid w:val="007A6F2E"/>
    <w:rsid w:val="007A7D00"/>
    <w:rsid w:val="007B078C"/>
    <w:rsid w:val="007B0C58"/>
    <w:rsid w:val="007B4EF2"/>
    <w:rsid w:val="007B6141"/>
    <w:rsid w:val="007C06CD"/>
    <w:rsid w:val="007C4C08"/>
    <w:rsid w:val="007C51D2"/>
    <w:rsid w:val="007D0E6A"/>
    <w:rsid w:val="007D3758"/>
    <w:rsid w:val="007D6139"/>
    <w:rsid w:val="007E0EF1"/>
    <w:rsid w:val="007E4F26"/>
    <w:rsid w:val="00800578"/>
    <w:rsid w:val="00802AD6"/>
    <w:rsid w:val="00816AEE"/>
    <w:rsid w:val="00817B04"/>
    <w:rsid w:val="00820181"/>
    <w:rsid w:val="00821342"/>
    <w:rsid w:val="008227B1"/>
    <w:rsid w:val="008260CE"/>
    <w:rsid w:val="0083427F"/>
    <w:rsid w:val="00843AFD"/>
    <w:rsid w:val="00844E3B"/>
    <w:rsid w:val="0084594B"/>
    <w:rsid w:val="00846079"/>
    <w:rsid w:val="00846A88"/>
    <w:rsid w:val="0084774E"/>
    <w:rsid w:val="00854A82"/>
    <w:rsid w:val="00856A12"/>
    <w:rsid w:val="008570B2"/>
    <w:rsid w:val="00857DDD"/>
    <w:rsid w:val="00860578"/>
    <w:rsid w:val="008631B9"/>
    <w:rsid w:val="0086639C"/>
    <w:rsid w:val="00872B1B"/>
    <w:rsid w:val="00872D0A"/>
    <w:rsid w:val="00874B5B"/>
    <w:rsid w:val="00880A5F"/>
    <w:rsid w:val="0088108D"/>
    <w:rsid w:val="00885D44"/>
    <w:rsid w:val="00885F03"/>
    <w:rsid w:val="00886A6A"/>
    <w:rsid w:val="00890F9D"/>
    <w:rsid w:val="008979C0"/>
    <w:rsid w:val="00897C80"/>
    <w:rsid w:val="008A4B4D"/>
    <w:rsid w:val="008B1D23"/>
    <w:rsid w:val="008C4A53"/>
    <w:rsid w:val="008C5465"/>
    <w:rsid w:val="008D07FB"/>
    <w:rsid w:val="008E5E56"/>
    <w:rsid w:val="008F2B80"/>
    <w:rsid w:val="008F4152"/>
    <w:rsid w:val="008F470E"/>
    <w:rsid w:val="008F7ACC"/>
    <w:rsid w:val="00905925"/>
    <w:rsid w:val="0090693B"/>
    <w:rsid w:val="009100B7"/>
    <w:rsid w:val="009149EB"/>
    <w:rsid w:val="00914D95"/>
    <w:rsid w:val="00916326"/>
    <w:rsid w:val="009163B5"/>
    <w:rsid w:val="009168AC"/>
    <w:rsid w:val="00920036"/>
    <w:rsid w:val="00921E8D"/>
    <w:rsid w:val="009221AD"/>
    <w:rsid w:val="00923053"/>
    <w:rsid w:val="00924361"/>
    <w:rsid w:val="00924F0A"/>
    <w:rsid w:val="00926C40"/>
    <w:rsid w:val="00930E44"/>
    <w:rsid w:val="00930F3A"/>
    <w:rsid w:val="00930F3D"/>
    <w:rsid w:val="009339C8"/>
    <w:rsid w:val="00933E36"/>
    <w:rsid w:val="0093452E"/>
    <w:rsid w:val="00934967"/>
    <w:rsid w:val="009412AF"/>
    <w:rsid w:val="0094604C"/>
    <w:rsid w:val="00947D17"/>
    <w:rsid w:val="00950C4F"/>
    <w:rsid w:val="00964C26"/>
    <w:rsid w:val="009679F9"/>
    <w:rsid w:val="00967CE5"/>
    <w:rsid w:val="00973ABB"/>
    <w:rsid w:val="00982706"/>
    <w:rsid w:val="00987D62"/>
    <w:rsid w:val="00991AAA"/>
    <w:rsid w:val="009A135A"/>
    <w:rsid w:val="009A33BC"/>
    <w:rsid w:val="009A69AE"/>
    <w:rsid w:val="009B13FB"/>
    <w:rsid w:val="009B5428"/>
    <w:rsid w:val="009C039B"/>
    <w:rsid w:val="009C0B11"/>
    <w:rsid w:val="009C5A87"/>
    <w:rsid w:val="009C5B21"/>
    <w:rsid w:val="009C7F2A"/>
    <w:rsid w:val="009D3E09"/>
    <w:rsid w:val="009D549F"/>
    <w:rsid w:val="009E11F9"/>
    <w:rsid w:val="009E424B"/>
    <w:rsid w:val="009E66A4"/>
    <w:rsid w:val="009E7386"/>
    <w:rsid w:val="009F2ECA"/>
    <w:rsid w:val="00A01CF1"/>
    <w:rsid w:val="00A034A5"/>
    <w:rsid w:val="00A04612"/>
    <w:rsid w:val="00A072F1"/>
    <w:rsid w:val="00A10EDD"/>
    <w:rsid w:val="00A13EC7"/>
    <w:rsid w:val="00A201E5"/>
    <w:rsid w:val="00A2198E"/>
    <w:rsid w:val="00A23014"/>
    <w:rsid w:val="00A2316D"/>
    <w:rsid w:val="00A24EC3"/>
    <w:rsid w:val="00A26DBA"/>
    <w:rsid w:val="00A270D0"/>
    <w:rsid w:val="00A30484"/>
    <w:rsid w:val="00A31874"/>
    <w:rsid w:val="00A33506"/>
    <w:rsid w:val="00A33D9D"/>
    <w:rsid w:val="00A404F3"/>
    <w:rsid w:val="00A41B12"/>
    <w:rsid w:val="00A431CF"/>
    <w:rsid w:val="00A44211"/>
    <w:rsid w:val="00A46FB2"/>
    <w:rsid w:val="00A51CFD"/>
    <w:rsid w:val="00A56812"/>
    <w:rsid w:val="00A56A3A"/>
    <w:rsid w:val="00A613A3"/>
    <w:rsid w:val="00A614E2"/>
    <w:rsid w:val="00A64D39"/>
    <w:rsid w:val="00A6571A"/>
    <w:rsid w:val="00A66C2E"/>
    <w:rsid w:val="00A70A08"/>
    <w:rsid w:val="00A76A08"/>
    <w:rsid w:val="00A77714"/>
    <w:rsid w:val="00A800B9"/>
    <w:rsid w:val="00A9037A"/>
    <w:rsid w:val="00A96769"/>
    <w:rsid w:val="00A97758"/>
    <w:rsid w:val="00A97933"/>
    <w:rsid w:val="00AA35BD"/>
    <w:rsid w:val="00AA5DE3"/>
    <w:rsid w:val="00AB2307"/>
    <w:rsid w:val="00AB52BF"/>
    <w:rsid w:val="00AB6B10"/>
    <w:rsid w:val="00AC035E"/>
    <w:rsid w:val="00AC057D"/>
    <w:rsid w:val="00AC35F3"/>
    <w:rsid w:val="00AC4539"/>
    <w:rsid w:val="00AD47AB"/>
    <w:rsid w:val="00AD5F26"/>
    <w:rsid w:val="00AE4D3D"/>
    <w:rsid w:val="00AF0096"/>
    <w:rsid w:val="00B00A76"/>
    <w:rsid w:val="00B01028"/>
    <w:rsid w:val="00B02380"/>
    <w:rsid w:val="00B0352C"/>
    <w:rsid w:val="00B04A8C"/>
    <w:rsid w:val="00B04E08"/>
    <w:rsid w:val="00B05014"/>
    <w:rsid w:val="00B153A5"/>
    <w:rsid w:val="00B16DD5"/>
    <w:rsid w:val="00B16EA9"/>
    <w:rsid w:val="00B214C5"/>
    <w:rsid w:val="00B241AD"/>
    <w:rsid w:val="00B24C01"/>
    <w:rsid w:val="00B252C9"/>
    <w:rsid w:val="00B320DE"/>
    <w:rsid w:val="00B42D91"/>
    <w:rsid w:val="00B4358E"/>
    <w:rsid w:val="00B446BE"/>
    <w:rsid w:val="00B453F2"/>
    <w:rsid w:val="00B46BC6"/>
    <w:rsid w:val="00B50494"/>
    <w:rsid w:val="00B50D73"/>
    <w:rsid w:val="00B54761"/>
    <w:rsid w:val="00B56F23"/>
    <w:rsid w:val="00B61825"/>
    <w:rsid w:val="00B656D5"/>
    <w:rsid w:val="00B71BF5"/>
    <w:rsid w:val="00B73492"/>
    <w:rsid w:val="00B8363A"/>
    <w:rsid w:val="00B91283"/>
    <w:rsid w:val="00B951F2"/>
    <w:rsid w:val="00B978A0"/>
    <w:rsid w:val="00BA0A1C"/>
    <w:rsid w:val="00BA287A"/>
    <w:rsid w:val="00BA3F8C"/>
    <w:rsid w:val="00BA554D"/>
    <w:rsid w:val="00BA5FF1"/>
    <w:rsid w:val="00BA600F"/>
    <w:rsid w:val="00BB1BCB"/>
    <w:rsid w:val="00BB38EB"/>
    <w:rsid w:val="00BB5422"/>
    <w:rsid w:val="00BC18EA"/>
    <w:rsid w:val="00BC5A24"/>
    <w:rsid w:val="00BD488A"/>
    <w:rsid w:val="00BD76BF"/>
    <w:rsid w:val="00BE0F5C"/>
    <w:rsid w:val="00BE577A"/>
    <w:rsid w:val="00BE7B59"/>
    <w:rsid w:val="00BF2F0F"/>
    <w:rsid w:val="00BF5D9A"/>
    <w:rsid w:val="00BF7549"/>
    <w:rsid w:val="00C065F2"/>
    <w:rsid w:val="00C11A7A"/>
    <w:rsid w:val="00C12598"/>
    <w:rsid w:val="00C12BC4"/>
    <w:rsid w:val="00C15261"/>
    <w:rsid w:val="00C15612"/>
    <w:rsid w:val="00C15AAC"/>
    <w:rsid w:val="00C15F30"/>
    <w:rsid w:val="00C1683E"/>
    <w:rsid w:val="00C20DA0"/>
    <w:rsid w:val="00C21C16"/>
    <w:rsid w:val="00C23979"/>
    <w:rsid w:val="00C31242"/>
    <w:rsid w:val="00C32AFD"/>
    <w:rsid w:val="00C3432C"/>
    <w:rsid w:val="00C376ED"/>
    <w:rsid w:val="00C37C5D"/>
    <w:rsid w:val="00C43317"/>
    <w:rsid w:val="00C45C48"/>
    <w:rsid w:val="00C46C07"/>
    <w:rsid w:val="00C62A10"/>
    <w:rsid w:val="00C70F90"/>
    <w:rsid w:val="00C741A1"/>
    <w:rsid w:val="00C7532C"/>
    <w:rsid w:val="00C80B8B"/>
    <w:rsid w:val="00C80BF7"/>
    <w:rsid w:val="00C817D2"/>
    <w:rsid w:val="00C84197"/>
    <w:rsid w:val="00C84898"/>
    <w:rsid w:val="00C85747"/>
    <w:rsid w:val="00C8720C"/>
    <w:rsid w:val="00C875F2"/>
    <w:rsid w:val="00C91AE2"/>
    <w:rsid w:val="00C9272E"/>
    <w:rsid w:val="00C929B2"/>
    <w:rsid w:val="00C97071"/>
    <w:rsid w:val="00CA2B31"/>
    <w:rsid w:val="00CA3689"/>
    <w:rsid w:val="00CB2084"/>
    <w:rsid w:val="00CB464F"/>
    <w:rsid w:val="00CC0995"/>
    <w:rsid w:val="00CC2043"/>
    <w:rsid w:val="00CC618B"/>
    <w:rsid w:val="00CF136E"/>
    <w:rsid w:val="00CF1DFD"/>
    <w:rsid w:val="00CF5232"/>
    <w:rsid w:val="00CF64F0"/>
    <w:rsid w:val="00CF6DCD"/>
    <w:rsid w:val="00CF7339"/>
    <w:rsid w:val="00D00BFF"/>
    <w:rsid w:val="00D0251B"/>
    <w:rsid w:val="00D02B4B"/>
    <w:rsid w:val="00D03A48"/>
    <w:rsid w:val="00D158E3"/>
    <w:rsid w:val="00D1718A"/>
    <w:rsid w:val="00D203EA"/>
    <w:rsid w:val="00D2060E"/>
    <w:rsid w:val="00D21C0B"/>
    <w:rsid w:val="00D223E5"/>
    <w:rsid w:val="00D233E0"/>
    <w:rsid w:val="00D237E8"/>
    <w:rsid w:val="00D25753"/>
    <w:rsid w:val="00D25D22"/>
    <w:rsid w:val="00D27771"/>
    <w:rsid w:val="00D37FC5"/>
    <w:rsid w:val="00D46BB6"/>
    <w:rsid w:val="00D50D37"/>
    <w:rsid w:val="00D54DF3"/>
    <w:rsid w:val="00D636C5"/>
    <w:rsid w:val="00D76AEC"/>
    <w:rsid w:val="00D779D3"/>
    <w:rsid w:val="00D803B9"/>
    <w:rsid w:val="00D806B5"/>
    <w:rsid w:val="00D81520"/>
    <w:rsid w:val="00D84958"/>
    <w:rsid w:val="00D85308"/>
    <w:rsid w:val="00D861F6"/>
    <w:rsid w:val="00D97204"/>
    <w:rsid w:val="00DA1919"/>
    <w:rsid w:val="00DA4C4A"/>
    <w:rsid w:val="00DA5DDD"/>
    <w:rsid w:val="00DB6A7B"/>
    <w:rsid w:val="00DB7CE5"/>
    <w:rsid w:val="00DC3413"/>
    <w:rsid w:val="00DC5A6C"/>
    <w:rsid w:val="00DC61D7"/>
    <w:rsid w:val="00DD0F4D"/>
    <w:rsid w:val="00DD5BB8"/>
    <w:rsid w:val="00DE2F3E"/>
    <w:rsid w:val="00DE3BB2"/>
    <w:rsid w:val="00DE7C73"/>
    <w:rsid w:val="00DF1BD1"/>
    <w:rsid w:val="00DF439E"/>
    <w:rsid w:val="00E037E9"/>
    <w:rsid w:val="00E0428E"/>
    <w:rsid w:val="00E11F0E"/>
    <w:rsid w:val="00E125BB"/>
    <w:rsid w:val="00E159E4"/>
    <w:rsid w:val="00E16290"/>
    <w:rsid w:val="00E25847"/>
    <w:rsid w:val="00E25882"/>
    <w:rsid w:val="00E27159"/>
    <w:rsid w:val="00E31103"/>
    <w:rsid w:val="00E31A35"/>
    <w:rsid w:val="00E360FC"/>
    <w:rsid w:val="00E37BD9"/>
    <w:rsid w:val="00E406F8"/>
    <w:rsid w:val="00E4141D"/>
    <w:rsid w:val="00E439EB"/>
    <w:rsid w:val="00E43C63"/>
    <w:rsid w:val="00E44E8E"/>
    <w:rsid w:val="00E5196B"/>
    <w:rsid w:val="00E53CFD"/>
    <w:rsid w:val="00E54A0F"/>
    <w:rsid w:val="00E5545E"/>
    <w:rsid w:val="00E5658D"/>
    <w:rsid w:val="00E60969"/>
    <w:rsid w:val="00E62D58"/>
    <w:rsid w:val="00E64046"/>
    <w:rsid w:val="00E65917"/>
    <w:rsid w:val="00E70B08"/>
    <w:rsid w:val="00E735F1"/>
    <w:rsid w:val="00E74D68"/>
    <w:rsid w:val="00E74F8E"/>
    <w:rsid w:val="00E76563"/>
    <w:rsid w:val="00E77B87"/>
    <w:rsid w:val="00E82AF3"/>
    <w:rsid w:val="00E85472"/>
    <w:rsid w:val="00E86665"/>
    <w:rsid w:val="00E8668A"/>
    <w:rsid w:val="00E86B97"/>
    <w:rsid w:val="00E90E93"/>
    <w:rsid w:val="00E92AAB"/>
    <w:rsid w:val="00E94630"/>
    <w:rsid w:val="00E95F20"/>
    <w:rsid w:val="00E97055"/>
    <w:rsid w:val="00E97A82"/>
    <w:rsid w:val="00EA1726"/>
    <w:rsid w:val="00EA3BDF"/>
    <w:rsid w:val="00EB19E6"/>
    <w:rsid w:val="00EB58A7"/>
    <w:rsid w:val="00EB78A1"/>
    <w:rsid w:val="00EC3A79"/>
    <w:rsid w:val="00EC5F5C"/>
    <w:rsid w:val="00EC7919"/>
    <w:rsid w:val="00ED0056"/>
    <w:rsid w:val="00ED1645"/>
    <w:rsid w:val="00ED6EE4"/>
    <w:rsid w:val="00ED753A"/>
    <w:rsid w:val="00EE2660"/>
    <w:rsid w:val="00EE2886"/>
    <w:rsid w:val="00EF07E6"/>
    <w:rsid w:val="00EF3FA4"/>
    <w:rsid w:val="00EF4670"/>
    <w:rsid w:val="00EF4729"/>
    <w:rsid w:val="00EF4ED1"/>
    <w:rsid w:val="00EF541E"/>
    <w:rsid w:val="00F00EB9"/>
    <w:rsid w:val="00F05D65"/>
    <w:rsid w:val="00F114CF"/>
    <w:rsid w:val="00F16037"/>
    <w:rsid w:val="00F2274A"/>
    <w:rsid w:val="00F241DF"/>
    <w:rsid w:val="00F255E1"/>
    <w:rsid w:val="00F25D8D"/>
    <w:rsid w:val="00F26588"/>
    <w:rsid w:val="00F34E3A"/>
    <w:rsid w:val="00F37E47"/>
    <w:rsid w:val="00F37FA6"/>
    <w:rsid w:val="00F46553"/>
    <w:rsid w:val="00F51A5E"/>
    <w:rsid w:val="00F54AD7"/>
    <w:rsid w:val="00F61FB8"/>
    <w:rsid w:val="00F62413"/>
    <w:rsid w:val="00F64B3D"/>
    <w:rsid w:val="00F64D27"/>
    <w:rsid w:val="00F66A29"/>
    <w:rsid w:val="00F745AA"/>
    <w:rsid w:val="00F75975"/>
    <w:rsid w:val="00F7675C"/>
    <w:rsid w:val="00F77CF9"/>
    <w:rsid w:val="00F83A05"/>
    <w:rsid w:val="00F84284"/>
    <w:rsid w:val="00F86BAE"/>
    <w:rsid w:val="00F922C4"/>
    <w:rsid w:val="00F95A80"/>
    <w:rsid w:val="00F95C0B"/>
    <w:rsid w:val="00F96A6E"/>
    <w:rsid w:val="00FA153D"/>
    <w:rsid w:val="00FA213F"/>
    <w:rsid w:val="00FA2199"/>
    <w:rsid w:val="00FA58D5"/>
    <w:rsid w:val="00FA5D32"/>
    <w:rsid w:val="00FA6035"/>
    <w:rsid w:val="00FA695C"/>
    <w:rsid w:val="00FB19F4"/>
    <w:rsid w:val="00FB3967"/>
    <w:rsid w:val="00FC44C7"/>
    <w:rsid w:val="00FC46F6"/>
    <w:rsid w:val="00FC7F80"/>
    <w:rsid w:val="00FD6012"/>
    <w:rsid w:val="00FD7E7E"/>
    <w:rsid w:val="00FE2572"/>
    <w:rsid w:val="00FE2923"/>
    <w:rsid w:val="00FE4661"/>
    <w:rsid w:val="00FE53F2"/>
    <w:rsid w:val="00FE6163"/>
    <w:rsid w:val="00FF12AF"/>
    <w:rsid w:val="00FF6D39"/>
    <w:rsid w:val="00FF7B90"/>
    <w:rsid w:val="00FF7CBA"/>
    <w:rsid w:val="00FF7F5B"/>
    <w:rsid w:val="20926DD7"/>
    <w:rsid w:val="2448004A"/>
    <w:rsid w:val="30AF1BE1"/>
    <w:rsid w:val="4FD3394E"/>
    <w:rsid w:val="5389638A"/>
    <w:rsid w:val="62AD61CA"/>
    <w:rsid w:val="66202ABE"/>
    <w:rsid w:val="67953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iPriority w:val="0"/>
    <w:pPr>
      <w:jc w:val="left"/>
    </w:pPr>
    <w:rPr>
      <w:kern w:val="0"/>
      <w:sz w:val="20"/>
      <w:szCs w:val="20"/>
    </w:rPr>
  </w:style>
  <w:style w:type="paragraph" w:styleId="3">
    <w:name w:val="Date"/>
    <w:basedOn w:val="1"/>
    <w:next w:val="1"/>
    <w:link w:val="19"/>
    <w:semiHidden/>
    <w:qFormat/>
    <w:uiPriority w:val="0"/>
    <w:pPr>
      <w:ind w:left="100" w:leftChars="2500"/>
    </w:pPr>
  </w:style>
  <w:style w:type="paragraph" w:styleId="4">
    <w:name w:val="Balloon Text"/>
    <w:basedOn w:val="1"/>
    <w:link w:val="15"/>
    <w:semiHidden/>
    <w:uiPriority w:val="0"/>
    <w:rPr>
      <w:kern w:val="0"/>
      <w:sz w:val="18"/>
      <w:szCs w:val="18"/>
    </w:rPr>
  </w:style>
  <w:style w:type="paragraph" w:styleId="5">
    <w:name w:val="footer"/>
    <w:basedOn w:val="1"/>
    <w:link w:val="17"/>
    <w:uiPriority w:val="0"/>
    <w:pPr>
      <w:tabs>
        <w:tab w:val="center" w:pos="4153"/>
        <w:tab w:val="right" w:pos="8306"/>
      </w:tabs>
      <w:snapToGrid w:val="0"/>
      <w:jc w:val="left"/>
    </w:pPr>
    <w:rPr>
      <w:kern w:val="0"/>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4"/>
    <w:semiHidden/>
    <w:uiPriority w:val="0"/>
    <w:rPr>
      <w:b/>
      <w:bCs/>
    </w:rPr>
  </w:style>
  <w:style w:type="table" w:styleId="10">
    <w:name w:val="Table Grid"/>
    <w:basedOn w:val="9"/>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annotation reference"/>
    <w:basedOn w:val="11"/>
    <w:semiHidden/>
    <w:uiPriority w:val="0"/>
    <w:rPr>
      <w:rFonts w:cs="Times New Roman"/>
      <w:sz w:val="21"/>
      <w:szCs w:val="21"/>
    </w:rPr>
  </w:style>
  <w:style w:type="character" w:customStyle="1" w:styleId="13">
    <w:name w:val="批注文字 Char"/>
    <w:basedOn w:val="11"/>
    <w:link w:val="2"/>
    <w:semiHidden/>
    <w:locked/>
    <w:uiPriority w:val="0"/>
    <w:rPr>
      <w:rFonts w:ascii="Times New Roman" w:hAnsi="Times New Roman" w:eastAsia="宋体" w:cs="Times New Roman"/>
      <w:sz w:val="24"/>
      <w:szCs w:val="24"/>
    </w:rPr>
  </w:style>
  <w:style w:type="character" w:customStyle="1" w:styleId="14">
    <w:name w:val="批注主题 Char"/>
    <w:basedOn w:val="13"/>
    <w:link w:val="8"/>
    <w:semiHidden/>
    <w:locked/>
    <w:uiPriority w:val="0"/>
    <w:rPr>
      <w:b/>
      <w:bCs/>
    </w:rPr>
  </w:style>
  <w:style w:type="character" w:customStyle="1" w:styleId="15">
    <w:name w:val="批注框文本 Char"/>
    <w:basedOn w:val="11"/>
    <w:link w:val="4"/>
    <w:semiHidden/>
    <w:locked/>
    <w:uiPriority w:val="0"/>
    <w:rPr>
      <w:rFonts w:ascii="Times New Roman" w:hAnsi="Times New Roman" w:eastAsia="宋体" w:cs="Times New Roman"/>
      <w:sz w:val="18"/>
      <w:szCs w:val="18"/>
    </w:rPr>
  </w:style>
  <w:style w:type="character" w:customStyle="1" w:styleId="16">
    <w:name w:val="页眉 Char"/>
    <w:basedOn w:val="11"/>
    <w:link w:val="6"/>
    <w:locked/>
    <w:uiPriority w:val="0"/>
    <w:rPr>
      <w:rFonts w:ascii="Times New Roman" w:hAnsi="Times New Roman" w:eastAsia="宋体" w:cs="Times New Roman"/>
      <w:sz w:val="18"/>
      <w:szCs w:val="18"/>
    </w:rPr>
  </w:style>
  <w:style w:type="character" w:customStyle="1" w:styleId="17">
    <w:name w:val="页脚 Char"/>
    <w:basedOn w:val="11"/>
    <w:link w:val="5"/>
    <w:locked/>
    <w:uiPriority w:val="0"/>
    <w:rPr>
      <w:rFonts w:ascii="Times New Roman" w:hAnsi="Times New Roman" w:eastAsia="宋体" w:cs="Times New Roman"/>
      <w:sz w:val="18"/>
      <w:szCs w:val="18"/>
    </w:rPr>
  </w:style>
  <w:style w:type="paragraph" w:customStyle="1" w:styleId="18">
    <w:name w:val="Char"/>
    <w:basedOn w:val="1"/>
    <w:qFormat/>
    <w:uiPriority w:val="0"/>
  </w:style>
  <w:style w:type="character" w:customStyle="1" w:styleId="19">
    <w:name w:val="日期 Char"/>
    <w:basedOn w:val="11"/>
    <w:link w:val="3"/>
    <w:semiHidden/>
    <w:qFormat/>
    <w:locked/>
    <w:uiPriority w:val="0"/>
    <w:rPr>
      <w:rFonts w:ascii="Times New Roman" w:hAnsi="Times New Roman" w:cs="Times New Roman"/>
      <w:kern w:val="2"/>
      <w:sz w:val="24"/>
      <w:szCs w:val="24"/>
    </w:rPr>
  </w:style>
  <w:style w:type="paragraph" w:customStyle="1" w:styleId="20">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1">
    <w:name w:val="font6"/>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2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7">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9">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0">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
    <w:name w:val="Default"/>
    <w:uiPriority w:val="0"/>
    <w:pPr>
      <w:widowControl w:val="0"/>
      <w:autoSpaceDE w:val="0"/>
      <w:autoSpaceDN w:val="0"/>
      <w:adjustRightInd w:val="0"/>
    </w:pPr>
    <w:rPr>
      <w:rFonts w:ascii="KaiTi_GB2312" w:hAnsi="KaiTi_GB2312" w:eastAsia="宋体" w:cs="KaiTi_GB2312"/>
      <w:color w:val="000000"/>
      <w:sz w:val="24"/>
      <w:szCs w:val="24"/>
      <w:lang w:val="en-US" w:eastAsia="zh-CN" w:bidi="ar-SA"/>
    </w:rPr>
  </w:style>
  <w:style w:type="paragraph" w:styleId="32">
    <w:name w:val="List Paragraph"/>
    <w:basedOn w:val="1"/>
    <w:qFormat/>
    <w:uiPriority w:val="34"/>
    <w:pPr>
      <w:ind w:firstLine="420" w:firstLineChars="200"/>
    </w:pPr>
  </w:style>
  <w:style w:type="paragraph" w:customStyle="1" w:styleId="33">
    <w:name w:val="0"/>
    <w:basedOn w:val="1"/>
    <w:qFormat/>
    <w:uiPriority w:val="0"/>
    <w:pPr>
      <w:widowControl/>
      <w:snapToGrid w:val="0"/>
    </w:pPr>
    <w:rPr>
      <w:rFonts w:ascii="Times New Roman" w:hAnsi="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2E92A-B612-4C89-A202-C6E30049334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5015</Words>
  <Characters>414</Characters>
  <Lines>3</Lines>
  <Paragraphs>10</Paragraphs>
  <TotalTime>41</TotalTime>
  <ScaleCrop>false</ScaleCrop>
  <LinksUpToDate>false</LinksUpToDate>
  <CharactersWithSpaces>5419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2023-02-06T03:28:00Z</dcterms:created>
  <dc:creator>南希</dc:creator>
  <cp:lastModifiedBy>Administrator</cp:lastModifiedBy>
  <cp:lastPrinted>2016-01-21T05:30:00Z</cp:lastPrinted>
  <dcterms:modified xsi:type="dcterms:W3CDTF">2024-02-01T07:57:38Z</dcterms:modified>
  <dc:title>2017年部门预算编制说明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