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21" w:firstLineChars="100"/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2024年北京市西城区公园管理中心</w:t>
      </w:r>
    </w:p>
    <w:p>
      <w:pPr>
        <w:spacing w:line="560" w:lineRule="exact"/>
        <w:ind w:firstLine="321" w:firstLineChars="100"/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部门预算及“三公”经费信息公开</w:t>
      </w:r>
    </w:p>
    <w:p>
      <w:pPr>
        <w:spacing w:line="560" w:lineRule="exact"/>
        <w:ind w:firstLine="321" w:firstLineChars="100"/>
        <w:jc w:val="center"/>
        <w:rPr>
          <w:rFonts w:ascii="仿宋_GB2312" w:eastAsia="仿宋_GB2312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仿宋_GB2312" w:eastAsia="仿宋_GB2312"/>
          <w:b/>
          <w:color w:val="000000"/>
          <w:sz w:val="32"/>
          <w:szCs w:val="32"/>
        </w:rPr>
        <w:t>部门预算公开目录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：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2024年</w:t>
      </w:r>
      <w:r>
        <w:rPr>
          <w:rFonts w:ascii="仿宋_GB2312" w:eastAsia="仿宋_GB2312"/>
          <w:color w:val="000000"/>
          <w:sz w:val="32"/>
          <w:szCs w:val="32"/>
        </w:rPr>
        <w:t>部门预算情况说明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部门主要职责及机构设置情况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2024年部门预算收支及增减变化情况说明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</w:t>
      </w:r>
      <w:r>
        <w:rPr>
          <w:rFonts w:ascii="仿宋_GB2312" w:eastAsia="仿宋_GB2312"/>
          <w:color w:val="000000"/>
          <w:sz w:val="32"/>
          <w:szCs w:val="32"/>
        </w:rPr>
        <w:t>、主要支出情况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四、</w:t>
      </w:r>
      <w:r>
        <w:rPr>
          <w:rFonts w:ascii="仿宋_GB2312" w:eastAsia="仿宋_GB2312"/>
          <w:color w:val="000000"/>
          <w:sz w:val="32"/>
          <w:szCs w:val="32"/>
        </w:rPr>
        <w:t>部门“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范围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hint="eastAsia"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hint="eastAsia" w:ascii="仿宋_GB2312" w:eastAsia="仿宋_GB2312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（五）国有</w:t>
      </w:r>
      <w:r>
        <w:rPr>
          <w:rFonts w:ascii="仿宋_GB2312" w:eastAsia="仿宋_GB2312"/>
          <w:color w:val="000000"/>
          <w:sz w:val="32"/>
          <w:szCs w:val="32"/>
        </w:rPr>
        <w:t>资本经营预算财政拨款</w:t>
      </w:r>
      <w:r>
        <w:rPr>
          <w:rFonts w:hint="eastAsia" w:ascii="仿宋_GB2312" w:eastAsia="仿宋_GB2312"/>
          <w:color w:val="000000"/>
          <w:sz w:val="32"/>
          <w:szCs w:val="32"/>
        </w:rPr>
        <w:t>情况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（六）国有资产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hint="eastAsia" w:ascii="仿宋_GB2312" w:eastAsia="仿宋_GB2312"/>
          <w:color w:val="000000"/>
          <w:sz w:val="32"/>
          <w:szCs w:val="32"/>
        </w:rPr>
        <w:t>解释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2024年</w:t>
      </w:r>
      <w:r>
        <w:rPr>
          <w:rFonts w:ascii="仿宋_GB2312" w:eastAsia="仿宋_GB2312"/>
          <w:color w:val="000000"/>
          <w:sz w:val="32"/>
          <w:szCs w:val="32"/>
        </w:rPr>
        <w:t>部门预算</w:t>
      </w:r>
      <w:r>
        <w:rPr>
          <w:rFonts w:hint="eastAsia" w:ascii="仿宋_GB2312" w:eastAsia="仿宋_GB2312"/>
          <w:color w:val="000000"/>
          <w:sz w:val="32"/>
          <w:szCs w:val="32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表二、部门收入总体情况表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表三、部门支出总体情况表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表四、项目支出表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表五、财政拨款收支总体情况表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表六、一般公共预算支出情况表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表七、一般公共预算基本支出情况表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表八、政府性基金预算支出情况表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表九、国有资本经营预算财政拨款支出表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表十、一般公共预算“三公”经费支出情况表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表十一、政府购买服务预算表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表十二、专项转移支付预算表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表十三、项目支出绩效目标申报表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表十四、部门整体支出绩效目标申报表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  <w:bookmarkStart w:id="0" w:name="_GoBack"/>
      <w:bookmarkEnd w:id="0"/>
    </w:p>
    <w:p>
      <w:pPr>
        <w:spacing w:line="560" w:lineRule="exact"/>
        <w:rPr>
          <w:rFonts w:ascii="楷体" w:eastAsia="楷体"/>
          <w:b/>
          <w:color w:val="000000"/>
          <w:sz w:val="36"/>
          <w:szCs w:val="36"/>
        </w:rPr>
      </w:pPr>
      <w:r>
        <w:rPr>
          <w:rFonts w:hint="eastAsia" w:ascii="楷体" w:eastAsia="楷体"/>
          <w:b/>
          <w:color w:val="000000"/>
          <w:sz w:val="36"/>
          <w:szCs w:val="36"/>
        </w:rPr>
        <w:t>第一部分</w:t>
      </w:r>
      <w:r>
        <w:rPr>
          <w:rFonts w:ascii="楷体" w:eastAsia="楷体"/>
          <w:b/>
          <w:color w:val="000000"/>
          <w:sz w:val="36"/>
          <w:szCs w:val="36"/>
        </w:rPr>
        <w:t>、</w:t>
      </w:r>
      <w:r>
        <w:rPr>
          <w:rFonts w:hint="eastAsia" w:ascii="楷体" w:eastAsia="楷体"/>
          <w:b/>
          <w:color w:val="000000"/>
          <w:sz w:val="36"/>
          <w:szCs w:val="36"/>
        </w:rPr>
        <w:t>2024年</w:t>
      </w:r>
      <w:r>
        <w:rPr>
          <w:rFonts w:ascii="楷体" w:eastAsia="楷体"/>
          <w:b/>
          <w:color w:val="000000"/>
          <w:sz w:val="36"/>
          <w:szCs w:val="36"/>
        </w:rPr>
        <w:t>部门预算情况说明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部门主要职责及机构设置情况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>
      <w:pPr>
        <w:ind w:firstLine="55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北京市西城区公园管理中心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是北京市西城区园林绿化局下属二级全额拨款事业单位，</w:t>
      </w:r>
      <w:r>
        <w:rPr>
          <w:rFonts w:hint="eastAsia" w:ascii="仿宋_GB2312" w:hAnsi="仿宋" w:eastAsia="仿宋_GB2312"/>
          <w:sz w:val="32"/>
          <w:szCs w:val="32"/>
        </w:rPr>
        <w:t>内设机构7个科室。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主要职责: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负责区属登记公园的组织人事、劳动和社会保障、财务管理、审计、安全保卫工作，指导区属登记公园的规划、建设、管理、服务、科技等方面工作并监督实施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北京市西城区公园管理中心行政编制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人;事业编制</w:t>
      </w:r>
      <w:r>
        <w:rPr>
          <w:rFonts w:hint="eastAsia" w:ascii="仿宋_GB2312" w:eastAsia="仿宋_GB2312"/>
          <w:sz w:val="32"/>
          <w:szCs w:val="32"/>
          <w:u w:val="single"/>
        </w:rPr>
        <w:t>53</w:t>
      </w:r>
      <w:r>
        <w:rPr>
          <w:rFonts w:hint="eastAsia" w:ascii="仿宋_GB2312" w:eastAsia="仿宋_GB2312"/>
          <w:sz w:val="32"/>
          <w:szCs w:val="32"/>
        </w:rPr>
        <w:t>人；工勤编制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名；实际</w:t>
      </w:r>
      <w:r>
        <w:rPr>
          <w:rFonts w:hint="eastAsia" w:ascii="仿宋_GB2312" w:eastAsia="仿宋_GB2312"/>
          <w:sz w:val="32"/>
          <w:szCs w:val="32"/>
          <w:u w:val="single"/>
        </w:rPr>
        <w:t>53</w:t>
      </w:r>
      <w:r>
        <w:rPr>
          <w:rFonts w:hint="eastAsia" w:ascii="仿宋_GB2312" w:eastAsia="仿宋_GB2312"/>
          <w:sz w:val="32"/>
          <w:szCs w:val="32"/>
        </w:rPr>
        <w:t>人；长期聘用临时工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离退休人员</w:t>
      </w:r>
      <w:r>
        <w:rPr>
          <w:rFonts w:hint="eastAsia" w:ascii="仿宋_GB2312" w:eastAsia="仿宋_GB2312"/>
          <w:sz w:val="32"/>
          <w:szCs w:val="32"/>
          <w:u w:val="single"/>
        </w:rPr>
        <w:t>7</w:t>
      </w:r>
      <w:r>
        <w:rPr>
          <w:rFonts w:hint="eastAsia" w:ascii="仿宋_GB2312" w:eastAsia="仿宋_GB2312"/>
          <w:sz w:val="32"/>
          <w:szCs w:val="32"/>
        </w:rPr>
        <w:t>人，其中：离休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人，退休</w:t>
      </w:r>
      <w:r>
        <w:rPr>
          <w:rFonts w:hint="eastAsia" w:ascii="仿宋_GB2312" w:eastAsia="仿宋_GB2312"/>
          <w:sz w:val="32"/>
          <w:szCs w:val="32"/>
          <w:u w:val="single"/>
        </w:rPr>
        <w:t>7</w:t>
      </w:r>
      <w:r>
        <w:rPr>
          <w:rFonts w:hint="eastAsia" w:ascii="仿宋_GB2312" w:eastAsia="仿宋_GB2312"/>
          <w:sz w:val="32"/>
          <w:szCs w:val="32"/>
        </w:rPr>
        <w:t>人,调出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2024年部门预算收支及增减变化情况说明</w:t>
      </w:r>
    </w:p>
    <w:p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（一）、收入预算说明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2024年收入预算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23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349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879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.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75</w:t>
      </w:r>
      <w:r>
        <w:rPr>
          <w:rFonts w:hint="eastAsia" w:ascii="仿宋_GB2312" w:eastAsia="仿宋_GB2312"/>
          <w:sz w:val="32"/>
          <w:szCs w:val="32"/>
        </w:rPr>
        <w:t>元。其中：财政拨款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23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349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879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.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75</w:t>
      </w:r>
      <w:r>
        <w:rPr>
          <w:rFonts w:hint="eastAsia" w:ascii="仿宋_GB2312" w:eastAsia="仿宋_GB2312"/>
          <w:sz w:val="32"/>
          <w:szCs w:val="32"/>
        </w:rPr>
        <w:t>元。预算收入比2023年的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24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278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,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279</w:t>
      </w:r>
      <w:r>
        <w:rPr>
          <w:rFonts w:hint="eastAsia" w:ascii="宋体" w:hAnsi="宋体" w:cs="Arial"/>
          <w:color w:val="000000"/>
          <w:kern w:val="0"/>
          <w:sz w:val="32"/>
          <w:szCs w:val="32"/>
          <w:u w:val="single"/>
        </w:rPr>
        <w:t>.</w:t>
      </w:r>
      <w:r>
        <w:rPr>
          <w:rFonts w:ascii="宋体" w:hAnsi="宋体" w:cs="Arial"/>
          <w:color w:val="000000"/>
          <w:kern w:val="0"/>
          <w:sz w:val="32"/>
          <w:szCs w:val="32"/>
          <w:u w:val="single"/>
        </w:rPr>
        <w:t>45</w:t>
      </w:r>
      <w:r>
        <w:rPr>
          <w:rFonts w:hint="eastAsia" w:ascii="仿宋_GB2312" w:eastAsia="仿宋_GB2312"/>
          <w:sz w:val="32"/>
          <w:szCs w:val="32"/>
        </w:rPr>
        <w:t>元减少</w:t>
      </w:r>
      <w:r>
        <w:rPr>
          <w:rFonts w:hint="eastAsia" w:ascii="仿宋_GB2312" w:eastAsia="仿宋_GB2312"/>
          <w:sz w:val="32"/>
          <w:szCs w:val="32"/>
          <w:u w:val="single"/>
        </w:rPr>
        <w:t>928399.70</w:t>
      </w:r>
      <w:r>
        <w:rPr>
          <w:rFonts w:hint="eastAsia" w:ascii="仿宋_GB2312" w:eastAsia="仿宋_GB2312"/>
          <w:sz w:val="32"/>
          <w:szCs w:val="32"/>
        </w:rPr>
        <w:t>元，减少3.82%，主要是2024年人员经费减少。</w:t>
      </w:r>
    </w:p>
    <w:p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（二）、支出预算说明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1、2024年支出预算按用途划分：（1）基本支出预算</w:t>
      </w:r>
      <w:r>
        <w:rPr>
          <w:rFonts w:ascii="仿宋_GB2312" w:eastAsia="仿宋_GB2312"/>
          <w:sz w:val="32"/>
          <w:szCs w:val="32"/>
          <w:u w:val="single"/>
        </w:rPr>
        <w:t>19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332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380</w:t>
      </w:r>
      <w:r>
        <w:rPr>
          <w:rFonts w:hint="eastAsia" w:ascii="仿宋_GB2312" w:eastAsia="仿宋_GB2312"/>
          <w:sz w:val="32"/>
          <w:szCs w:val="32"/>
          <w:u w:val="single"/>
        </w:rPr>
        <w:t>.</w:t>
      </w:r>
      <w:r>
        <w:rPr>
          <w:rFonts w:ascii="仿宋_GB2312" w:eastAsia="仿宋_GB2312"/>
          <w:sz w:val="32"/>
          <w:szCs w:val="32"/>
          <w:u w:val="single"/>
        </w:rPr>
        <w:t>61</w:t>
      </w:r>
      <w:r>
        <w:rPr>
          <w:rFonts w:hint="eastAsia" w:ascii="仿宋_GB2312" w:eastAsia="仿宋_GB2312"/>
          <w:sz w:val="32"/>
          <w:szCs w:val="32"/>
        </w:rPr>
        <w:t>元，比2023年</w:t>
      </w:r>
      <w:r>
        <w:rPr>
          <w:rFonts w:ascii="仿宋_GB2312" w:eastAsia="仿宋_GB2312"/>
          <w:sz w:val="32"/>
          <w:szCs w:val="32"/>
          <w:u w:val="single"/>
        </w:rPr>
        <w:t>19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914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823</w:t>
      </w:r>
      <w:r>
        <w:rPr>
          <w:rFonts w:hint="eastAsia" w:ascii="仿宋_GB2312" w:eastAsia="仿宋_GB2312"/>
          <w:sz w:val="32"/>
          <w:szCs w:val="32"/>
          <w:u w:val="single"/>
        </w:rPr>
        <w:t>.</w:t>
      </w:r>
      <w:r>
        <w:rPr>
          <w:rFonts w:ascii="仿宋_GB2312" w:eastAsia="仿宋_GB2312"/>
          <w:sz w:val="32"/>
          <w:szCs w:val="32"/>
          <w:u w:val="single"/>
        </w:rPr>
        <w:t>07</w:t>
      </w:r>
      <w:r>
        <w:rPr>
          <w:rFonts w:hint="eastAsia" w:ascii="仿宋_GB2312" w:eastAsia="仿宋_GB2312"/>
          <w:sz w:val="32"/>
          <w:szCs w:val="32"/>
        </w:rPr>
        <w:t>元减少</w:t>
      </w:r>
      <w:r>
        <w:rPr>
          <w:rFonts w:hint="eastAsia" w:ascii="仿宋_GB2312" w:eastAsia="仿宋_GB2312"/>
          <w:sz w:val="32"/>
          <w:szCs w:val="32"/>
          <w:u w:val="single"/>
        </w:rPr>
        <w:t>582,442.46</w:t>
      </w:r>
      <w:r>
        <w:rPr>
          <w:rFonts w:hint="eastAsia" w:ascii="仿宋_GB2312" w:eastAsia="仿宋_GB2312"/>
          <w:sz w:val="32"/>
          <w:szCs w:val="32"/>
        </w:rPr>
        <w:t>元，减少2.92%。其中公用支出</w:t>
      </w:r>
      <w:r>
        <w:rPr>
          <w:rFonts w:ascii="仿宋_GB2312" w:eastAsia="仿宋_GB2312"/>
          <w:sz w:val="32"/>
          <w:szCs w:val="32"/>
          <w:u w:val="single"/>
        </w:rPr>
        <w:t>1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592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374</w:t>
      </w:r>
      <w:r>
        <w:rPr>
          <w:rFonts w:hint="eastAsia" w:ascii="仿宋_GB2312" w:eastAsia="仿宋_GB2312"/>
          <w:sz w:val="32"/>
          <w:szCs w:val="32"/>
          <w:u w:val="single"/>
        </w:rPr>
        <w:t>.</w:t>
      </w:r>
      <w:r>
        <w:rPr>
          <w:rFonts w:ascii="仿宋_GB2312" w:eastAsia="仿宋_GB2312"/>
          <w:sz w:val="32"/>
          <w:szCs w:val="32"/>
          <w:u w:val="single"/>
        </w:rPr>
        <w:t>86</w:t>
      </w:r>
      <w:r>
        <w:rPr>
          <w:rFonts w:hint="eastAsia" w:ascii="仿宋_GB2312" w:eastAsia="仿宋_GB2312"/>
          <w:sz w:val="32"/>
          <w:szCs w:val="32"/>
        </w:rPr>
        <w:t>元，比2023年</w:t>
      </w:r>
      <w:r>
        <w:rPr>
          <w:rFonts w:hint="eastAsia" w:ascii="仿宋_GB2312" w:eastAsia="仿宋_GB2312"/>
          <w:sz w:val="32"/>
          <w:szCs w:val="32"/>
          <w:u w:val="single"/>
        </w:rPr>
        <w:t>1,617,755.52</w:t>
      </w:r>
      <w:r>
        <w:rPr>
          <w:rFonts w:hint="eastAsia" w:ascii="仿宋_GB2312" w:eastAsia="仿宋_GB2312"/>
          <w:sz w:val="32"/>
          <w:szCs w:val="32"/>
        </w:rPr>
        <w:t>元减少</w:t>
      </w:r>
      <w:r>
        <w:rPr>
          <w:rFonts w:hint="eastAsia" w:ascii="仿宋_GB2312" w:eastAsia="仿宋_GB2312"/>
          <w:sz w:val="32"/>
          <w:szCs w:val="32"/>
          <w:u w:val="single"/>
        </w:rPr>
        <w:t>25,380.66</w:t>
      </w:r>
      <w:r>
        <w:rPr>
          <w:rFonts w:hint="eastAsia" w:ascii="仿宋_GB2312" w:eastAsia="仿宋_GB2312"/>
          <w:sz w:val="32"/>
          <w:szCs w:val="32"/>
        </w:rPr>
        <w:t>元，减少1.57%，基本支出减少主要原因为在职人员减少，相应人员、公用费用减少。（2）项目支出预算</w:t>
      </w:r>
      <w:r>
        <w:rPr>
          <w:rFonts w:ascii="仿宋_GB2312" w:eastAsia="仿宋_GB2312"/>
          <w:sz w:val="32"/>
          <w:szCs w:val="32"/>
          <w:u w:val="single"/>
        </w:rPr>
        <w:t>4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017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499</w:t>
      </w:r>
      <w:r>
        <w:rPr>
          <w:rFonts w:hint="eastAsia" w:ascii="仿宋_GB2312" w:eastAsia="仿宋_GB2312"/>
          <w:sz w:val="32"/>
          <w:szCs w:val="32"/>
          <w:u w:val="single"/>
        </w:rPr>
        <w:t>.</w:t>
      </w:r>
      <w:r>
        <w:rPr>
          <w:rFonts w:ascii="仿宋_GB2312" w:eastAsia="仿宋_GB2312"/>
          <w:sz w:val="32"/>
          <w:szCs w:val="32"/>
          <w:u w:val="single"/>
        </w:rPr>
        <w:t>14</w:t>
      </w:r>
      <w:r>
        <w:rPr>
          <w:rFonts w:hint="eastAsia" w:ascii="仿宋_GB2312" w:eastAsia="仿宋_GB2312"/>
          <w:sz w:val="32"/>
          <w:szCs w:val="32"/>
        </w:rPr>
        <w:t>元，比2023年</w:t>
      </w:r>
      <w:r>
        <w:rPr>
          <w:rFonts w:hint="eastAsia" w:ascii="仿宋_GB2312" w:eastAsia="仿宋_GB2312"/>
          <w:sz w:val="32"/>
          <w:szCs w:val="32"/>
          <w:u w:val="single"/>
        </w:rPr>
        <w:t>4,363,456.38</w:t>
      </w:r>
      <w:r>
        <w:rPr>
          <w:rFonts w:hint="eastAsia" w:ascii="仿宋_GB2312" w:eastAsia="仿宋_GB2312"/>
          <w:sz w:val="32"/>
          <w:szCs w:val="32"/>
        </w:rPr>
        <w:t>元减少</w:t>
      </w:r>
      <w:r>
        <w:rPr>
          <w:rFonts w:hint="eastAsia" w:ascii="仿宋_GB2312" w:eastAsia="仿宋_GB2312"/>
          <w:sz w:val="32"/>
          <w:szCs w:val="32"/>
          <w:u w:val="single"/>
        </w:rPr>
        <w:t>345,957.24</w:t>
      </w:r>
      <w:r>
        <w:rPr>
          <w:rFonts w:hint="eastAsia" w:ascii="仿宋_GB2312" w:eastAsia="仿宋_GB2312"/>
          <w:sz w:val="32"/>
          <w:szCs w:val="32"/>
        </w:rPr>
        <w:t>元，减少7.93%。主要减少项目是2023年万寿公园运维项目2个及</w:t>
      </w:r>
      <w:r>
        <w:rPr>
          <w:rFonts w:hint="eastAsia" w:ascii="仿宋_GB2312" w:eastAsia="仿宋_GB2312"/>
          <w:color w:val="000000"/>
          <w:sz w:val="32"/>
          <w:szCs w:val="32"/>
        </w:rPr>
        <w:t>以前年度完成项目的质保金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主要支出情况</w:t>
      </w:r>
    </w:p>
    <w:p>
      <w:pPr>
        <w:spacing w:line="360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我单位主要支出为城乡社区支出，涉及资金</w:t>
      </w:r>
      <w:r>
        <w:rPr>
          <w:rFonts w:ascii="仿宋_GB2312" w:eastAsia="仿宋_GB2312"/>
          <w:color w:val="000000"/>
          <w:sz w:val="32"/>
          <w:szCs w:val="32"/>
        </w:rPr>
        <w:t>16</w:t>
      </w:r>
      <w:r>
        <w:rPr>
          <w:rFonts w:hint="eastAsia" w:ascii="仿宋_GB2312" w:eastAsia="仿宋_GB2312"/>
          <w:color w:val="000000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665</w:t>
      </w:r>
      <w:r>
        <w:rPr>
          <w:rFonts w:hint="eastAsia" w:ascii="仿宋_GB2312" w:eastAsia="仿宋_GB2312"/>
          <w:color w:val="000000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318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/>
          <w:color w:val="000000"/>
          <w:sz w:val="32"/>
          <w:szCs w:val="32"/>
        </w:rPr>
        <w:t>27</w:t>
      </w:r>
      <w:r>
        <w:rPr>
          <w:rFonts w:hint="eastAsia" w:ascii="仿宋_GB2312" w:eastAsia="仿宋_GB2312"/>
          <w:color w:val="000000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四、</w:t>
      </w:r>
      <w:r>
        <w:rPr>
          <w:rFonts w:ascii="仿宋_GB2312" w:eastAsia="仿宋_GB2312"/>
          <w:color w:val="000000"/>
          <w:sz w:val="32"/>
          <w:szCs w:val="32"/>
        </w:rPr>
        <w:t>部门“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范围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北京市西城区公园管理中心部门预算中因公出国（境）费、公务接待费、公务用车购置及运行维护费的支出单位包括1个所属单位，即北京市西城区公园管理中心。</w:t>
      </w:r>
    </w:p>
    <w:p>
      <w:pPr>
        <w:numPr>
          <w:ilvl w:val="0"/>
          <w:numId w:val="2"/>
        </w:numPr>
        <w:spacing w:line="56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hint="eastAsia" w:ascii="仿宋_GB2312" w:eastAsia="仿宋_GB2312"/>
          <w:color w:val="000000"/>
          <w:sz w:val="32"/>
          <w:szCs w:val="32"/>
        </w:rPr>
        <w:t>说明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2024年部门预算“三公”经费财政拨款预算安排0.41万元，与2023年部门预算“三公”经费财政拨款预算安排0.41万元相比，无变化。其中：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1、因公出国（境）费 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2024年财政拨款预算安排0万元；与2023年因公出国（境）费财政拨款预算安排0万元相比，增减0万元。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2024年财政拨款预算安排0.41万元，与2023年公务接待费财政拨款预算安排0.41万元相比,无变化。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3、公务用车购置及运行维护费</w:t>
      </w:r>
    </w:p>
    <w:p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2024年公务用车财政拨款预算安排0万元，其中公务用车购置费0万元，公务用车运行维护费0万元，与2023年公务用车购置及运行维护费财政拨款预算安排0万元相比，无变化。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2024年本部门履行一般行政事业管理职能、维持机关运行，用于一般公共预算安排的行政运行经费，合计1560905.70元。</w:t>
      </w:r>
    </w:p>
    <w:p>
      <w:pPr>
        <w:spacing w:line="560" w:lineRule="exact"/>
        <w:ind w:left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>
      <w:pPr>
        <w:spacing w:line="560" w:lineRule="exact"/>
        <w:ind w:left="555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2024年涉及政府采购项目</w:t>
      </w:r>
      <w:r>
        <w:rPr>
          <w:rFonts w:hint="eastAsia" w:ascii="仿宋_GB2312" w:eastAsia="仿宋_GB2312"/>
          <w:sz w:val="32"/>
          <w:szCs w:val="32"/>
          <w:u w:val="single"/>
        </w:rPr>
        <w:t>1</w:t>
      </w:r>
      <w:r>
        <w:rPr>
          <w:rFonts w:hint="eastAsia" w:ascii="仿宋_GB2312" w:eastAsia="仿宋_GB2312"/>
          <w:sz w:val="32"/>
          <w:szCs w:val="32"/>
        </w:rPr>
        <w:t>个，预算资金</w:t>
      </w:r>
      <w:r>
        <w:rPr>
          <w:rFonts w:ascii="仿宋_GB2312" w:eastAsia="仿宋_GB2312"/>
          <w:sz w:val="32"/>
          <w:szCs w:val="32"/>
          <w:u w:val="single"/>
        </w:rPr>
        <w:t>2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890</w:t>
      </w:r>
      <w:r>
        <w:rPr>
          <w:rFonts w:hint="eastAsia" w:ascii="仿宋_GB2312" w:eastAsia="仿宋_GB2312"/>
          <w:sz w:val="32"/>
          <w:szCs w:val="32"/>
          <w:u w:val="single"/>
        </w:rPr>
        <w:t>,</w:t>
      </w:r>
      <w:r>
        <w:rPr>
          <w:rFonts w:ascii="仿宋_GB2312" w:eastAsia="仿宋_GB2312"/>
          <w:sz w:val="32"/>
          <w:szCs w:val="32"/>
          <w:u w:val="single"/>
        </w:rPr>
        <w:t>272</w:t>
      </w:r>
      <w:r>
        <w:rPr>
          <w:rFonts w:hint="eastAsia" w:ascii="仿宋_GB2312" w:eastAsia="仿宋_GB2312"/>
          <w:sz w:val="32"/>
          <w:szCs w:val="32"/>
          <w:u w:val="single"/>
        </w:rPr>
        <w:t>.</w:t>
      </w:r>
      <w:r>
        <w:rPr>
          <w:rFonts w:ascii="仿宋_GB2312" w:eastAsia="仿宋_GB2312"/>
          <w:sz w:val="32"/>
          <w:szCs w:val="32"/>
          <w:u w:val="single"/>
        </w:rPr>
        <w:t>00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元。无办公家具及办公设备购置费。</w:t>
      </w:r>
    </w:p>
    <w:p>
      <w:pPr>
        <w:numPr>
          <w:ilvl w:val="0"/>
          <w:numId w:val="2"/>
        </w:numPr>
        <w:spacing w:line="56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2024年涉及政府购买服务项目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个，预算资金</w:t>
      </w:r>
      <w:r>
        <w:rPr>
          <w:rFonts w:hint="eastAsia" w:ascii="仿宋_GB2312" w:eastAsia="仿宋_GB2312"/>
          <w:sz w:val="32"/>
          <w:szCs w:val="32"/>
          <w:u w:val="single"/>
        </w:rPr>
        <w:t>0</w:t>
      </w:r>
      <w:r>
        <w:rPr>
          <w:rFonts w:hint="eastAsia" w:ascii="仿宋_GB2312" w:eastAsia="仿宋_GB2312"/>
          <w:sz w:val="32"/>
          <w:szCs w:val="32"/>
        </w:rPr>
        <w:t>元。事业单位不是购买服务主体。</w:t>
      </w:r>
    </w:p>
    <w:p>
      <w:pPr>
        <w:numPr>
          <w:ilvl w:val="0"/>
          <w:numId w:val="2"/>
        </w:numPr>
        <w:spacing w:line="56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hint="eastAsia" w:ascii="仿宋_GB2312" w:eastAsia="仿宋_GB2312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left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2024年无绩效考评项。</w:t>
      </w:r>
    </w:p>
    <w:p>
      <w:pPr>
        <w:numPr>
          <w:ilvl w:val="0"/>
          <w:numId w:val="2"/>
        </w:numPr>
        <w:spacing w:line="56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国有</w:t>
      </w:r>
      <w:r>
        <w:rPr>
          <w:rFonts w:ascii="仿宋_GB2312" w:eastAsia="仿宋_GB2312"/>
          <w:color w:val="000000"/>
          <w:sz w:val="32"/>
          <w:szCs w:val="32"/>
        </w:rPr>
        <w:t>资本经营预算财政拨款</w:t>
      </w:r>
      <w:r>
        <w:rPr>
          <w:rFonts w:hint="eastAsia" w:ascii="仿宋_GB2312" w:eastAsia="仿宋_GB2312"/>
          <w:color w:val="000000"/>
          <w:sz w:val="32"/>
          <w:szCs w:val="32"/>
        </w:rPr>
        <w:t>情况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无国有资本经营预算财政拨款。</w:t>
      </w:r>
    </w:p>
    <w:p>
      <w:pPr>
        <w:numPr>
          <w:ilvl w:val="0"/>
          <w:numId w:val="2"/>
        </w:numPr>
        <w:spacing w:line="560" w:lineRule="exact"/>
        <w:ind w:firstLine="55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  <w:highlight w:val="yellow"/>
        </w:rPr>
      </w:pPr>
      <w:r>
        <w:rPr>
          <w:rFonts w:ascii="仿宋_GB2312" w:eastAsia="仿宋_GB2312"/>
          <w:color w:val="000000"/>
          <w:sz w:val="32"/>
          <w:szCs w:val="32"/>
        </w:rPr>
        <w:t>截止</w:t>
      </w:r>
      <w:r>
        <w:rPr>
          <w:rFonts w:hint="eastAsia" w:ascii="仿宋_GB2312" w:eastAsia="仿宋_GB2312"/>
          <w:color w:val="000000"/>
          <w:sz w:val="32"/>
          <w:szCs w:val="32"/>
        </w:rPr>
        <w:t>2023年</w:t>
      </w:r>
      <w:r>
        <w:rPr>
          <w:rFonts w:ascii="仿宋_GB2312" w:eastAsia="仿宋_GB2312"/>
          <w:color w:val="000000"/>
          <w:sz w:val="32"/>
          <w:szCs w:val="32"/>
        </w:rPr>
        <w:t>底，</w:t>
      </w:r>
      <w:r>
        <w:rPr>
          <w:rFonts w:hint="eastAsia" w:ascii="仿宋_GB2312" w:eastAsia="仿宋_GB2312"/>
          <w:color w:val="000000"/>
          <w:sz w:val="32"/>
          <w:szCs w:val="32"/>
        </w:rPr>
        <w:t>本部门</w:t>
      </w:r>
      <w:r>
        <w:rPr>
          <w:rFonts w:ascii="仿宋_GB2312" w:eastAsia="仿宋_GB2312"/>
          <w:color w:val="000000"/>
          <w:sz w:val="32"/>
          <w:szCs w:val="32"/>
        </w:rPr>
        <w:t>固定资产总额</w:t>
      </w:r>
      <w:r>
        <w:rPr>
          <w:rFonts w:hint="eastAsia" w:ascii="仿宋_GB2312" w:eastAsia="仿宋_GB2312"/>
          <w:sz w:val="32"/>
          <w:szCs w:val="32"/>
        </w:rPr>
        <w:t>349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ascii="仿宋_GB2312" w:eastAsia="仿宋_GB2312"/>
          <w:color w:val="000000"/>
          <w:sz w:val="32"/>
          <w:szCs w:val="32"/>
        </w:rPr>
        <w:t>，其中：</w:t>
      </w:r>
      <w:r>
        <w:rPr>
          <w:rFonts w:hint="eastAsia" w:ascii="仿宋_GB2312" w:eastAsia="仿宋_GB2312"/>
          <w:color w:val="000000"/>
          <w:sz w:val="32"/>
          <w:szCs w:val="32"/>
        </w:rPr>
        <w:t>车辆0台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0万元；单位价值50万元以上的通用设备0台（套）、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万元，单位价值100万元以上的专用设备0台（套）、0万元。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2024部门预算：安排购置车辆0台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0万元；安排购置单位</w:t>
      </w:r>
      <w:r>
        <w:rPr>
          <w:rFonts w:ascii="仿宋_GB2312" w:eastAsia="仿宋_GB2312"/>
          <w:color w:val="000000"/>
          <w:sz w:val="32"/>
          <w:szCs w:val="32"/>
        </w:rPr>
        <w:t>价值</w:t>
      </w:r>
      <w:r>
        <w:rPr>
          <w:rFonts w:hint="eastAsia" w:ascii="仿宋_GB2312" w:eastAsia="仿宋_GB2312"/>
          <w:color w:val="000000"/>
          <w:sz w:val="32"/>
          <w:szCs w:val="32"/>
        </w:rPr>
        <w:t>50万元以上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通用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</w:rPr>
        <w:t>0台（套）、0万元，安排购置单位</w:t>
      </w:r>
      <w:r>
        <w:rPr>
          <w:rFonts w:ascii="仿宋_GB2312" w:eastAsia="仿宋_GB2312"/>
          <w:color w:val="000000"/>
          <w:sz w:val="32"/>
          <w:szCs w:val="32"/>
        </w:rPr>
        <w:t>价值100</w:t>
      </w:r>
      <w:r>
        <w:rPr>
          <w:rFonts w:hint="eastAsia" w:ascii="仿宋_GB2312" w:eastAsia="仿宋_GB2312"/>
          <w:color w:val="000000"/>
          <w:sz w:val="32"/>
          <w:szCs w:val="32"/>
        </w:rPr>
        <w:t>万元以上</w:t>
      </w:r>
      <w:r>
        <w:rPr>
          <w:rFonts w:ascii="仿宋_GB2312" w:eastAsia="仿宋_GB2312"/>
          <w:color w:val="000000"/>
          <w:sz w:val="32"/>
          <w:szCs w:val="32"/>
        </w:rPr>
        <w:t>的</w:t>
      </w:r>
      <w:r>
        <w:rPr>
          <w:rFonts w:hint="eastAsia" w:ascii="仿宋_GB2312" w:eastAsia="仿宋_GB2312"/>
          <w:color w:val="000000"/>
          <w:sz w:val="32"/>
          <w:szCs w:val="32"/>
        </w:rPr>
        <w:t>专用</w:t>
      </w:r>
      <w:r>
        <w:rPr>
          <w:rFonts w:ascii="仿宋_GB2312" w:eastAsia="仿宋_GB2312"/>
          <w:color w:val="000000"/>
          <w:sz w:val="32"/>
          <w:szCs w:val="32"/>
        </w:rPr>
        <w:t>设备</w:t>
      </w:r>
      <w:r>
        <w:rPr>
          <w:rFonts w:hint="eastAsia" w:ascii="仿宋_GB2312" w:eastAsia="仿宋_GB2312"/>
          <w:color w:val="000000"/>
          <w:sz w:val="32"/>
          <w:szCs w:val="32"/>
        </w:rPr>
        <w:t>0台（套）、0万元。</w:t>
      </w:r>
    </w:p>
    <w:p>
      <w:pPr>
        <w:numPr>
          <w:ilvl w:val="0"/>
          <w:numId w:val="3"/>
        </w:num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名称</w:t>
      </w:r>
      <w:r>
        <w:rPr>
          <w:rFonts w:hint="eastAsia" w:ascii="仿宋_GB2312" w:eastAsia="仿宋_GB2312"/>
          <w:color w:val="000000"/>
          <w:sz w:val="32"/>
          <w:szCs w:val="32"/>
        </w:rPr>
        <w:t>解释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行政运行经费是指为保障单位正常运行，用于购买货物和服务的各项资金，包括办公及印刷费、邮电费、差旅费、会议费、福利费、日常维修费、专用材料及一般设备购置费、网络运行维护费、办公用房租赁费、办公用房水电费、办公用房取暖费、办公用房物业管理费、公务用车运行维护以及其他费用。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2024年</w:t>
      </w:r>
      <w:r>
        <w:rPr>
          <w:rFonts w:ascii="仿宋_GB2312" w:eastAsia="仿宋_GB2312"/>
          <w:color w:val="000000"/>
          <w:sz w:val="32"/>
          <w:szCs w:val="32"/>
        </w:rPr>
        <w:t>部门预算</w:t>
      </w:r>
      <w:r>
        <w:rPr>
          <w:rFonts w:hint="eastAsia" w:ascii="仿宋_GB2312" w:eastAsia="仿宋_GB2312"/>
          <w:color w:val="000000"/>
          <w:sz w:val="32"/>
          <w:szCs w:val="32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表二、部门收入总体情况表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表三、部门支出总体情况表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表四、项目支出表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表五、财政拨款收支总体情况表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表六、一般公共预算支出情况表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表七、一般公共预算基本支出情况表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表八、政府性基金预算支出情况表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表九、国有资本经营预算财政拨款支出表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表十、一般公共预算“三公”经费支出情况表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表十一、政府购买服务预算表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表十二、上级转移支付细化明细表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表十三、项目支出绩效目标申报表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表十四、部门整体支出绩效目标申报表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表一至表十四见“北京市西城区公园管理中心2024年部门预算信息公开报表”。</w:t>
      </w:r>
    </w:p>
    <w:p>
      <w:pPr>
        <w:spacing w:line="560" w:lineRule="exact"/>
        <w:ind w:firstLine="320" w:firstLineChars="100"/>
        <w:rPr>
          <w:rFonts w:ascii="仿宋_GB2312" w:eastAsia="仿宋_GB2312"/>
          <w:color w:val="00000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206103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0D2324"/>
    <w:multiLevelType w:val="singleLevel"/>
    <w:tmpl w:val="D00D232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8C778ED"/>
    <w:multiLevelType w:val="singleLevel"/>
    <w:tmpl w:val="D8C778E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39182C3"/>
    <w:multiLevelType w:val="singleLevel"/>
    <w:tmpl w:val="039182C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ZTY2NzMxZTZjMTNjODg0Y2M1ZDc5MjhlMjExYzQifQ=="/>
  </w:docVars>
  <w:rsids>
    <w:rsidRoot w:val="00BB79F1"/>
    <w:rsid w:val="000115E3"/>
    <w:rsid w:val="00016FC8"/>
    <w:rsid w:val="000932E9"/>
    <w:rsid w:val="000A49F5"/>
    <w:rsid w:val="000E6DC4"/>
    <w:rsid w:val="00133D4C"/>
    <w:rsid w:val="00211456"/>
    <w:rsid w:val="002833B5"/>
    <w:rsid w:val="002A4D2E"/>
    <w:rsid w:val="002B055C"/>
    <w:rsid w:val="002B29EC"/>
    <w:rsid w:val="002C0249"/>
    <w:rsid w:val="002E028E"/>
    <w:rsid w:val="002E2AA5"/>
    <w:rsid w:val="00307625"/>
    <w:rsid w:val="00385D0C"/>
    <w:rsid w:val="003E2F7E"/>
    <w:rsid w:val="003F71E6"/>
    <w:rsid w:val="004362E4"/>
    <w:rsid w:val="0049274C"/>
    <w:rsid w:val="004E4603"/>
    <w:rsid w:val="00537644"/>
    <w:rsid w:val="005411DB"/>
    <w:rsid w:val="00555E0E"/>
    <w:rsid w:val="005924C2"/>
    <w:rsid w:val="005D6C73"/>
    <w:rsid w:val="005D75D6"/>
    <w:rsid w:val="006009C3"/>
    <w:rsid w:val="00606906"/>
    <w:rsid w:val="006345FF"/>
    <w:rsid w:val="00642BA8"/>
    <w:rsid w:val="00643A40"/>
    <w:rsid w:val="006E1B83"/>
    <w:rsid w:val="006F6F00"/>
    <w:rsid w:val="007263AE"/>
    <w:rsid w:val="00764059"/>
    <w:rsid w:val="00794469"/>
    <w:rsid w:val="007A3A49"/>
    <w:rsid w:val="007A7D0D"/>
    <w:rsid w:val="007D1299"/>
    <w:rsid w:val="00814219"/>
    <w:rsid w:val="00830628"/>
    <w:rsid w:val="00834DC0"/>
    <w:rsid w:val="00857847"/>
    <w:rsid w:val="008A7B7B"/>
    <w:rsid w:val="008B1EA0"/>
    <w:rsid w:val="008B68F2"/>
    <w:rsid w:val="008D4B36"/>
    <w:rsid w:val="008E3064"/>
    <w:rsid w:val="008E583C"/>
    <w:rsid w:val="009164A1"/>
    <w:rsid w:val="009646EA"/>
    <w:rsid w:val="009A3331"/>
    <w:rsid w:val="009B4EAB"/>
    <w:rsid w:val="00A30421"/>
    <w:rsid w:val="00A64C39"/>
    <w:rsid w:val="00AB4670"/>
    <w:rsid w:val="00AE1ADE"/>
    <w:rsid w:val="00B52F9C"/>
    <w:rsid w:val="00BB79F1"/>
    <w:rsid w:val="00BD0969"/>
    <w:rsid w:val="00C74A27"/>
    <w:rsid w:val="00C94319"/>
    <w:rsid w:val="00D16C05"/>
    <w:rsid w:val="00D176DA"/>
    <w:rsid w:val="00D17E22"/>
    <w:rsid w:val="00D81AEA"/>
    <w:rsid w:val="00D9369C"/>
    <w:rsid w:val="00E160C6"/>
    <w:rsid w:val="00FA053E"/>
    <w:rsid w:val="00FC6B0B"/>
    <w:rsid w:val="00FF24F8"/>
    <w:rsid w:val="2CB04CF6"/>
    <w:rsid w:val="69A8563E"/>
    <w:rsid w:val="6D45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4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0">
    <w:name w:val="页眉 Char"/>
    <w:link w:val="5"/>
    <w:uiPriority w:val="99"/>
    <w:rPr>
      <w:sz w:val="18"/>
      <w:szCs w:val="18"/>
    </w:rPr>
  </w:style>
  <w:style w:type="character" w:customStyle="1" w:styleId="11">
    <w:name w:val="font6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2">
    <w:name w:val="font21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51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14">
    <w:name w:val="页脚 Char"/>
    <w:link w:val="4"/>
    <w:uiPriority w:val="99"/>
    <w:rPr>
      <w:sz w:val="18"/>
      <w:szCs w:val="18"/>
    </w:rPr>
  </w:style>
  <w:style w:type="character" w:customStyle="1" w:styleId="15">
    <w:name w:val="font3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0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批注框文本 Char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页眉 Char1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1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框文本 Char1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1 Char"/>
    <w:basedOn w:val="7"/>
    <w:link w:val="2"/>
    <w:uiPriority w:val="9"/>
    <w:rPr>
      <w:rFonts w:ascii="Times New Roman" w:hAnsi="Times New Roman" w:eastAsia="宋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6D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380</Words>
  <Characters>2170</Characters>
  <Lines>18</Lines>
  <Paragraphs>5</Paragraphs>
  <TotalTime>62</TotalTime>
  <ScaleCrop>false</ScaleCrop>
  <LinksUpToDate>false</LinksUpToDate>
  <CharactersWithSpaces>2545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2024-01-29T04:47:00Z</dcterms:created>
  <dc:creator>SAMSUNG</dc:creator>
  <cp:lastModifiedBy>Administrator</cp:lastModifiedBy>
  <cp:lastPrinted>2021-01-28T04:52:00Z</cp:lastPrinted>
  <dcterms:modified xsi:type="dcterms:W3CDTF">2024-02-01T08:56:02Z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F4C3A00D51294E488A7B3DED4700F3EF_12</vt:lpwstr>
  </property>
</Properties>
</file>