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60" w:lineRule="exact"/>
        <w:jc w:val="center"/>
        <w:rPr>
          <w:rFonts w:ascii="方正小标宋简体" w:eastAsia="方正小标宋简体" w:cs="方正粗宋简体"/>
          <w:color w:val="FF0000"/>
          <w:w w:val="60"/>
          <w:sz w:val="96"/>
          <w:szCs w:val="96"/>
        </w:rPr>
      </w:pPr>
      <w:r>
        <w:rPr>
          <w:rFonts w:hint="eastAsia" w:ascii="方正小标宋简体" w:eastAsia="方正小标宋简体" w:cs="方正粗宋简体"/>
          <w:color w:val="FF0000"/>
          <w:w w:val="60"/>
          <w:sz w:val="96"/>
          <w:szCs w:val="96"/>
        </w:rPr>
        <w:t>中共北京市西城区园林绿化局党组</w:t>
      </w:r>
    </w:p>
    <w:p>
      <w:pPr>
        <w:spacing w:line="560" w:lineRule="exact"/>
        <w:jc w:val="center"/>
        <w:rPr>
          <w:rFonts w:ascii="仿宋_GB2312"/>
          <w:szCs w:val="32"/>
        </w:rPr>
      </w:pPr>
    </w:p>
    <w:p>
      <w:pPr>
        <w:spacing w:line="500" w:lineRule="exact"/>
        <w:jc w:val="center"/>
        <w:rPr>
          <w:rFonts w:ascii="仿宋_GB2312"/>
          <w:szCs w:val="32"/>
        </w:rPr>
      </w:pPr>
    </w:p>
    <w:p>
      <w:pPr>
        <w:spacing w:line="500" w:lineRule="exact"/>
        <w:ind w:firstLine="220" w:firstLineChars="50"/>
        <w:jc w:val="left"/>
        <w:rPr>
          <w:rFonts w:hint="eastAsia" w:eastAsia="仿宋_GB2312"/>
          <w:szCs w:val="32"/>
          <w:lang w:eastAsia="zh-CN"/>
        </w:rPr>
      </w:pPr>
      <w:r>
        <w:rPr>
          <w:rFonts w:hint="eastAsia" w:ascii="方正小标宋简体" w:hAnsi="宋体" w:eastAsia="方正小标宋简体"/>
          <w:bCs/>
          <w:sz w:val="44"/>
          <w:szCs w:val="44"/>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375285</wp:posOffset>
                </wp:positionV>
                <wp:extent cx="5627370" cy="198120"/>
                <wp:effectExtent l="15240" t="51435" r="15240" b="45720"/>
                <wp:wrapSquare wrapText="bothSides"/>
                <wp:docPr id="3" name="组合 3"/>
                <wp:cNvGraphicFramePr/>
                <a:graphic xmlns:a="http://schemas.openxmlformats.org/drawingml/2006/main">
                  <a:graphicData uri="http://schemas.microsoft.com/office/word/2010/wordprocessingGroup">
                    <wpg:wgp>
                      <wpg:cNvGrpSpPr/>
                      <wpg:grpSpPr>
                        <a:xfrm>
                          <a:off x="0" y="0"/>
                          <a:ext cx="5627370" cy="198120"/>
                          <a:chOff x="1588" y="4763"/>
                          <a:chExt cx="8862" cy="312"/>
                        </a:xfrm>
                      </wpg:grpSpPr>
                      <wps:wsp>
                        <wps:cNvPr id="4" name="Line 3"/>
                        <wps:cNvCnPr/>
                        <wps:spPr bwMode="auto">
                          <a:xfrm>
                            <a:off x="6310" y="4922"/>
                            <a:ext cx="4140" cy="0"/>
                          </a:xfrm>
                          <a:prstGeom prst="line">
                            <a:avLst/>
                          </a:prstGeom>
                          <a:noFill/>
                          <a:ln w="22225">
                            <a:solidFill>
                              <a:srgbClr val="FF0000"/>
                            </a:solidFill>
                            <a:round/>
                          </a:ln>
                        </wps:spPr>
                        <wps:bodyPr/>
                      </wps:wsp>
                      <wps:wsp>
                        <wps:cNvPr id="5" name="Line 4"/>
                        <wps:cNvCnPr/>
                        <wps:spPr bwMode="auto">
                          <a:xfrm>
                            <a:off x="1588" y="4922"/>
                            <a:ext cx="4140" cy="0"/>
                          </a:xfrm>
                          <a:prstGeom prst="line">
                            <a:avLst/>
                          </a:prstGeom>
                          <a:noFill/>
                          <a:ln w="22225">
                            <a:solidFill>
                              <a:srgbClr val="FF0000"/>
                            </a:solidFill>
                            <a:round/>
                          </a:ln>
                        </wps:spPr>
                        <wps:bodyPr/>
                      </wps:wsp>
                      <wps:wsp>
                        <wps:cNvPr id="6" name="AutoShape 5"/>
                        <wps:cNvSpPr>
                          <a:spLocks noChangeArrowheads="1"/>
                        </wps:cNvSpPr>
                        <wps:spPr bwMode="auto">
                          <a:xfrm>
                            <a:off x="5842" y="4763"/>
                            <a:ext cx="360" cy="312"/>
                          </a:xfrm>
                          <a:prstGeom prst="star5">
                            <a:avLst/>
                          </a:prstGeom>
                          <a:solidFill>
                            <a:srgbClr val="FF0000"/>
                          </a:solidFill>
                          <a:ln w="22225">
                            <a:solidFill>
                              <a:srgbClr val="FF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35pt;margin-top:29.55pt;height:15.6pt;width:443.1pt;mso-wrap-distance-bottom:0pt;mso-wrap-distance-left:9pt;mso-wrap-distance-right:9pt;mso-wrap-distance-top:0pt;z-index:251659264;mso-width-relative:page;mso-height-relative:page;" coordorigin="1588,4763" coordsize="8862,312" o:gfxdata="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Uv8cTdcAAAAHAQAADwAAAAAAAAABACAAAAAi&#10;AAAAZHJzL2Rvd25yZXYueG1sUEsBAhQAFAAAAAgAh07iQKvKy2LvAgAAeggAAA4AAAAAAAAAAQAg&#10;AAAAJgEAAGRycy9lMm9Eb2MueG1sUEsFBgAAAAAGAAYAWQEAAIcGAAAAAA==&#10;">
                <o:lock v:ext="edit" aspectratio="f"/>
                <v:line id="Line 3" o:spid="_x0000_s1026" o:spt="20" style="position:absolute;left:6310;top:4922;height:0;width:4140;" filled="f" stroked="t" coordsize="21600,21600" o:gfxdata="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OMhb4A&#10;AADaAAAADwAAAAAAAAABACAAAAAiAAAAZHJzL2Rvd25yZXYueG1sUEsBAhQAFAAAAAgAh07iQDMv&#10;BZ47AAAAOQAAABAAAAAAAAAAAQAgAAAADQEAAGRycy9zaGFwZXhtbC54bWxQSwUGAAAAAAYABgBb&#10;AQAAtwMAAAAA&#10;">
                  <v:fill on="f" focussize="0,0"/>
                  <v:stroke weight="1.75pt" color="#FF0000" joinstyle="round"/>
                  <v:imagedata o:title=""/>
                  <o:lock v:ext="edit" aspectratio="f"/>
                </v:line>
                <v:line id="Line 4" o:spid="_x0000_s1026" o:spt="20" style="position:absolute;left:1588;top:4922;height:0;width:4140;" filled="f" stroked="t" coordsize="21600,21600" o:gfxdata="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8pHr4A&#10;AADaAAAADwAAAAAAAAABACAAAAAiAAAAZHJzL2Rvd25yZXYueG1sUEsBAhQAFAAAAAgAh07iQDMv&#10;BZ47AAAAOQAAABAAAAAAAAAAAQAgAAAADQEAAGRycy9zaGFwZXhtbC54bWxQSwUGAAAAAAYABgBb&#10;AQAAtwMAAAAA&#10;">
                  <v:fill on="f" focussize="0,0"/>
                  <v:stroke weight="1.75pt" color="#FF0000" joinstyle="round"/>
                  <v:imagedata o:title=""/>
                  <o:lock v:ext="edit" aspectratio="f"/>
                </v:line>
                <v:shape id="AutoShape 5" o:spid="_x0000_s1026" style="position:absolute;left:5842;top:4763;height:312;width:360;" fillcolor="#FF0000" filled="t" stroked="t" coordsize="360,312" o:gfxdata="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wRanvQAA&#10;ANoAAAAPAAAAAAAAAAEAIAAAACIAAABkcnMvZG93bnJldi54bWxQSwECFAAUAAAACACHTuJAMy8F&#10;njsAAAA5AAAAEAAAAAAAAAABACAAAAAMAQAAZHJzL3NoYXBleG1sLnhtbFBLBQYAAAAABgAGAFsB&#10;AAC2AwAAAAA=&#10;" path="m0,119l137,119,180,0,222,119,359,119,248,192,291,311,180,238,68,311,111,192xe">
                  <v:path o:connectlocs="180,0;0,119;68,311;291,311;359,119" o:connectangles="247,164,82,82,0"/>
                  <v:fill on="t" focussize="0,0"/>
                  <v:stroke weight="1.75pt" color="#FF0000" miterlimit="8" joinstyle="miter"/>
                  <v:imagedata o:title=""/>
                  <o:lock v:ext="edit" aspectratio="f"/>
                </v:shape>
                <w10:wrap type="square"/>
              </v:group>
            </w:pict>
          </mc:Fallback>
        </mc:AlternateContent>
      </w:r>
      <w:r>
        <w:rPr>
          <w:rFonts w:hint="eastAsia" w:ascii="仿宋_GB2312"/>
          <w:szCs w:val="32"/>
        </w:rPr>
        <w:t>西园党组文〔20</w:t>
      </w:r>
      <w:r>
        <w:rPr>
          <w:rFonts w:hint="eastAsia" w:ascii="仿宋_GB2312"/>
          <w:szCs w:val="32"/>
          <w:lang w:val="en-US" w:eastAsia="zh-CN"/>
        </w:rPr>
        <w:t>23</w:t>
      </w:r>
      <w:r>
        <w:rPr>
          <w:rFonts w:hint="eastAsia" w:ascii="仿宋_GB2312"/>
          <w:szCs w:val="32"/>
        </w:rPr>
        <w:t>〕</w:t>
      </w:r>
      <w:r>
        <w:rPr>
          <w:rFonts w:hint="eastAsia" w:ascii="仿宋_GB2312"/>
          <w:szCs w:val="32"/>
          <w:lang w:val="en-US" w:eastAsia="zh-CN"/>
        </w:rPr>
        <w:t>8</w:t>
      </w:r>
      <w:r>
        <w:rPr>
          <w:rFonts w:hint="eastAsia" w:ascii="仿宋_GB2312"/>
          <w:szCs w:val="32"/>
        </w:rPr>
        <w:t xml:space="preserve">号                 </w:t>
      </w:r>
      <w:r>
        <w:rPr>
          <w:rFonts w:hint="eastAsia"/>
          <w:szCs w:val="32"/>
        </w:rPr>
        <w:t>签发人：</w:t>
      </w:r>
      <w:r>
        <w:rPr>
          <w:rFonts w:hint="eastAsia" w:ascii="楷体" w:hAnsi="楷体" w:eastAsia="楷体"/>
          <w:szCs w:val="32"/>
          <w:lang w:eastAsia="zh-CN"/>
        </w:rPr>
        <w:t>刘军良</w:t>
      </w:r>
    </w:p>
    <w:p>
      <w:pPr>
        <w:spacing w:line="580" w:lineRule="exact"/>
        <w:jc w:val="center"/>
        <w:rPr>
          <w:rFonts w:ascii="方正小标宋简体" w:hAnsi="宋体" w:eastAsia="方正小标宋简体"/>
          <w:bCs/>
          <w:sz w:val="44"/>
          <w:szCs w:val="44"/>
        </w:rPr>
      </w:pPr>
    </w:p>
    <w:p>
      <w:pPr>
        <w:spacing w:line="580" w:lineRule="exact"/>
        <w:jc w:val="center"/>
        <w:rPr>
          <w:rFonts w:ascii="方正小标宋简体" w:hAnsi="宋体" w:eastAsia="方正小标宋简体"/>
          <w:bCs/>
          <w:sz w:val="44"/>
          <w:szCs w:val="44"/>
        </w:rPr>
      </w:pPr>
    </w:p>
    <w:p>
      <w:pPr>
        <w:keepNext w:val="0"/>
        <w:keepLines w:val="0"/>
        <w:pageBreakBefore w:val="0"/>
        <w:kinsoku/>
        <w:wordWrap/>
        <w:overflowPunct/>
        <w:topLinePunct w:val="0"/>
        <w:autoSpaceDE/>
        <w:autoSpaceDN/>
        <w:bidi w:val="0"/>
        <w:adjustRightInd/>
        <w:snapToGrid/>
        <w:spacing w:line="680" w:lineRule="exact"/>
        <w:ind w:left="-160" w:leftChars="-50" w:right="-160" w:rightChars="-50"/>
        <w:jc w:val="center"/>
        <w:textAlignment w:val="auto"/>
        <w:rPr>
          <w:rFonts w:ascii="方正小标宋简体" w:eastAsia="方正小标宋简体"/>
          <w:sz w:val="44"/>
          <w:szCs w:val="44"/>
        </w:rPr>
      </w:pPr>
      <w:r>
        <w:rPr>
          <w:rFonts w:hint="eastAsia" w:ascii="方正小标宋简体" w:eastAsia="方正小标宋简体"/>
          <w:sz w:val="44"/>
          <w:szCs w:val="44"/>
        </w:rPr>
        <w:t>中共北京市西城区园林绿化局党组</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ascii="方正小标宋简体" w:eastAsia="方正小标宋简体" w:cs="方正小标宋简体"/>
          <w:spacing w:val="14"/>
          <w:sz w:val="44"/>
          <w:szCs w:val="44"/>
        </w:rPr>
      </w:pPr>
      <w:bookmarkStart w:id="0" w:name="_GoBack"/>
      <w:bookmarkEnd w:id="0"/>
      <w:r>
        <w:rPr>
          <w:rFonts w:hint="eastAsia" w:ascii="方正小标宋简体" w:eastAsia="方正小标宋简体" w:cs="方正小标宋简体"/>
          <w:spacing w:val="14"/>
          <w:sz w:val="44"/>
          <w:szCs w:val="44"/>
        </w:rPr>
        <w:t>关于</w:t>
      </w:r>
      <w:r>
        <w:rPr>
          <w:rFonts w:hint="eastAsia" w:ascii="方正小标宋简体" w:hAnsi="黑体" w:eastAsia="方正小标宋简体"/>
          <w:kern w:val="0"/>
          <w:sz w:val="44"/>
          <w:szCs w:val="44"/>
        </w:rPr>
        <w:t>20</w:t>
      </w:r>
      <w:r>
        <w:rPr>
          <w:rFonts w:hint="eastAsia" w:ascii="方正小标宋简体" w:hAnsi="黑体" w:eastAsia="方正小标宋简体"/>
          <w:kern w:val="0"/>
          <w:sz w:val="44"/>
          <w:szCs w:val="44"/>
          <w:lang w:val="en-US" w:eastAsia="zh-CN"/>
        </w:rPr>
        <w:t>23</w:t>
      </w:r>
      <w:r>
        <w:rPr>
          <w:rFonts w:hint="eastAsia" w:ascii="方正小标宋简体" w:hAnsi="黑体" w:eastAsia="方正小标宋简体"/>
          <w:kern w:val="0"/>
          <w:sz w:val="44"/>
          <w:szCs w:val="44"/>
        </w:rPr>
        <w:t>年度</w:t>
      </w:r>
      <w:r>
        <w:rPr>
          <w:rFonts w:hint="eastAsia" w:ascii="方正小标宋简体" w:hAnsi="黑体" w:eastAsia="方正小标宋简体"/>
          <w:kern w:val="0"/>
          <w:sz w:val="44"/>
          <w:szCs w:val="44"/>
          <w:lang w:eastAsia="zh-CN"/>
        </w:rPr>
        <w:t>全面</w:t>
      </w:r>
      <w:r>
        <w:rPr>
          <w:rFonts w:hint="eastAsia" w:ascii="方正小标宋简体" w:hAnsi="黑体" w:eastAsia="方正小标宋简体"/>
          <w:kern w:val="0"/>
          <w:sz w:val="44"/>
          <w:szCs w:val="44"/>
        </w:rPr>
        <w:t>工作</w:t>
      </w:r>
      <w:r>
        <w:rPr>
          <w:rFonts w:hint="eastAsia" w:ascii="方正小标宋简体" w:eastAsia="方正小标宋简体" w:cs="方正小标宋简体"/>
          <w:spacing w:val="14"/>
          <w:sz w:val="44"/>
          <w:szCs w:val="44"/>
        </w:rPr>
        <w:t>的报告</w:t>
      </w:r>
    </w:p>
    <w:p>
      <w:pPr>
        <w:widowControl/>
        <w:spacing w:line="520" w:lineRule="exact"/>
        <w:rPr>
          <w:rFonts w:ascii="黑体" w:hAnsi="黑体" w:eastAsia="黑体"/>
          <w:kern w:val="0"/>
          <w:szCs w:val="32"/>
        </w:rPr>
      </w:pPr>
    </w:p>
    <w:p>
      <w:pPr>
        <w:keepNext w:val="0"/>
        <w:keepLines w:val="0"/>
        <w:pageBreakBefore w:val="0"/>
        <w:widowControl/>
        <w:kinsoku/>
        <w:wordWrap/>
        <w:topLinePunct w:val="0"/>
        <w:bidi w:val="0"/>
        <w:spacing w:line="560" w:lineRule="exact"/>
        <w:textAlignment w:val="auto"/>
        <w:rPr>
          <w:rFonts w:ascii="仿宋_GB2312" w:hAnsi="宋体"/>
          <w:kern w:val="0"/>
          <w:szCs w:val="32"/>
        </w:rPr>
      </w:pPr>
      <w:r>
        <w:rPr>
          <w:rFonts w:hint="eastAsia" w:ascii="仿宋_GB2312" w:hAnsi="宋体"/>
          <w:kern w:val="0"/>
          <w:szCs w:val="32"/>
        </w:rPr>
        <w:t>区委：</w:t>
      </w:r>
    </w:p>
    <w:p>
      <w:pPr>
        <w:keepNext w:val="0"/>
        <w:keepLines w:val="0"/>
        <w:pageBreakBefore w:val="0"/>
        <w:widowControl/>
        <w:kinsoku/>
        <w:wordWrap/>
        <w:topLinePunct w:val="0"/>
        <w:bidi w:val="0"/>
        <w:spacing w:line="560" w:lineRule="exact"/>
        <w:ind w:firstLine="640" w:firstLineChars="200"/>
        <w:textAlignment w:val="auto"/>
        <w:rPr>
          <w:rFonts w:ascii="仿宋_GB2312" w:hAnsi="宋体"/>
          <w:kern w:val="0"/>
          <w:szCs w:val="32"/>
        </w:rPr>
      </w:pPr>
      <w:r>
        <w:rPr>
          <w:rFonts w:hint="eastAsia" w:ascii="仿宋_GB2312" w:hAnsi="宋体"/>
          <w:kern w:val="0"/>
          <w:szCs w:val="32"/>
        </w:rPr>
        <w:t>20</w:t>
      </w:r>
      <w:r>
        <w:rPr>
          <w:rFonts w:hint="eastAsia" w:ascii="仿宋_GB2312" w:hAnsi="宋体"/>
          <w:kern w:val="0"/>
          <w:szCs w:val="32"/>
          <w:lang w:val="en-US" w:eastAsia="zh-CN"/>
        </w:rPr>
        <w:t>23</w:t>
      </w:r>
      <w:r>
        <w:rPr>
          <w:rFonts w:hint="eastAsia" w:ascii="仿宋_GB2312" w:hAnsi="宋体"/>
          <w:kern w:val="0"/>
          <w:szCs w:val="32"/>
        </w:rPr>
        <w:t>年，我局在区委的正确领导下，认真履职，圆满完成全年各项工作，经梳理，现向区委报告20</w:t>
      </w:r>
      <w:r>
        <w:rPr>
          <w:rFonts w:hint="eastAsia" w:ascii="仿宋_GB2312" w:hAnsi="宋体"/>
          <w:kern w:val="0"/>
          <w:szCs w:val="32"/>
          <w:lang w:val="en-US" w:eastAsia="zh-CN"/>
        </w:rPr>
        <w:t>23</w:t>
      </w:r>
      <w:r>
        <w:rPr>
          <w:rFonts w:hint="eastAsia" w:ascii="仿宋_GB2312" w:hAnsi="宋体"/>
          <w:kern w:val="0"/>
          <w:szCs w:val="32"/>
        </w:rPr>
        <w:t>年度</w:t>
      </w:r>
      <w:r>
        <w:rPr>
          <w:rFonts w:hint="eastAsia" w:ascii="仿宋_GB2312" w:hAnsi="宋体"/>
          <w:kern w:val="0"/>
          <w:szCs w:val="32"/>
          <w:lang w:eastAsia="zh-CN"/>
        </w:rPr>
        <w:t>全面</w:t>
      </w:r>
      <w:r>
        <w:rPr>
          <w:rFonts w:hint="eastAsia" w:ascii="仿宋_GB2312" w:hAnsi="宋体"/>
          <w:kern w:val="0"/>
          <w:szCs w:val="32"/>
        </w:rPr>
        <w:t>工作情况。</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一、2023年工作完成情况</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hAnsi="仿宋" w:eastAsia="仿宋_GB2312"/>
          <w:b w:val="0"/>
          <w:bCs/>
          <w:color w:val="auto"/>
          <w:kern w:val="0"/>
          <w:sz w:val="32"/>
          <w:szCs w:val="32"/>
          <w:lang w:val="en-US" w:eastAsia="zh-CN"/>
        </w:rPr>
        <w:sectPr>
          <w:footerReference r:id="rId3" w:type="default"/>
          <w:footerReference r:id="rId4" w:type="even"/>
          <w:pgSz w:w="11906" w:h="16838"/>
          <w:pgMar w:top="4082" w:right="1531" w:bottom="1984" w:left="1531" w:header="851" w:footer="992" w:gutter="0"/>
          <w:pgNumType w:fmt="decimal" w:chapStyle="1"/>
          <w:cols w:space="0" w:num="1"/>
          <w:rtlGutter w:val="0"/>
          <w:docGrid w:linePitch="435" w:charSpace="0"/>
        </w:sectPr>
      </w:pPr>
      <w:r>
        <w:rPr>
          <w:rFonts w:hint="eastAsia" w:ascii="仿宋_GB2312" w:hAnsi="仿宋" w:eastAsia="仿宋_GB2312"/>
          <w:b w:val="0"/>
          <w:bCs/>
          <w:color w:val="auto"/>
          <w:kern w:val="0"/>
          <w:sz w:val="32"/>
          <w:szCs w:val="32"/>
          <w:lang w:val="en-US" w:eastAsia="zh-CN"/>
        </w:rPr>
        <w:t>在区委区政府的坚强领导下，西城区园林绿化局以习近平新时代中国特色社会主义思想为指导，全面贯彻落实党的二十大精神，深入贯彻</w:t>
      </w:r>
      <w:r>
        <w:rPr>
          <w:rFonts w:hint="eastAsia" w:ascii="仿宋_GB2312" w:hAnsi="仿宋" w:eastAsia="仿宋_GB2312" w:cs="Times New Roman"/>
          <w:b w:val="0"/>
          <w:color w:val="auto"/>
          <w:kern w:val="0"/>
          <w:sz w:val="32"/>
          <w:szCs w:val="32"/>
          <w:lang w:val="en-US" w:eastAsia="zh-CN" w:bidi="ar-SA"/>
        </w:rPr>
        <w:t>习近平生态文明思想，</w:t>
      </w:r>
      <w:r>
        <w:rPr>
          <w:rFonts w:hint="eastAsia" w:ascii="仿宋_GB2312" w:hAnsi="仿宋" w:eastAsia="仿宋_GB2312"/>
          <w:b w:val="0"/>
          <w:bCs/>
          <w:color w:val="auto"/>
          <w:kern w:val="0"/>
          <w:sz w:val="32"/>
          <w:szCs w:val="32"/>
          <w:lang w:val="en-US" w:eastAsia="zh-CN"/>
        </w:rPr>
        <w:t>围绕服务保</w:t>
      </w:r>
      <w:r>
        <w:rPr>
          <w:rFonts w:hint="eastAsia" w:ascii="仿宋_GB2312" w:hAnsi="仿宋" w:eastAsia="仿宋_GB2312" w:cs="Times New Roman"/>
          <w:b w:val="0"/>
          <w:color w:val="auto"/>
          <w:kern w:val="0"/>
          <w:sz w:val="32"/>
          <w:szCs w:val="32"/>
          <w:lang w:val="en-US" w:eastAsia="zh-CN" w:bidi="ar-SA"/>
        </w:rPr>
        <w:t>障首都核</w:t>
      </w:r>
      <w:r>
        <w:rPr>
          <w:rFonts w:hint="eastAsia" w:ascii="仿宋_GB2312" w:hAnsi="仿宋" w:eastAsia="仿宋_GB2312"/>
          <w:b w:val="0"/>
          <w:bCs/>
          <w:color w:val="auto"/>
          <w:kern w:val="0"/>
          <w:sz w:val="32"/>
          <w:szCs w:val="32"/>
          <w:lang w:val="en-US" w:eastAsia="zh-CN"/>
        </w:rPr>
        <w:t>心功能，</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jc w:val="both"/>
        <w:textAlignment w:val="auto"/>
        <w:rPr>
          <w:rFonts w:hint="eastAsia"/>
          <w:lang w:val="en-US" w:eastAsia="zh-CN"/>
        </w:rPr>
      </w:pPr>
      <w:r>
        <w:rPr>
          <w:rFonts w:hint="eastAsia" w:ascii="仿宋_GB2312" w:hAnsi="仿宋" w:eastAsia="仿宋_GB2312"/>
          <w:b w:val="0"/>
          <w:bCs/>
          <w:color w:val="auto"/>
          <w:kern w:val="0"/>
          <w:sz w:val="32"/>
          <w:szCs w:val="32"/>
          <w:lang w:val="en-US" w:eastAsia="zh-CN"/>
        </w:rPr>
        <w:t>以“花园城市”建设为抓手，圆满完成“留白增绿”、 园林绿化资源管护和全民义务植树等各项任务，区域绿色空间布局持续优化，生态环境质量明显改善，百姓绿色获得感不断增强。</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（一）全面从严治党深入推进</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color w:val="000000"/>
          <w:spacing w:val="0"/>
          <w:w w:val="100"/>
          <w:kern w:val="0"/>
          <w:position w:val="0"/>
          <w:sz w:val="32"/>
          <w:szCs w:val="32"/>
          <w:u w:val="none" w:color="auto"/>
          <w:shd w:val="clear" w:color="auto" w:fill="auto"/>
          <w:vertAlign w:val="baseline"/>
          <w:lang w:val="en-US" w:eastAsia="zh-CN"/>
        </w:rPr>
        <w:t>一是</w:t>
      </w:r>
      <w:r>
        <w:rPr>
          <w:rFonts w:hint="eastAsia" w:ascii="仿宋_GB2312" w:hAnsi="仿宋_GB2312" w:eastAsia="仿宋_GB2312" w:cs="仿宋_GB2312"/>
          <w:color w:val="000000"/>
          <w:spacing w:val="0"/>
          <w:w w:val="100"/>
          <w:kern w:val="0"/>
          <w:position w:val="0"/>
          <w:sz w:val="32"/>
          <w:szCs w:val="32"/>
          <w:u w:val="none" w:color="auto"/>
          <w:shd w:val="clear" w:color="auto" w:fill="auto"/>
          <w:vertAlign w:val="baseline"/>
          <w:lang w:val="en-US" w:eastAsia="zh-CN"/>
        </w:rPr>
        <w:t>强化政治建设。深入学习贯彻党的二十大精神，精心组织开展第二批主题教育，把学习贯彻习近平新时代中国特色社会主义思想作为首要政治任务，统筹推进理论学习、调查研究、检视整改等重点措施落实。开展党组理论中心组学习</w:t>
      </w:r>
      <w:r>
        <w:rPr>
          <w:rFonts w:hint="eastAsia" w:ascii="仿宋_GB2312" w:hAnsi="仿宋_GB2312" w:eastAsia="仿宋_GB2312" w:cs="仿宋_GB2312"/>
          <w:color w:val="auto"/>
          <w:spacing w:val="0"/>
          <w:w w:val="100"/>
          <w:kern w:val="0"/>
          <w:position w:val="0"/>
          <w:sz w:val="32"/>
          <w:szCs w:val="32"/>
          <w:u w:val="none" w:color="auto"/>
          <w:shd w:val="clear" w:color="auto" w:fill="auto"/>
          <w:vertAlign w:val="baseline"/>
          <w:lang w:val="en-US" w:eastAsia="zh-CN"/>
        </w:rPr>
        <w:t>24</w:t>
      </w:r>
      <w:r>
        <w:rPr>
          <w:rFonts w:hint="eastAsia" w:ascii="仿宋_GB2312" w:hAnsi="仿宋_GB2312" w:eastAsia="仿宋_GB2312" w:cs="仿宋_GB2312"/>
          <w:color w:val="000000"/>
          <w:spacing w:val="0"/>
          <w:w w:val="100"/>
          <w:kern w:val="0"/>
          <w:position w:val="0"/>
          <w:sz w:val="32"/>
          <w:szCs w:val="32"/>
          <w:u w:val="none" w:color="auto"/>
          <w:shd w:val="clear" w:color="auto" w:fill="auto"/>
          <w:vertAlign w:val="baseline"/>
          <w:lang w:val="en-US" w:eastAsia="zh-CN"/>
        </w:rPr>
        <w:t>次、处级集中读书班1期（5天）、党员干部集中学习35次、主题党日活动6次、专题研讨4次，各级党组织书记为党员讲授党课，聚焦中心工作开展调查研究，推动花园城市建设、</w:t>
      </w:r>
      <w:r>
        <w:rPr>
          <w:rFonts w:hint="eastAsia" w:ascii="仿宋_GB2312" w:hAnsi="仿宋_GB2312" w:eastAsia="仿宋_GB2312" w:cs="仿宋_GB2312"/>
          <w:color w:val="auto"/>
          <w:sz w:val="32"/>
          <w:szCs w:val="32"/>
          <w:lang w:val="en-US" w:eastAsia="zh-CN"/>
        </w:rPr>
        <w:t>公园绿地500米服务半径消盲等重点难点工作破题见效</w:t>
      </w:r>
      <w:r>
        <w:rPr>
          <w:rFonts w:hint="eastAsia" w:ascii="仿宋_GB2312" w:hAnsi="仿宋_GB2312" w:eastAsia="仿宋_GB2312" w:cs="仿宋_GB2312"/>
          <w:color w:val="000000"/>
          <w:spacing w:val="0"/>
          <w:w w:val="100"/>
          <w:kern w:val="0"/>
          <w:position w:val="0"/>
          <w:sz w:val="32"/>
          <w:szCs w:val="32"/>
          <w:u w:val="none" w:color="auto"/>
          <w:shd w:val="clear" w:color="auto" w:fill="auto"/>
          <w:vertAlign w:val="baseline"/>
          <w:lang w:val="en-US" w:eastAsia="zh-CN"/>
        </w:rPr>
        <w:t>。全系统深刻领悟“两个确立”的决定性意义，增强“四个意识”、坚定“四个自信”、做到“两个维护”的自觉性进一步提高。</w:t>
      </w:r>
      <w:r>
        <w:rPr>
          <w:rFonts w:hint="eastAsia" w:ascii="仿宋_GB2312" w:hAnsi="Times New Roman" w:eastAsia="仿宋_GB2312" w:cs="Times New Roman"/>
          <w:b/>
          <w:bCs/>
          <w:kern w:val="2"/>
          <w:sz w:val="32"/>
          <w:szCs w:val="21"/>
          <w:lang w:val="en-US" w:eastAsia="zh-CN" w:bidi="ar-SA"/>
        </w:rPr>
        <w:t>二是</w:t>
      </w:r>
      <w:r>
        <w:rPr>
          <w:rFonts w:hint="eastAsia" w:ascii="仿宋_GB2312" w:hAnsi="Times New Roman" w:eastAsia="仿宋_GB2312" w:cs="Times New Roman"/>
          <w:kern w:val="2"/>
          <w:sz w:val="32"/>
          <w:szCs w:val="21"/>
          <w:lang w:val="en-US" w:eastAsia="zh-CN" w:bidi="ar-SA"/>
        </w:rPr>
        <w:t>“两个工程”稳步推进。</w:t>
      </w:r>
      <w:r>
        <w:rPr>
          <w:rFonts w:hint="eastAsia" w:ascii="仿宋_GB2312" w:hAnsi="仿宋_GB2312" w:eastAsia="仿宋_GB2312" w:cs="仿宋_GB2312"/>
          <w:sz w:val="32"/>
          <w:szCs w:val="32"/>
          <w:lang w:val="en-US" w:eastAsia="zh-CN"/>
        </w:rPr>
        <w:t>建立“双提升”工程问题和提升事项清单5类29条，并抓好</w:t>
      </w:r>
      <w:r>
        <w:rPr>
          <w:rFonts w:hint="eastAsia" w:ascii="仿宋_GB2312" w:hAnsi="仿宋_GB2312" w:eastAsia="仿宋_GB2312" w:cs="仿宋_GB2312"/>
          <w:color w:val="auto"/>
          <w:sz w:val="32"/>
          <w:szCs w:val="32"/>
          <w:lang w:val="en-US" w:eastAsia="zh-CN"/>
        </w:rPr>
        <w:t>整改落实</w:t>
      </w:r>
      <w:r>
        <w:rPr>
          <w:rFonts w:hint="eastAsia" w:ascii="仿宋_GB2312" w:hAnsi="仿宋_GB2312" w:eastAsia="仿宋_GB2312" w:cs="仿宋_GB2312"/>
          <w:sz w:val="32"/>
          <w:szCs w:val="32"/>
          <w:lang w:val="en-US" w:eastAsia="zh-CN"/>
        </w:rPr>
        <w:t>，机关党委研究制定</w:t>
      </w:r>
      <w:r>
        <w:rPr>
          <w:rFonts w:hint="default" w:ascii="仿宋_GB2312" w:hAnsi="仿宋_GB2312" w:eastAsia="仿宋_GB2312" w:cs="仿宋_GB2312"/>
          <w:sz w:val="32"/>
          <w:szCs w:val="32"/>
          <w:lang w:val="en-US" w:eastAsia="zh-CN"/>
        </w:rPr>
        <w:t>“1+N工作法”，形成10个实践案例，推动难点问题取得新突破</w:t>
      </w:r>
      <w:r>
        <w:rPr>
          <w:rFonts w:hint="eastAsia" w:ascii="仿宋_GB2312" w:hAnsi="仿宋_GB2312" w:eastAsia="仿宋_GB2312" w:cs="仿宋_GB2312"/>
          <w:sz w:val="32"/>
          <w:szCs w:val="32"/>
          <w:lang w:val="en-US" w:eastAsia="zh-CN"/>
        </w:rPr>
        <w:t>，</w:t>
      </w:r>
      <w:r>
        <w:rPr>
          <w:rFonts w:hint="eastAsia" w:ascii="仿宋_GB2312" w:hAnsi="Times New Roman" w:eastAsia="仿宋_GB2312" w:cs="Times New Roman"/>
          <w:kern w:val="2"/>
          <w:sz w:val="32"/>
          <w:szCs w:val="21"/>
          <w:lang w:val="en-US" w:eastAsia="zh-CN" w:bidi="ar-SA"/>
        </w:rPr>
        <w:t>全局工作运转效能和干部队伍能力素质得到</w:t>
      </w:r>
      <w:r>
        <w:rPr>
          <w:rFonts w:hint="eastAsia" w:ascii="仿宋_GB2312" w:hAnsi="仿宋_GB2312" w:eastAsia="仿宋_GB2312" w:cs="仿宋_GB2312"/>
          <w:bCs/>
          <w:sz w:val="32"/>
          <w:szCs w:val="32"/>
          <w:lang w:val="en-US" w:eastAsia="zh-CN"/>
        </w:rPr>
        <w:t>明显提升</w:t>
      </w:r>
      <w:r>
        <w:rPr>
          <w:rFonts w:hint="eastAsia" w:ascii="仿宋_GB2312" w:hAnsi="Times New Roman" w:eastAsia="仿宋_GB2312" w:cs="Times New Roman"/>
          <w:kern w:val="2"/>
          <w:sz w:val="32"/>
          <w:szCs w:val="21"/>
          <w:lang w:val="en-US" w:eastAsia="zh-CN" w:bidi="ar-SA"/>
        </w:rPr>
        <w:t>。引领带动全局党员干部践行“红墙意识”，积极参加</w:t>
      </w:r>
      <w:r>
        <w:rPr>
          <w:rFonts w:hint="eastAsia" w:ascii="仿宋_GB2312" w:hAnsi="仿宋_GB2312" w:eastAsia="仿宋_GB2312" w:cs="仿宋_GB2312"/>
          <w:sz w:val="32"/>
          <w:szCs w:val="32"/>
          <w:lang w:val="en-US" w:eastAsia="zh-CN"/>
        </w:rPr>
        <w:t>志愿服务、党员“双报到”和“共产献爱心”等活动，争当“红墙先锋”</w:t>
      </w:r>
      <w:r>
        <w:rPr>
          <w:rFonts w:hint="eastAsia" w:ascii="仿宋_GB2312" w:hAnsi="仿宋_GB2312" w:cs="仿宋_GB2312"/>
          <w:sz w:val="32"/>
          <w:szCs w:val="32"/>
          <w:lang w:val="en-US" w:eastAsia="zh-CN"/>
        </w:rPr>
        <w:t>，切实做到联系群众、服务群众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从严治党主体责任全面落实。</w:t>
      </w:r>
      <w:r>
        <w:rPr>
          <w:rFonts w:hint="eastAsia" w:ascii="仿宋_GB2312" w:hAnsi="仿宋_GB2312" w:eastAsia="仿宋_GB2312" w:cs="仿宋_GB2312"/>
          <w:sz w:val="32"/>
          <w:szCs w:val="32"/>
        </w:rPr>
        <w:t>坚持把党的领导贯穿</w:t>
      </w:r>
      <w:r>
        <w:rPr>
          <w:rFonts w:hint="eastAsia" w:ascii="仿宋_GB2312" w:hAnsi="仿宋_GB2312" w:eastAsia="仿宋_GB2312" w:cs="仿宋_GB2312"/>
          <w:sz w:val="32"/>
          <w:szCs w:val="32"/>
          <w:lang w:eastAsia="zh-CN"/>
        </w:rPr>
        <w:t>园林绿化和依法行政</w:t>
      </w:r>
      <w:r>
        <w:rPr>
          <w:rFonts w:hint="eastAsia" w:ascii="仿宋_GB2312" w:hAnsi="仿宋_GB2312" w:eastAsia="仿宋_GB2312" w:cs="仿宋_GB2312"/>
          <w:sz w:val="32"/>
          <w:szCs w:val="32"/>
        </w:rPr>
        <w:t>全过程、各</w:t>
      </w:r>
      <w:r>
        <w:rPr>
          <w:rFonts w:hint="eastAsia" w:ascii="仿宋_GB2312" w:hAnsi="仿宋_GB2312" w:eastAsia="仿宋_GB2312" w:cs="仿宋_GB2312"/>
          <w:sz w:val="32"/>
          <w:szCs w:val="32"/>
          <w:lang w:eastAsia="zh-CN"/>
        </w:rPr>
        <w:t>环节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扎实履行“一岗双责”，认真开展政治分析研判，</w:t>
      </w:r>
      <w:r>
        <w:rPr>
          <w:rFonts w:hint="eastAsia" w:ascii="仿宋_GB2312" w:hAnsi="Times New Roman" w:eastAsia="仿宋_GB2312" w:cs="Times New Roman"/>
          <w:sz w:val="32"/>
          <w:szCs w:val="32"/>
        </w:rPr>
        <w:t>持之以恒正风肃纪反腐</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深化党章党规党纪和法律法规宣传教育，营造风清气正的</w:t>
      </w:r>
      <w:r>
        <w:rPr>
          <w:rFonts w:hint="eastAsia" w:ascii="仿宋_GB2312" w:hAnsi="仿宋_GB2312" w:eastAsia="仿宋_GB2312" w:cs="仿宋_GB2312"/>
          <w:sz w:val="32"/>
          <w:szCs w:val="32"/>
        </w:rPr>
        <w:t>政治生态。</w:t>
      </w:r>
      <w:r>
        <w:rPr>
          <w:rFonts w:hint="eastAsia" w:ascii="仿宋_GB2312" w:hAnsi="仿宋_GB2312" w:cs="仿宋_GB2312"/>
          <w:sz w:val="32"/>
          <w:szCs w:val="32"/>
          <w:lang w:eastAsia="zh-CN"/>
        </w:rPr>
        <w:t>局党组</w:t>
      </w:r>
      <w:r>
        <w:rPr>
          <w:rFonts w:hint="eastAsia" w:ascii="仿宋_GB2312" w:hAnsi="仿宋_GB2312" w:eastAsia="仿宋_GB2312" w:cs="仿宋_GB2312"/>
          <w:sz w:val="32"/>
          <w:szCs w:val="32"/>
          <w:lang w:val="en-US" w:eastAsia="zh-CN"/>
        </w:rPr>
        <w:t>认真履行执行党内法规主体责任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严格执行党内法规，自觉维护党内法规权威，认真分析情况，及时解决执行中的重要问题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将党内法规纳入党组理论中心组学习重要内容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修订了局党组工作规则</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局党组关于贯彻执行“三重一大”制度的规定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确保党组工作的规范化、制度化</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不断增强“阵地意识”、网络安全意识和保密意识，积极防范化解意识形态领域风险隐患，牢牢把握意识形态工作主动权。</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基层党组</w:t>
      </w:r>
      <w:r>
        <w:rPr>
          <w:rFonts w:hint="eastAsia" w:ascii="仿宋_GB2312" w:hAnsi="仿宋_GB2312" w:eastAsia="仿宋_GB2312" w:cs="仿宋_GB2312"/>
          <w:sz w:val="32"/>
          <w:szCs w:val="32"/>
          <w:lang w:val="en-US" w:eastAsia="zh-CN"/>
        </w:rPr>
        <w:t>织更加坚强有力。各支部认真落实“三会一课”等制度，标准化规范化建设水平进一步提高。</w:t>
      </w:r>
      <w:r>
        <w:rPr>
          <w:rFonts w:hint="default" w:ascii="仿宋_GB2312" w:hAnsi="仿宋_GB2312" w:eastAsia="仿宋_GB2312" w:cs="仿宋_GB2312"/>
          <w:sz w:val="32"/>
          <w:szCs w:val="32"/>
          <w:lang w:val="en-US" w:eastAsia="zh-CN"/>
        </w:rPr>
        <w:t>创建基层党建与业务高度融合品牌4个、党支部工作法2个。</w:t>
      </w:r>
      <w:r>
        <w:rPr>
          <w:rFonts w:hint="eastAsia" w:ascii="仿宋_GB2312" w:hAnsi="仿宋_GB2312" w:eastAsia="仿宋_GB2312" w:cs="仿宋_GB2312"/>
          <w:sz w:val="32"/>
          <w:szCs w:val="32"/>
          <w:lang w:val="en-US" w:eastAsia="zh-CN"/>
        </w:rPr>
        <w:t>深化党建引领基层治理，带动党员干部在服务群众中展现更多担当作为。</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干部队伍进一步优化。坚持党管人才原则，严格干部选拔任用，完成1名三级调研员、3名一级主任科员职级晋升，2名正科级干部试用转正和1名基层干部挂职交流工作。</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（二）服务首都核心功能水平进一步提高</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pPr>
      <w:r>
        <w:rPr>
          <w:rFonts w:hint="eastAsia" w:ascii="仿宋_GB2312" w:eastAsia="仿宋_GB2312" w:cs="宋体"/>
          <w:b/>
          <w:bCs/>
          <w:sz w:val="32"/>
          <w:szCs w:val="32"/>
          <w:lang w:val="en-US" w:eastAsia="zh-CN"/>
        </w:rPr>
        <w:t>一是</w:t>
      </w:r>
      <w:r>
        <w:rPr>
          <w:rFonts w:hint="eastAsia" w:ascii="仿宋_GB2312" w:eastAsia="仿宋_GB2312" w:cs="宋体"/>
          <w:sz w:val="32"/>
          <w:szCs w:val="32"/>
          <w:lang w:val="en-US" w:eastAsia="zh-CN"/>
        </w:rPr>
        <w:t>高质量完成</w:t>
      </w:r>
      <w:r>
        <w:rPr>
          <w:rFonts w:hint="eastAsia" w:ascii="仿宋_GB2312" w:eastAsia="仿宋_GB2312" w:cs="宋体"/>
          <w:sz w:val="32"/>
          <w:szCs w:val="32"/>
          <w:lang w:eastAsia="zh-CN"/>
        </w:rPr>
        <w:t>国家重大活动、重要节日景观环境服务保障任务。</w:t>
      </w:r>
      <w:r>
        <w:rPr>
          <w:rFonts w:hint="eastAsia" w:ascii="仿宋_GB2312" w:eastAsia="仿宋_GB2312" w:cs="宋体"/>
          <w:sz w:val="32"/>
          <w:szCs w:val="32"/>
          <w:lang w:val="en-US" w:eastAsia="zh-CN"/>
        </w:rPr>
        <w:t>在</w:t>
      </w:r>
      <w:r>
        <w:rPr>
          <w:rFonts w:hint="eastAsia" w:ascii="仿宋_GB2312" w:eastAsia="仿宋_GB2312" w:cs="宋体"/>
          <w:sz w:val="32"/>
          <w:szCs w:val="32"/>
        </w:rPr>
        <w:t>庆祝新中国成立74周年和“一带一路”国际合作高峰论坛</w:t>
      </w:r>
      <w:r>
        <w:rPr>
          <w:rFonts w:hint="eastAsia" w:ascii="仿宋_GB2312" w:eastAsia="仿宋_GB2312" w:cs="宋体"/>
          <w:sz w:val="32"/>
          <w:szCs w:val="32"/>
          <w:lang w:val="en-US" w:eastAsia="zh-CN"/>
        </w:rPr>
        <w:t>期间，</w:t>
      </w:r>
      <w:r>
        <w:rPr>
          <w:rFonts w:hint="eastAsia" w:ascii="仿宋_GB2312" w:eastAsia="仿宋_GB2312" w:cs="宋体"/>
          <w:sz w:val="32"/>
          <w:szCs w:val="32"/>
        </w:rPr>
        <w:t>全区</w:t>
      </w:r>
      <w:r>
        <w:rPr>
          <w:rFonts w:hint="eastAsia" w:ascii="仿宋_GB2312" w:eastAsia="仿宋_GB2312" w:cs="宋体"/>
          <w:sz w:val="32"/>
          <w:szCs w:val="32"/>
          <w:lang w:val="en-US" w:eastAsia="zh-CN"/>
        </w:rPr>
        <w:t>共</w:t>
      </w:r>
      <w:r>
        <w:rPr>
          <w:rFonts w:hint="eastAsia" w:ascii="仿宋_GB2312" w:eastAsia="仿宋_GB2312" w:cs="宋体"/>
          <w:sz w:val="32"/>
          <w:szCs w:val="32"/>
        </w:rPr>
        <w:t>设立主题花坛5座，栽植地栽花卉1.4万余</w:t>
      </w:r>
      <w:r>
        <w:rPr>
          <w:rFonts w:hint="eastAsia" w:ascii="仿宋_GB2312" w:eastAsia="仿宋_GB2312"/>
          <w:sz w:val="32"/>
          <w:szCs w:val="32"/>
        </w:rPr>
        <w:t>平方米，</w:t>
      </w:r>
      <w:r>
        <w:rPr>
          <w:rFonts w:hint="eastAsia" w:ascii="仿宋_GB2312" w:eastAsia="仿宋_GB2312"/>
          <w:sz w:val="32"/>
          <w:szCs w:val="32"/>
          <w:lang w:val="en-US" w:eastAsia="zh-CN"/>
        </w:rPr>
        <w:t>精心维护</w:t>
      </w:r>
      <w:r>
        <w:rPr>
          <w:rFonts w:hint="eastAsia" w:ascii="仿宋_GB2312" w:eastAsia="仿宋_GB2312"/>
          <w:sz w:val="32"/>
          <w:szCs w:val="32"/>
        </w:rPr>
        <w:t>重点区域周边及沿线</w:t>
      </w:r>
      <w:r>
        <w:rPr>
          <w:rFonts w:hint="eastAsia" w:ascii="仿宋_GB2312" w:eastAsia="仿宋_GB2312"/>
          <w:sz w:val="32"/>
          <w:szCs w:val="32"/>
          <w:lang w:eastAsia="zh-CN"/>
        </w:rPr>
        <w:t>绿地环境</w:t>
      </w:r>
      <w:r>
        <w:rPr>
          <w:rFonts w:hint="eastAsia" w:ascii="仿宋_GB2312" w:eastAsia="仿宋_GB2312"/>
          <w:sz w:val="32"/>
          <w:szCs w:val="32"/>
        </w:rPr>
        <w:t>，营造出隆重热烈、喜庆祥和</w:t>
      </w:r>
      <w:r>
        <w:rPr>
          <w:rFonts w:hint="eastAsia" w:ascii="仿宋_GB2312" w:eastAsia="仿宋_GB2312"/>
          <w:sz w:val="32"/>
          <w:szCs w:val="32"/>
          <w:lang w:eastAsia="zh-CN"/>
        </w:rPr>
        <w:t>、</w:t>
      </w:r>
      <w:r>
        <w:rPr>
          <w:rFonts w:hint="eastAsia" w:ascii="仿宋_GB2312" w:eastAsia="仿宋_GB2312"/>
          <w:sz w:val="32"/>
          <w:szCs w:val="32"/>
        </w:rPr>
        <w:t>整洁优美的城市氛围。</w:t>
      </w:r>
      <w:r>
        <w:rPr>
          <w:rFonts w:hint="eastAsia" w:ascii="仿宋_GB2312" w:eastAsia="仿宋_GB2312" w:cs="宋体"/>
          <w:b/>
          <w:bCs/>
          <w:sz w:val="32"/>
          <w:szCs w:val="32"/>
          <w:lang w:val="en-US" w:eastAsia="zh-CN"/>
        </w:rPr>
        <w:t>二是</w:t>
      </w:r>
      <w:r>
        <w:rPr>
          <w:rFonts w:hint="eastAsia" w:ascii="仿宋_GB2312" w:eastAsia="仿宋_GB2312" w:cs="宋体"/>
          <w:sz w:val="32"/>
          <w:szCs w:val="32"/>
          <w:lang w:val="en-US" w:eastAsia="zh-CN"/>
        </w:rPr>
        <w:t>高效为驻区中央国家单位做好服务。</w:t>
      </w:r>
      <w:r>
        <w:rPr>
          <w:rFonts w:hint="eastAsia" w:ascii="仿宋_GB2312" w:hAnsi="仿宋_GB2312" w:eastAsia="仿宋_GB2312" w:cs="仿宋_GB2312"/>
          <w:sz w:val="32"/>
          <w:szCs w:val="32"/>
          <w:lang w:val="en-US" w:eastAsia="zh-CN"/>
        </w:rPr>
        <w:t>为中纪委、新华通讯社和国资委等单位提供</w:t>
      </w:r>
      <w:r>
        <w:rPr>
          <w:rFonts w:hint="eastAsia" w:ascii="仿宋_GB2312" w:eastAsia="仿宋_GB2312" w:cs="宋体"/>
          <w:sz w:val="32"/>
          <w:szCs w:val="32"/>
          <w:lang w:val="zh-CN" w:eastAsia="zh-CN"/>
        </w:rPr>
        <w:t>病虫害防治、</w:t>
      </w:r>
      <w:r>
        <w:rPr>
          <w:rFonts w:hint="eastAsia" w:ascii="仿宋_GB2312" w:eastAsia="仿宋_GB2312" w:cs="宋体"/>
          <w:sz w:val="32"/>
          <w:szCs w:val="32"/>
          <w:lang w:val="en-US" w:eastAsia="zh-CN"/>
        </w:rPr>
        <w:t>树木修剪和危险树木审批</w:t>
      </w:r>
      <w:r>
        <w:rPr>
          <w:rFonts w:hint="eastAsia" w:ascii="仿宋_GB2312" w:eastAsia="仿宋_GB2312" w:cs="宋体"/>
          <w:sz w:val="32"/>
          <w:szCs w:val="32"/>
          <w:lang w:val="zh-CN" w:eastAsia="zh-CN"/>
        </w:rPr>
        <w:t>等</w:t>
      </w:r>
      <w:r>
        <w:rPr>
          <w:rFonts w:hint="eastAsia" w:ascii="仿宋_GB2312" w:eastAsia="仿宋_GB2312" w:cs="宋体"/>
          <w:sz w:val="32"/>
          <w:szCs w:val="32"/>
          <w:lang w:val="en-US" w:eastAsia="zh-CN"/>
        </w:rPr>
        <w:t>绿化指导服务，协助做好</w:t>
      </w:r>
      <w:r>
        <w:rPr>
          <w:rFonts w:hint="eastAsia" w:ascii="仿宋_GB2312" w:hAnsi="仿宋_GB2312" w:eastAsia="仿宋_GB2312" w:cs="仿宋_GB2312"/>
          <w:sz w:val="32"/>
          <w:szCs w:val="32"/>
          <w:lang w:val="en-US" w:eastAsia="zh-CN"/>
        </w:rPr>
        <w:t>古树保护、西海湿地公园等观摩交流活动，</w:t>
      </w:r>
      <w:r>
        <w:rPr>
          <w:rFonts w:hint="eastAsia" w:ascii="仿宋_GB2312" w:eastAsia="仿宋_GB2312" w:cs="宋体"/>
          <w:sz w:val="32"/>
          <w:szCs w:val="32"/>
          <w:lang w:val="en-US" w:eastAsia="zh-CN"/>
        </w:rPr>
        <w:t>得到中央、国家单位的认</w:t>
      </w:r>
      <w:r>
        <w:rPr>
          <w:rFonts w:hint="eastAsia" w:ascii="仿宋_GB2312" w:hAnsi="仿宋_GB2312" w:eastAsia="仿宋_GB2312" w:cs="仿宋_GB2312"/>
          <w:sz w:val="32"/>
          <w:szCs w:val="32"/>
          <w:lang w:val="en-US" w:eastAsia="zh-CN"/>
        </w:rPr>
        <w:t>可与高度评价</w:t>
      </w:r>
      <w:r>
        <w:rPr>
          <w:rFonts w:hint="eastAsia" w:ascii="仿宋_GB2312" w:hAnsi="仿宋_GB2312" w:cs="仿宋_GB2312"/>
          <w:sz w:val="32"/>
          <w:szCs w:val="32"/>
          <w:lang w:val="en-US" w:eastAsia="zh-CN"/>
        </w:rPr>
        <w:t>。</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（三）“花园城市”建设初见成效</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成立工作专班，</w:t>
      </w:r>
      <w:r>
        <w:rPr>
          <w:rFonts w:hint="eastAsia" w:ascii="仿宋_GB2312" w:hAnsi="仿宋_GB2312" w:eastAsia="仿宋_GB2312" w:cs="仿宋_GB2312"/>
          <w:color w:val="auto"/>
          <w:sz w:val="32"/>
          <w:szCs w:val="32"/>
          <w:lang w:eastAsia="zh-CN"/>
        </w:rPr>
        <w:t>制发《西城区“花园城市”建设工作方案》，并编制建设规划方案及三年行动计划。</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sz w:val="32"/>
          <w:szCs w:val="32"/>
        </w:rPr>
        <w:t>探索创建路径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转变工作思路，</w:t>
      </w:r>
      <w:r>
        <w:rPr>
          <w:rFonts w:hint="eastAsia" w:ascii="仿宋_GB2312" w:hAnsi="仿宋_GB2312" w:eastAsia="仿宋_GB2312" w:cs="仿宋_GB2312"/>
          <w:color w:val="auto"/>
          <w:sz w:val="32"/>
          <w:szCs w:val="32"/>
          <w:lang w:val="en-US" w:eastAsia="zh-CN"/>
        </w:rPr>
        <w:t>以德胜街道和西长安街街道为试点，重点开展规划建绿等7项工作并取得实效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color w:val="000000"/>
          <w:sz w:val="32"/>
          <w:szCs w:val="32"/>
          <w:lang w:eastAsia="zh-CN"/>
        </w:rPr>
        <w:t>成功创建</w:t>
      </w:r>
      <w:r>
        <w:rPr>
          <w:rFonts w:hint="eastAsia" w:ascii="仿宋_GB2312" w:hAnsi="仿宋_GB2312" w:cs="仿宋_GB2312"/>
          <w:b w:val="0"/>
          <w:bCs w:val="0"/>
          <w:color w:val="000000"/>
          <w:sz w:val="32"/>
          <w:szCs w:val="32"/>
          <w:lang w:val="en-US" w:eastAsia="zh-CN"/>
        </w:rPr>
        <w:t>1个</w:t>
      </w:r>
      <w:r>
        <w:rPr>
          <w:rFonts w:hint="eastAsia" w:ascii="仿宋_GB2312" w:hAnsi="仿宋_GB2312" w:eastAsia="仿宋_GB2312" w:cs="仿宋_GB2312"/>
          <w:color w:val="000000"/>
          <w:sz w:val="32"/>
          <w:szCs w:val="32"/>
          <w:lang w:val="en-US" w:eastAsia="zh-CN"/>
        </w:rPr>
        <w:t>花园式社区和</w:t>
      </w:r>
      <w:r>
        <w:rPr>
          <w:rFonts w:hint="eastAsia" w:ascii="仿宋_GB2312" w:hAnsi="仿宋_GB2312" w:cs="仿宋_GB2312"/>
          <w:color w:val="000000"/>
          <w:sz w:val="32"/>
          <w:szCs w:val="32"/>
          <w:lang w:val="en-US" w:eastAsia="zh-CN"/>
        </w:rPr>
        <w:t>1个</w:t>
      </w:r>
      <w:r>
        <w:rPr>
          <w:rFonts w:hint="eastAsia" w:ascii="仿宋_GB2312" w:hAnsi="仿宋_GB2312" w:eastAsia="仿宋_GB2312" w:cs="仿宋_GB2312"/>
          <w:color w:val="000000"/>
          <w:sz w:val="32"/>
          <w:szCs w:val="32"/>
          <w:lang w:val="en-US" w:eastAsia="zh-CN"/>
        </w:rPr>
        <w:t>花园式单位。</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（四）增绿扩绿成果丰硕</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“留白增绿”</w:t>
      </w:r>
      <w:r>
        <w:rPr>
          <w:rFonts w:hint="eastAsia" w:ascii="仿宋_GB2312" w:hAnsi="仿宋_GB2312" w:eastAsia="仿宋_GB2312" w:cs="仿宋_GB2312"/>
          <w:sz w:val="32"/>
          <w:szCs w:val="32"/>
          <w:lang w:val="en-US" w:eastAsia="zh-CN"/>
        </w:rPr>
        <w:t>有力推进</w:t>
      </w:r>
      <w:r>
        <w:rPr>
          <w:rFonts w:hint="eastAsia" w:ascii="仿宋_GB2312" w:hAnsi="仿宋_GB2312" w:eastAsia="仿宋_GB2312" w:cs="仿宋_GB2312"/>
          <w:sz w:val="32"/>
          <w:szCs w:val="32"/>
          <w:lang w:eastAsia="zh-CN"/>
        </w:rPr>
        <w:t>。全年共</w:t>
      </w:r>
      <w:r>
        <w:rPr>
          <w:rFonts w:hint="eastAsia" w:ascii="仿宋_GB2312" w:hAnsi="仿宋" w:eastAsia="仿宋_GB2312" w:cs="Times New Roman"/>
          <w:kern w:val="0"/>
          <w:sz w:val="32"/>
          <w:szCs w:val="32"/>
        </w:rPr>
        <w:t>新建安康园、滨南绿地、莳花园等10处城市绿地1.29公顷，完成3个全龄友好公园和11处城市绿地改造5.17公顷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立体绿化扮靓城市空间。</w:t>
      </w:r>
      <w:r>
        <w:rPr>
          <w:rFonts w:hint="eastAsia" w:ascii="仿宋_GB2312" w:hAnsi="仿宋_GB2312" w:eastAsia="仿宋_GB2312" w:cs="仿宋_GB2312"/>
          <w:b w:val="0"/>
          <w:bCs w:val="0"/>
          <w:color w:val="auto"/>
          <w:kern w:val="0"/>
          <w:sz w:val="32"/>
          <w:szCs w:val="32"/>
        </w:rPr>
        <w:t>新</w:t>
      </w:r>
      <w:r>
        <w:rPr>
          <w:rFonts w:hint="eastAsia" w:ascii="仿宋_GB2312" w:hAnsi="仿宋_GB2312" w:eastAsia="仿宋_GB2312" w:cs="仿宋_GB2312"/>
          <w:color w:val="auto"/>
          <w:kern w:val="0"/>
          <w:sz w:val="32"/>
          <w:szCs w:val="32"/>
        </w:rPr>
        <w:t>建屋顶绿化5064平</w:t>
      </w:r>
      <w:r>
        <w:rPr>
          <w:rFonts w:hint="eastAsia" w:ascii="仿宋_GB2312" w:hAnsi="仿宋_GB2312" w:eastAsia="仿宋_GB2312" w:cs="仿宋_GB2312"/>
          <w:color w:val="auto"/>
          <w:kern w:val="0"/>
          <w:sz w:val="32"/>
          <w:szCs w:val="32"/>
          <w:lang w:val="en-US" w:eastAsia="zh-CN"/>
        </w:rPr>
        <w:t>方</w:t>
      </w:r>
      <w:r>
        <w:rPr>
          <w:rFonts w:hint="eastAsia" w:ascii="仿宋_GB2312" w:hAnsi="仿宋_GB2312" w:eastAsia="仿宋_GB2312" w:cs="仿宋_GB2312"/>
          <w:color w:val="auto"/>
          <w:kern w:val="0"/>
          <w:sz w:val="32"/>
          <w:szCs w:val="32"/>
        </w:rPr>
        <w:t>米</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垂直绿化1015延</w:t>
      </w:r>
      <w:r>
        <w:rPr>
          <w:rFonts w:hint="eastAsia" w:ascii="仿宋_GB2312" w:hAnsi="仿宋_GB2312" w:eastAsia="仿宋_GB2312" w:cs="仿宋_GB2312"/>
          <w:color w:val="auto"/>
          <w:kern w:val="0"/>
          <w:sz w:val="32"/>
          <w:szCs w:val="32"/>
          <w:lang w:val="en-US" w:eastAsia="zh-CN"/>
        </w:rPr>
        <w:t>长</w:t>
      </w:r>
      <w:r>
        <w:rPr>
          <w:rFonts w:hint="eastAsia" w:ascii="仿宋_GB2312" w:hAnsi="仿宋_GB2312" w:eastAsia="仿宋_GB2312" w:cs="仿宋_GB2312"/>
          <w:color w:val="auto"/>
          <w:kern w:val="0"/>
          <w:sz w:val="32"/>
          <w:szCs w:val="32"/>
        </w:rPr>
        <w:t>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color w:val="auto"/>
          <w:sz w:val="32"/>
          <w:szCs w:val="32"/>
          <w:lang w:val="en-US" w:eastAsia="zh-CN"/>
        </w:rPr>
        <w:t>公园绿地500米服务半径覆盖率实现100%。</w:t>
      </w:r>
      <w:r>
        <w:rPr>
          <w:rFonts w:hint="eastAsia" w:ascii="仿宋_GB2312" w:hAnsi="仿宋_GB2312" w:eastAsia="仿宋_GB2312" w:cs="仿宋_GB2312"/>
          <w:color w:val="auto"/>
          <w:sz w:val="32"/>
          <w:szCs w:val="32"/>
          <w:lang w:eastAsia="zh-CN"/>
        </w:rPr>
        <w:t>以“规划建绿、重点突破、先易后难、部门协同推进”为原则，</w:t>
      </w:r>
      <w:r>
        <w:rPr>
          <w:rFonts w:hint="eastAsia" w:ascii="仿宋_GB2312" w:hAnsi="仿宋_GB2312" w:eastAsia="仿宋_GB2312" w:cs="仿宋_GB2312"/>
          <w:sz w:val="32"/>
          <w:szCs w:val="32"/>
          <w:lang w:val="en-US" w:eastAsia="zh-CN"/>
        </w:rPr>
        <w:t>完成16个点位消盲任务。</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sz w:val="32"/>
          <w:szCs w:val="32"/>
          <w:highlight w:val="none"/>
          <w:u w:val="none"/>
          <w:lang w:val="en-US" w:eastAsia="zh-CN"/>
        </w:rPr>
        <w:t>疏整促“揭网见绿”</w:t>
      </w:r>
      <w:r>
        <w:rPr>
          <w:rFonts w:hint="eastAsia" w:ascii="仿宋_GB2312" w:hAnsi="仿宋_GB2312" w:eastAsia="仿宋_GB2312" w:cs="仿宋_GB2312"/>
          <w:sz w:val="32"/>
          <w:szCs w:val="32"/>
          <w:lang w:val="en-US" w:eastAsia="zh-CN"/>
        </w:rPr>
        <w:t>4.82公顷，将绿网变成美景。</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highlight w:val="none"/>
          <w:u w:val="none"/>
          <w:lang w:val="en-US" w:eastAsia="zh-CN"/>
        </w:rPr>
        <w:t>打造景山游园、翠芳园2个无界公园，拆除绿地围栏4.3公里。</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（五）绿化惠民活动蓬勃开展</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全民义务植树运动掀起新高潮。精心组织第45个中国植树节和第39个首都全民义务植树日活动，全区各有关单位、街道、社区开展形式多样的义务植树活动，参与人数达10.1万人次。组织开展“互联网+首都全民义务植树”身边尽责活动733场，超全年</w:t>
      </w:r>
      <w:r>
        <w:rPr>
          <w:rFonts w:hint="eastAsia" w:ascii="仿宋_GB2312" w:hAnsi="仿宋_GB2312" w:eastAsia="仿宋_GB2312" w:cs="仿宋_GB2312"/>
          <w:color w:val="000000"/>
          <w:sz w:val="32"/>
          <w:szCs w:val="32"/>
          <w:lang w:val="en-US" w:eastAsia="zh-CN"/>
        </w:rPr>
        <w:t>任务量近三成。积极落实</w:t>
      </w:r>
      <w:r>
        <w:rPr>
          <w:rFonts w:hint="eastAsia" w:ascii="仿宋_GB2312" w:hAnsi="仿宋_GB2312" w:eastAsia="仿宋_GB2312" w:cs="仿宋_GB2312"/>
          <w:b w:val="0"/>
          <w:bCs w:val="0"/>
          <w:color w:val="000000"/>
          <w:sz w:val="32"/>
          <w:szCs w:val="32"/>
        </w:rPr>
        <w:t>“义务植树进社区”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市花月季进社区”工作</w:t>
      </w:r>
      <w:r>
        <w:rPr>
          <w:rFonts w:hint="eastAsia" w:ascii="仿宋_GB2312" w:hAnsi="仿宋_GB2312" w:eastAsia="仿宋_GB2312" w:cs="仿宋_GB2312"/>
          <w:b w:val="0"/>
          <w:bCs w:val="0"/>
          <w:color w:val="000000"/>
          <w:sz w:val="32"/>
          <w:szCs w:val="32"/>
          <w:lang w:eastAsia="zh-CN"/>
        </w:rPr>
        <w:t>，为</w:t>
      </w:r>
      <w:r>
        <w:rPr>
          <w:rFonts w:hint="eastAsia" w:ascii="仿宋_GB2312" w:hAnsi="仿宋_GB2312" w:eastAsia="仿宋_GB2312" w:cs="仿宋_GB2312"/>
          <w:b w:val="0"/>
          <w:bCs w:val="0"/>
          <w:color w:val="000000"/>
          <w:sz w:val="32"/>
          <w:szCs w:val="32"/>
          <w:lang w:val="en-US" w:eastAsia="zh-CN"/>
        </w:rPr>
        <w:t>街道社区配发专业园艺工具，送去月季和</w:t>
      </w:r>
      <w:r>
        <w:rPr>
          <w:rFonts w:hint="eastAsia" w:ascii="仿宋_GB2312" w:hAnsi="仿宋_GB2312" w:eastAsia="仿宋_GB2312" w:cs="仿宋_GB2312"/>
          <w:color w:val="000000"/>
          <w:sz w:val="32"/>
          <w:szCs w:val="32"/>
          <w:lang w:val="en-US" w:eastAsia="zh-CN"/>
        </w:rPr>
        <w:t>时令花卉</w:t>
      </w:r>
      <w:r>
        <w:rPr>
          <w:rFonts w:hint="eastAsia" w:ascii="仿宋_GB2312" w:hAnsi="仿宋_GB2312" w:eastAsia="仿宋_GB2312" w:cs="仿宋_GB2312"/>
          <w:b w:val="0"/>
          <w:bCs w:val="0"/>
          <w:color w:val="000000"/>
          <w:sz w:val="32"/>
          <w:szCs w:val="32"/>
          <w:lang w:val="en-US" w:eastAsia="zh-CN"/>
        </w:rPr>
        <w:t>，推动</w:t>
      </w:r>
      <w:r>
        <w:rPr>
          <w:rFonts w:hint="eastAsia" w:ascii="仿宋_GB2312" w:hAnsi="仿宋_GB2312" w:eastAsia="仿宋_GB2312" w:cs="仿宋_GB2312"/>
          <w:b w:val="0"/>
          <w:bCs w:val="0"/>
          <w:color w:val="000000"/>
          <w:sz w:val="32"/>
          <w:szCs w:val="32"/>
        </w:rPr>
        <w:t>义务植树尽责活动常态化。</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000000"/>
          <w:sz w:val="32"/>
          <w:szCs w:val="32"/>
          <w:lang w:val="en-US" w:eastAsia="zh-CN"/>
        </w:rPr>
        <w:t>园艺文化得到大力推广。全年组织各类园艺文化推广活动673场，辐射居民</w:t>
      </w:r>
      <w:r>
        <w:rPr>
          <w:rFonts w:hint="eastAsia" w:ascii="仿宋_GB2312" w:hAnsi="仿宋_GB2312" w:eastAsia="仿宋_GB2312" w:cs="仿宋_GB2312"/>
          <w:b w:val="0"/>
          <w:bCs w:val="0"/>
          <w:color w:val="000000"/>
          <w:sz w:val="32"/>
          <w:szCs w:val="32"/>
          <w:lang w:val="en-US" w:eastAsia="zh-CN"/>
        </w:rPr>
        <w:t>近8万人。</w:t>
      </w:r>
      <w:r>
        <w:rPr>
          <w:rFonts w:hint="eastAsia" w:ascii="仿宋_GB2312" w:hAnsi="仿宋_GB2312" w:eastAsia="仿宋_GB2312" w:cs="仿宋_GB2312"/>
          <w:b w:val="0"/>
          <w:bCs w:val="0"/>
          <w:color w:val="000000"/>
          <w:kern w:val="0"/>
          <w:sz w:val="32"/>
          <w:szCs w:val="32"/>
          <w:lang w:eastAsia="zh-CN"/>
        </w:rPr>
        <w:t>在人定湖公园</w:t>
      </w:r>
      <w:r>
        <w:rPr>
          <w:rFonts w:hint="eastAsia" w:ascii="仿宋_GB2312" w:hAnsi="仿宋_GB2312" w:eastAsia="仿宋_GB2312" w:cs="仿宋_GB2312"/>
          <w:color w:val="000000"/>
          <w:sz w:val="32"/>
          <w:szCs w:val="32"/>
          <w:lang w:val="en-US" w:eastAsia="zh-CN"/>
        </w:rPr>
        <w:t>建成北京市首家自然笔记主题驿站，完成2022年自然笔记作品评比表彰</w:t>
      </w:r>
      <w:r>
        <w:rPr>
          <w:rFonts w:hint="eastAsia" w:ascii="仿宋_GB2312" w:hAnsi="仿宋_GB2312" w:cs="仿宋_GB2312"/>
          <w:color w:val="000000"/>
          <w:sz w:val="32"/>
          <w:szCs w:val="32"/>
          <w:lang w:val="en-US" w:eastAsia="zh-CN"/>
        </w:rPr>
        <w:t>和</w:t>
      </w:r>
      <w:r>
        <w:rPr>
          <w:rFonts w:hint="eastAsia" w:ascii="仿宋_GB2312" w:hAnsi="仿宋_GB2312" w:eastAsia="仿宋_GB2312" w:cs="仿宋_GB2312"/>
          <w:color w:val="000000"/>
          <w:sz w:val="32"/>
          <w:szCs w:val="32"/>
          <w:lang w:val="en-US" w:eastAsia="zh-CN"/>
        </w:rPr>
        <w:t>2023年自然笔记作品征集</w:t>
      </w:r>
      <w:r>
        <w:rPr>
          <w:rFonts w:hint="eastAsia" w:ascii="仿宋_GB2312" w:hAnsi="仿宋_GB2312" w:cs="仿宋_GB2312"/>
          <w:color w:val="000000"/>
          <w:sz w:val="32"/>
          <w:szCs w:val="32"/>
          <w:lang w:val="en-US" w:eastAsia="zh-CN"/>
        </w:rPr>
        <w:t>工作</w:t>
      </w:r>
      <w:r>
        <w:rPr>
          <w:rFonts w:hint="eastAsia" w:ascii="仿宋_GB2312" w:hAnsi="仿宋_GB2312" w:eastAsia="仿宋_GB2312" w:cs="仿宋_GB2312"/>
          <w:color w:val="000000"/>
          <w:sz w:val="32"/>
          <w:szCs w:val="32"/>
          <w:lang w:val="en-US" w:eastAsia="zh-CN"/>
        </w:rPr>
        <w:t>。举办2023年度首都市民园艺风采大赛，与北海公园共同开展“绿化接力，爱花传情”菊花认养活动。</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生态文明理念深入人心。利用“</w:t>
      </w:r>
      <w:r>
        <w:rPr>
          <w:rFonts w:hint="eastAsia" w:ascii="仿宋_GB2312" w:hAnsi="仿宋_GB2312" w:eastAsia="仿宋_GB2312" w:cs="仿宋_GB2312"/>
          <w:color w:val="000000"/>
          <w:sz w:val="32"/>
          <w:szCs w:val="32"/>
          <w:lang w:val="en-US" w:eastAsia="zh-CN"/>
        </w:rPr>
        <w:t>绿色西城”</w:t>
      </w:r>
      <w:r>
        <w:rPr>
          <w:rFonts w:hint="eastAsia" w:ascii="仿宋_GB2312" w:hAnsi="仿宋_GB2312" w:eastAsia="仿宋_GB2312" w:cs="仿宋_GB2312"/>
          <w:b w:val="0"/>
          <w:bCs w:val="0"/>
          <w:color w:val="000000"/>
          <w:sz w:val="32"/>
          <w:szCs w:val="32"/>
          <w:lang w:val="en-US" w:eastAsia="zh-CN"/>
        </w:rPr>
        <w:t>微信公众号</w:t>
      </w:r>
      <w:r>
        <w:rPr>
          <w:rFonts w:hint="eastAsia" w:ascii="仿宋_GB2312" w:hAnsi="仿宋_GB2312" w:eastAsia="仿宋_GB2312" w:cs="仿宋_GB2312"/>
          <w:b w:val="0"/>
          <w:bCs w:val="0"/>
          <w:color w:val="000000"/>
          <w:sz w:val="32"/>
          <w:szCs w:val="32"/>
          <w:lang w:val="en-US"/>
        </w:rPr>
        <w:t>发布</w:t>
      </w:r>
      <w:r>
        <w:rPr>
          <w:rFonts w:hint="eastAsia" w:ascii="仿宋_GB2312" w:hAnsi="仿宋_GB2312" w:eastAsia="仿宋_GB2312" w:cs="仿宋_GB2312"/>
          <w:b w:val="0"/>
          <w:bCs w:val="0"/>
          <w:color w:val="000000"/>
          <w:sz w:val="32"/>
          <w:szCs w:val="32"/>
          <w:lang w:val="en-US" w:eastAsia="zh-CN"/>
        </w:rPr>
        <w:t>生态文明和绿化美化各类</w:t>
      </w:r>
      <w:r>
        <w:rPr>
          <w:rFonts w:hint="eastAsia" w:ascii="仿宋_GB2312" w:hAnsi="仿宋_GB2312" w:eastAsia="仿宋_GB2312" w:cs="仿宋_GB2312"/>
          <w:b w:val="0"/>
          <w:bCs w:val="0"/>
          <w:color w:val="000000"/>
          <w:sz w:val="32"/>
          <w:szCs w:val="32"/>
          <w:lang w:val="en-US"/>
        </w:rPr>
        <w:t>文章</w:t>
      </w:r>
      <w:r>
        <w:rPr>
          <w:rFonts w:hint="eastAsia" w:ascii="仿宋_GB2312" w:hAnsi="仿宋_GB2312" w:eastAsia="仿宋_GB2312" w:cs="仿宋_GB2312"/>
          <w:b w:val="0"/>
          <w:bCs w:val="0"/>
          <w:color w:val="auto"/>
          <w:sz w:val="32"/>
          <w:szCs w:val="32"/>
          <w:lang w:val="en-US" w:eastAsia="zh-CN"/>
        </w:rPr>
        <w:t>471</w:t>
      </w:r>
      <w:r>
        <w:rPr>
          <w:rFonts w:hint="eastAsia" w:ascii="仿宋_GB2312" w:hAnsi="仿宋_GB2312" w:eastAsia="仿宋_GB2312" w:cs="仿宋_GB2312"/>
          <w:b w:val="0"/>
          <w:bCs w:val="0"/>
          <w:color w:val="000000"/>
          <w:sz w:val="32"/>
          <w:szCs w:val="32"/>
          <w:lang w:val="en-US"/>
        </w:rPr>
        <w:t>篇</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积极</w:t>
      </w:r>
      <w:r>
        <w:rPr>
          <w:rFonts w:hint="eastAsia" w:ascii="仿宋_GB2312" w:hAnsi="仿宋_GB2312" w:eastAsia="仿宋_GB2312" w:cs="仿宋_GB2312"/>
          <w:color w:val="000000"/>
          <w:sz w:val="32"/>
          <w:szCs w:val="32"/>
          <w:lang w:val="en-US" w:eastAsia="zh-CN"/>
        </w:rPr>
        <w:t>开展湿地日、爱鸟周、国际生物多样性日等科普宣传活动，发放各类宣传资料2000余份，张贴海报80余张，进一步激发了群众绿色生态意识和植绿护绿爱绿热情。</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（六）园林绿化资源管理保护全面加强</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精细化管理再创佳绩。狠抓园林绿化常态化、精细化管理和监督检查指导，西城区在全市前三季度城镇绿地养护管理检查评比中均排名第一，</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全市</w:t>
      </w:r>
      <w:r>
        <w:rPr>
          <w:rFonts w:hint="eastAsia" w:ascii="CESI仿宋-GB2312" w:hAnsi="CESI仿宋-GB2312" w:eastAsia="CESI仿宋-GB2312" w:cs="CESI仿宋-GB2312"/>
          <w:color w:val="000000"/>
          <w:sz w:val="32"/>
          <w:szCs w:val="32"/>
          <w:lang w:eastAsia="zh-CN"/>
        </w:rPr>
        <w:t>园林绿化工程全覆盖检查中</w:t>
      </w:r>
      <w:r>
        <w:rPr>
          <w:rFonts w:hint="eastAsia" w:ascii="仿宋_GB2312" w:hAnsi="仿宋_GB2312" w:eastAsia="仿宋_GB2312" w:cs="仿宋_GB2312"/>
          <w:color w:val="auto"/>
          <w:sz w:val="32"/>
          <w:szCs w:val="32"/>
          <w:lang w:eastAsia="zh-CN"/>
        </w:rPr>
        <w:t>排名第一</w:t>
      </w:r>
      <w:r>
        <w:rPr>
          <w:rFonts w:hint="eastAsia" w:ascii="CESI仿宋-GB2312" w:hAnsi="CESI仿宋-GB2312" w:eastAsia="CESI仿宋-GB2312" w:cs="CESI仿宋-GB2312"/>
          <w:color w:val="auto"/>
          <w:sz w:val="32"/>
          <w:szCs w:val="32"/>
          <w:lang w:eastAsia="zh-CN"/>
        </w:rPr>
        <w:t>。完成</w:t>
      </w:r>
      <w:r>
        <w:rPr>
          <w:rFonts w:hint="eastAsia" w:ascii="仿宋_GB2312" w:hAnsi="仿宋_GB2312" w:eastAsia="仿宋_GB2312" w:cs="仿宋_GB2312"/>
          <w:color w:val="auto"/>
          <w:kern w:val="2"/>
          <w:sz w:val="32"/>
          <w:szCs w:val="32"/>
          <w:lang w:val="en-US" w:eastAsia="zh-CN" w:bidi="ar-SA"/>
        </w:rPr>
        <w:t>杨柳飞絮专项治理1.1万余株，</w:t>
      </w:r>
      <w:r>
        <w:rPr>
          <w:rFonts w:hint="eastAsia" w:ascii="仿宋_GB2312" w:hAnsi="仿宋_GB2312" w:eastAsia="仿宋_GB2312" w:cs="仿宋_GB2312"/>
          <w:color w:val="auto"/>
          <w:sz w:val="32"/>
          <w:szCs w:val="32"/>
          <w:lang w:val="en-US" w:eastAsia="zh-CN"/>
        </w:rPr>
        <w:t>严密防</w:t>
      </w:r>
      <w:r>
        <w:rPr>
          <w:rFonts w:hint="eastAsia" w:ascii="仿宋_GB2312" w:hAnsi="仿宋_GB2312" w:cs="仿宋_GB2312"/>
          <w:color w:val="auto"/>
          <w:sz w:val="32"/>
          <w:szCs w:val="32"/>
          <w:lang w:val="en-US" w:eastAsia="zh-CN"/>
        </w:rPr>
        <w:t>控</w:t>
      </w:r>
      <w:r>
        <w:rPr>
          <w:rFonts w:hint="eastAsia" w:ascii="仿宋_GB2312" w:hAnsi="仿宋_GB2312" w:eastAsia="仿宋_GB2312" w:cs="仿宋_GB2312"/>
          <w:color w:val="auto"/>
          <w:sz w:val="32"/>
          <w:szCs w:val="32"/>
          <w:lang w:val="en-US" w:eastAsia="zh-CN"/>
        </w:rPr>
        <w:t>美国白蛾等林木有害生物，虫</w:t>
      </w:r>
      <w:r>
        <w:rPr>
          <w:rFonts w:hint="eastAsia" w:ascii="仿宋_GB2312" w:hAnsi="仿宋_GB2312" w:eastAsia="仿宋_GB2312" w:cs="仿宋_GB2312"/>
          <w:color w:val="auto"/>
          <w:kern w:val="2"/>
          <w:sz w:val="32"/>
          <w:szCs w:val="32"/>
          <w:lang w:val="en-US" w:eastAsia="zh-CN" w:bidi="ar-SA"/>
        </w:rPr>
        <w:t>害发生量和危害程度同比2022年大幅降低，在首届北京市林业有害生物防治员职业技能大赛中，区园林绿化局获得优秀组织单位奖。</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古树名木保护成效显著。全年抢救复壮47株，巡查1656株，发现并移交处理违法案件23起。建设古树名木示范点7处，其中古树社区4处、古树公园1处、古树街巷2处。加大古树名木保护宣传力度，通过微信公众号发表古树文化文章10篇，每季度开展线下科普宣传活动。</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公园综合管理服务水平不断提升。</w:t>
      </w:r>
      <w:r>
        <w:rPr>
          <w:rFonts w:hint="eastAsia" w:ascii="仿宋_GB2312" w:hAnsi="仿宋_GB2312" w:eastAsia="仿宋_GB2312" w:cs="仿宋_GB2312"/>
          <w:b w:val="0"/>
          <w:bCs w:val="0"/>
          <w:color w:val="auto"/>
          <w:kern w:val="2"/>
          <w:sz w:val="32"/>
          <w:szCs w:val="32"/>
          <w:lang w:val="en-US" w:eastAsia="zh-CN" w:bidi="ar-SA"/>
        </w:rPr>
        <w:t>以</w:t>
      </w:r>
      <w:r>
        <w:rPr>
          <w:rFonts w:hint="eastAsia" w:ascii="仿宋_GB2312" w:hAnsi="仿宋_GB2312" w:eastAsia="仿宋_GB2312" w:cs="仿宋_GB2312"/>
          <w:b w:val="0"/>
          <w:bCs w:val="0"/>
          <w:kern w:val="0"/>
          <w:sz w:val="32"/>
          <w:szCs w:val="32"/>
          <w:lang w:val="en-US" w:eastAsia="zh-CN" w:bidi="ar-SA"/>
        </w:rPr>
        <w:t>创</w:t>
      </w:r>
      <w:r>
        <w:rPr>
          <w:rFonts w:hint="eastAsia" w:ascii="仿宋_GB2312" w:hAnsi="仿宋_GB2312" w:eastAsia="仿宋_GB2312" w:cs="仿宋_GB2312"/>
          <w:kern w:val="0"/>
          <w:sz w:val="32"/>
          <w:szCs w:val="32"/>
          <w:lang w:val="en-US" w:eastAsia="zh-CN" w:bidi="ar-SA"/>
        </w:rPr>
        <w:t>建</w:t>
      </w:r>
      <w:r>
        <w:rPr>
          <w:rFonts w:hint="default" w:ascii="仿宋_GB2312" w:hAnsi="仿宋_GB2312" w:eastAsia="仿宋_GB2312" w:cs="仿宋_GB2312"/>
          <w:kern w:val="0"/>
          <w:sz w:val="32"/>
          <w:szCs w:val="32"/>
          <w:lang w:val="en-US" w:eastAsia="zh-CN" w:bidi="ar-SA"/>
        </w:rPr>
        <w:t>全国文明典范城</w:t>
      </w:r>
      <w:r>
        <w:rPr>
          <w:rFonts w:hint="eastAsia" w:ascii="仿宋_GB2312" w:hAnsi="仿宋_GB2312" w:eastAsia="仿宋_GB2312" w:cs="仿宋_GB2312"/>
          <w:kern w:val="0"/>
          <w:sz w:val="32"/>
          <w:szCs w:val="32"/>
          <w:lang w:val="en-US" w:eastAsia="zh-CN" w:bidi="ar-SA"/>
        </w:rPr>
        <w:t>区为</w:t>
      </w:r>
      <w:r>
        <w:rPr>
          <w:rFonts w:hint="eastAsia" w:ascii="仿宋_GB2312" w:hAnsi="仿宋_GB2312" w:eastAsia="仿宋_GB2312" w:cs="仿宋_GB2312"/>
          <w:color w:val="auto"/>
          <w:kern w:val="2"/>
          <w:sz w:val="32"/>
          <w:szCs w:val="32"/>
          <w:lang w:val="en-US" w:eastAsia="zh-CN" w:bidi="ar-SA"/>
        </w:rPr>
        <w:t>抓手，推动各公园加强环境卫生、文明游园和文化活动等管理工作，努力营造安全、优美、舒适的休闲空间，圆满完成重点节假日游客服务接待和环境保障工作。</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林长制工作扎实推进。进一步健全街道、社区二级林长制组织体系和“林长制+检察”协同工作机制，层层压实责任，全面落实园林绿化保护发展各项任务。各级林长加大巡林调度力度，全年区级林长巡林88次，召开调度会7次；街道级林长巡林553次；社区级林长巡林1.44万次。</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（七）依法行政持续深化</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pacing w:val="0"/>
          <w:w w:val="100"/>
          <w:kern w:val="0"/>
          <w:position w:val="0"/>
          <w:sz w:val="32"/>
          <w:szCs w:val="32"/>
          <w:u w:val="none" w:color="auto"/>
          <w:shd w:val="clear" w:color="auto" w:fill="auto"/>
          <w:vertAlign w:val="baseline"/>
          <w:lang w:val="en-US" w:eastAsia="zh-CN"/>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为民服务更加高质高效。</w:t>
      </w:r>
      <w:r>
        <w:rPr>
          <w:rFonts w:hint="eastAsia" w:ascii="仿宋_GB2312" w:hAnsi="仿宋_GB2312" w:eastAsia="仿宋_GB2312" w:cs="仿宋_GB2312"/>
          <w:sz w:val="32"/>
          <w:szCs w:val="32"/>
          <w:lang w:val="en-US" w:eastAsia="zh-CN"/>
        </w:rPr>
        <w:t>用好“接诉即办”主抓手，建立定期会商调度机制，优化完善办理流程，推动主动治理、未诉先办，</w:t>
      </w:r>
      <w:r>
        <w:rPr>
          <w:rFonts w:hint="eastAsia" w:ascii="仿宋_GB2312" w:hAnsi="仿宋_GB2312" w:cs="仿宋_GB2312"/>
          <w:sz w:val="32"/>
          <w:szCs w:val="32"/>
          <w:lang w:val="en-US" w:eastAsia="zh-CN"/>
        </w:rPr>
        <w:t>全年</w:t>
      </w:r>
      <w:r>
        <w:rPr>
          <w:rFonts w:hint="eastAsia" w:ascii="仿宋_GB2312" w:hAnsi="仿宋_GB2312" w:eastAsia="仿宋_GB2312" w:cs="仿宋_GB2312"/>
          <w:sz w:val="32"/>
          <w:szCs w:val="32"/>
          <w:lang w:val="en-US" w:eastAsia="zh-CN"/>
        </w:rPr>
        <w:t>办理诉求</w:t>
      </w:r>
      <w:r>
        <w:rPr>
          <w:rFonts w:hint="eastAsia" w:ascii="仿宋_GB2312" w:hAnsi="仿宋_GB2312" w:cs="仿宋_GB2312"/>
          <w:color w:val="auto"/>
          <w:sz w:val="32"/>
          <w:szCs w:val="32"/>
          <w:lang w:val="en-US" w:eastAsia="zh-CN"/>
        </w:rPr>
        <w:t>446</w:t>
      </w:r>
      <w:r>
        <w:rPr>
          <w:rFonts w:hint="eastAsia" w:ascii="仿宋_GB2312" w:hAnsi="仿宋_GB2312" w:eastAsia="仿宋_GB2312" w:cs="仿宋_GB2312"/>
          <w:sz w:val="32"/>
          <w:szCs w:val="32"/>
          <w:lang w:val="en-US" w:eastAsia="zh-CN"/>
        </w:rPr>
        <w:t>件，满意率、解决率不断提升。立足服务百姓、优化营商环境，高效办理移伐树木和占用绿地行政审批</w:t>
      </w:r>
      <w:r>
        <w:rPr>
          <w:rFonts w:hint="eastAsia" w:ascii="仿宋_GB2312" w:hAnsi="仿宋_GB2312" w:cs="仿宋_GB2312"/>
          <w:color w:val="auto"/>
          <w:sz w:val="32"/>
          <w:szCs w:val="32"/>
          <w:lang w:val="en-US" w:eastAsia="zh-CN"/>
        </w:rPr>
        <w:t>1456</w:t>
      </w:r>
      <w:r>
        <w:rPr>
          <w:rFonts w:hint="eastAsia" w:ascii="仿宋_GB2312" w:hAnsi="仿宋_GB2312" w:eastAsia="仿宋_GB2312" w:cs="仿宋_GB2312"/>
          <w:sz w:val="32"/>
          <w:szCs w:val="32"/>
          <w:lang w:val="en-US" w:eastAsia="zh-CN"/>
        </w:rPr>
        <w:t>项，加强相关绿化工程专业指导和全过程监管，做好平房区树房矛盾专题调研，落实“树房双保”要求。接收处理各类咨询1</w:t>
      </w:r>
      <w:r>
        <w:rPr>
          <w:rFonts w:hint="eastAsia" w:ascii="仿宋_GB2312" w:hAnsi="仿宋_GB2312" w:cs="仿宋_GB2312"/>
          <w:sz w:val="32"/>
          <w:szCs w:val="32"/>
          <w:lang w:val="en-US" w:eastAsia="zh-CN"/>
        </w:rPr>
        <w:t>200余</w:t>
      </w:r>
      <w:r>
        <w:rPr>
          <w:rFonts w:hint="eastAsia" w:ascii="仿宋_GB2312" w:hAnsi="仿宋_GB2312" w:eastAsia="仿宋_GB2312" w:cs="仿宋_GB2312"/>
          <w:sz w:val="32"/>
          <w:szCs w:val="32"/>
          <w:lang w:val="en-US" w:eastAsia="zh-CN"/>
        </w:rPr>
        <w:t>次。办理市区人大建议7件、区政协提案12件</w:t>
      </w:r>
      <w:r>
        <w:rPr>
          <w:rFonts w:hint="eastAsia" w:ascii="仿宋_GB2312" w:hAnsi="仿宋_GB2312" w:eastAsia="仿宋_GB2312" w:cs="仿宋_GB2312"/>
          <w:color w:val="000000"/>
          <w:sz w:val="32"/>
          <w:szCs w:val="32"/>
          <w:lang w:val="en-US" w:eastAsia="zh-CN"/>
        </w:rPr>
        <w:t>。督办完成市、区折子、实事24件。主动公开信</w:t>
      </w:r>
      <w:r>
        <w:rPr>
          <w:rFonts w:hint="eastAsia" w:ascii="仿宋_GB2312" w:hAnsi="仿宋_GB2312" w:eastAsia="仿宋_GB2312" w:cs="仿宋_GB2312"/>
          <w:color w:val="auto"/>
          <w:sz w:val="32"/>
          <w:szCs w:val="32"/>
          <w:lang w:val="en-US" w:eastAsia="zh-CN"/>
        </w:rPr>
        <w:t>息1</w:t>
      </w:r>
      <w:r>
        <w:rPr>
          <w:rFonts w:hint="eastAsia" w:ascii="仿宋_GB2312" w:hAnsi="仿宋_GB2312" w:cs="仿宋_GB2312"/>
          <w:color w:val="auto"/>
          <w:sz w:val="32"/>
          <w:szCs w:val="32"/>
          <w:lang w:val="en-US" w:eastAsia="zh-CN"/>
        </w:rPr>
        <w:t>410</w:t>
      </w:r>
      <w:r>
        <w:rPr>
          <w:rFonts w:hint="eastAsia" w:ascii="仿宋_GB2312" w:hAnsi="仿宋_GB2312" w:eastAsia="仿宋_GB2312" w:cs="仿宋_GB2312"/>
          <w:color w:val="auto"/>
          <w:sz w:val="32"/>
          <w:szCs w:val="32"/>
          <w:lang w:val="en-US" w:eastAsia="zh-CN"/>
        </w:rPr>
        <w:t>条，依申请公开信息6条。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行政执法工作取得实效。</w:t>
      </w:r>
      <w:r>
        <w:rPr>
          <w:rFonts w:hint="eastAsia" w:ascii="仿宋_GB2312" w:hAnsi="仿宋_GB2312" w:eastAsia="仿宋_GB2312" w:cs="仿宋_GB2312"/>
          <w:b w:val="0"/>
          <w:bCs w:val="0"/>
          <w:kern w:val="2"/>
          <w:sz w:val="32"/>
          <w:szCs w:val="32"/>
          <w:lang w:val="en-US" w:eastAsia="zh-CN" w:bidi="ar-SA"/>
        </w:rPr>
        <w:t>组织野生动物保护等行政执法检查103次。</w:t>
      </w:r>
      <w:r>
        <w:rPr>
          <w:rFonts w:hint="default" w:ascii="仿宋_GB2312" w:hAnsi="仿宋_GB2312" w:eastAsia="仿宋_GB2312" w:cs="仿宋_GB2312"/>
          <w:b w:val="0"/>
          <w:bCs w:val="0"/>
          <w:kern w:val="2"/>
          <w:sz w:val="32"/>
          <w:szCs w:val="32"/>
          <w:lang w:val="en-US" w:eastAsia="zh-CN" w:bidi="ar-SA"/>
        </w:rPr>
        <w:t>联合</w:t>
      </w:r>
      <w:r>
        <w:rPr>
          <w:rFonts w:hint="eastAsia" w:ascii="仿宋_GB2312" w:hAnsi="仿宋_GB2312" w:eastAsia="仿宋_GB2312" w:cs="仿宋_GB2312"/>
          <w:b w:val="0"/>
          <w:bCs w:val="0"/>
          <w:kern w:val="2"/>
          <w:sz w:val="32"/>
          <w:szCs w:val="32"/>
          <w:lang w:val="en-US" w:eastAsia="zh-CN" w:bidi="ar-SA"/>
        </w:rPr>
        <w:t>属地街道、城管、公安等单位，开展“</w:t>
      </w:r>
      <w:r>
        <w:rPr>
          <w:rFonts w:hint="default" w:ascii="仿宋_GB2312" w:hAnsi="仿宋_GB2312" w:eastAsia="仿宋_GB2312" w:cs="仿宋_GB2312"/>
          <w:b w:val="0"/>
          <w:bCs w:val="0"/>
          <w:kern w:val="2"/>
          <w:sz w:val="32"/>
          <w:szCs w:val="32"/>
          <w:lang w:val="en-US" w:eastAsia="zh-CN" w:bidi="ar-SA"/>
        </w:rPr>
        <w:t>清风</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绿箭</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执法行动</w:t>
      </w:r>
      <w:r>
        <w:rPr>
          <w:rFonts w:hint="eastAsia" w:ascii="仿宋_GB2312" w:hAnsi="仿宋_GB2312" w:eastAsia="仿宋_GB2312" w:cs="仿宋_GB2312"/>
          <w:b w:val="0"/>
          <w:bCs w:val="0"/>
          <w:kern w:val="2"/>
          <w:sz w:val="32"/>
          <w:szCs w:val="32"/>
          <w:lang w:val="en-US" w:eastAsia="zh-CN" w:bidi="ar-SA"/>
        </w:rPr>
        <w:t>8次</w:t>
      </w:r>
      <w:r>
        <w:rPr>
          <w:rFonts w:hint="default" w:ascii="仿宋_GB2312" w:hAnsi="仿宋_GB2312" w:eastAsia="仿宋_GB2312" w:cs="仿宋_GB2312"/>
          <w:b w:val="0"/>
          <w:bCs w:val="0"/>
          <w:kern w:val="2"/>
          <w:sz w:val="32"/>
          <w:szCs w:val="32"/>
          <w:lang w:val="en-US" w:eastAsia="zh-CN" w:bidi="ar-SA"/>
        </w:rPr>
        <w:t>，解救国家三有野生鸟类62只</w:t>
      </w:r>
      <w:r>
        <w:rPr>
          <w:rFonts w:hint="eastAsia" w:ascii="仿宋_GB2312" w:hAnsi="仿宋_GB2312" w:eastAsia="仿宋_GB2312" w:cs="仿宋_GB2312"/>
          <w:b w:val="0"/>
          <w:bCs w:val="0"/>
          <w:kern w:val="2"/>
          <w:sz w:val="32"/>
          <w:szCs w:val="32"/>
          <w:lang w:val="en-US" w:eastAsia="zh-CN" w:bidi="ar-SA"/>
        </w:rPr>
        <w:t>，严厉打击了野生动物非法贸易；</w:t>
      </w:r>
      <w:r>
        <w:rPr>
          <w:rFonts w:hint="eastAsia" w:ascii="仿宋_GB2312" w:hAnsi="仿宋_GB2312" w:eastAsia="仿宋_GB2312" w:cs="仿宋_GB2312"/>
          <w:color w:val="auto"/>
          <w:kern w:val="2"/>
          <w:sz w:val="32"/>
          <w:szCs w:val="32"/>
          <w:lang w:val="en-US" w:eastAsia="zh-CN" w:bidi="ar-SA"/>
        </w:rPr>
        <w:t>救助野生动物78只；</w:t>
      </w:r>
      <w:r>
        <w:rPr>
          <w:rFonts w:hint="eastAsia" w:ascii="仿宋_GB2312" w:hAnsi="仿宋_GB2312" w:eastAsia="仿宋_GB2312" w:cs="仿宋_GB2312"/>
          <w:b w:val="0"/>
          <w:bCs w:val="0"/>
          <w:kern w:val="2"/>
          <w:sz w:val="32"/>
          <w:szCs w:val="32"/>
          <w:lang w:val="en-US" w:eastAsia="zh-CN" w:bidi="ar-SA"/>
        </w:rPr>
        <w:t>完成相关非法收购国家重点保护野生动物立案和</w:t>
      </w:r>
      <w:r>
        <w:rPr>
          <w:rFonts w:hint="default" w:ascii="仿宋_GB2312" w:hAnsi="仿宋_GB2312" w:eastAsia="仿宋_GB2312" w:cs="仿宋_GB2312"/>
          <w:b w:val="0"/>
          <w:bCs w:val="0"/>
          <w:kern w:val="2"/>
          <w:sz w:val="32"/>
          <w:szCs w:val="32"/>
          <w:lang w:val="en-US" w:eastAsia="zh-CN" w:bidi="ar-SA"/>
        </w:rPr>
        <w:t>生态环境损害赔偿案</w:t>
      </w:r>
      <w:r>
        <w:rPr>
          <w:rFonts w:hint="eastAsia" w:ascii="仿宋_GB2312" w:hAnsi="仿宋_GB2312" w:eastAsia="仿宋_GB2312" w:cs="仿宋_GB2312"/>
          <w:b w:val="0"/>
          <w:bCs w:val="0"/>
          <w:kern w:val="2"/>
          <w:sz w:val="32"/>
          <w:szCs w:val="32"/>
          <w:lang w:val="en-US" w:eastAsia="zh-CN" w:bidi="ar-SA"/>
        </w:rPr>
        <w:t>办理工作</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color w:val="000000"/>
          <w:spacing w:val="0"/>
          <w:w w:val="100"/>
          <w:kern w:val="0"/>
          <w:position w:val="0"/>
          <w:sz w:val="32"/>
          <w:szCs w:val="32"/>
          <w:u w:val="none" w:color="auto"/>
          <w:shd w:val="clear" w:color="auto" w:fill="auto"/>
          <w:vertAlign w:val="baseline"/>
          <w:lang w:val="en-US" w:eastAsia="zh-CN"/>
        </w:rPr>
        <w:t>安全监管和应急处置能力明显增强。开展安全生产和火灾隐患大排查大整治大提升工作，全年共检查</w:t>
      </w:r>
      <w:r>
        <w:rPr>
          <w:rFonts w:hint="eastAsia" w:ascii="仿宋_GB2312" w:hAnsi="仿宋_GB2312" w:cs="仿宋_GB2312"/>
          <w:color w:val="000000"/>
          <w:spacing w:val="0"/>
          <w:w w:val="100"/>
          <w:kern w:val="0"/>
          <w:position w:val="0"/>
          <w:sz w:val="32"/>
          <w:szCs w:val="32"/>
          <w:u w:val="none" w:color="auto"/>
          <w:shd w:val="clear" w:color="auto" w:fill="auto"/>
          <w:vertAlign w:val="baseline"/>
          <w:lang w:val="en-US" w:eastAsia="zh-CN"/>
        </w:rPr>
        <w:t>单</w:t>
      </w:r>
      <w:r>
        <w:rPr>
          <w:rFonts w:hint="eastAsia" w:ascii="仿宋_GB2312" w:hAnsi="仿宋_GB2312" w:eastAsia="仿宋_GB2312" w:cs="仿宋_GB2312"/>
          <w:color w:val="auto"/>
          <w:spacing w:val="0"/>
          <w:w w:val="100"/>
          <w:kern w:val="0"/>
          <w:position w:val="0"/>
          <w:sz w:val="32"/>
          <w:szCs w:val="32"/>
          <w:u w:val="none" w:color="auto"/>
          <w:shd w:val="clear" w:color="auto" w:fill="auto"/>
          <w:vertAlign w:val="baseline"/>
          <w:lang w:val="en-US" w:eastAsia="zh-CN"/>
        </w:rPr>
        <w:t>位599家次，查出并整改隐患491处。完成安全风险评估，行业安全风险整体处于较低水平。</w:t>
      </w:r>
      <w:r>
        <w:rPr>
          <w:rFonts w:hint="eastAsia" w:ascii="仿宋_GB2312" w:hAnsi="仿宋_GB2312" w:eastAsia="仿宋_GB2312" w:cs="仿宋_GB2312"/>
          <w:color w:val="000000"/>
          <w:spacing w:val="0"/>
          <w:w w:val="100"/>
          <w:kern w:val="0"/>
          <w:position w:val="0"/>
          <w:sz w:val="32"/>
          <w:szCs w:val="32"/>
          <w:u w:val="none" w:color="auto"/>
          <w:shd w:val="clear" w:color="auto" w:fill="auto"/>
          <w:vertAlign w:val="baseline"/>
          <w:lang w:val="en-US" w:eastAsia="zh-CN"/>
        </w:rPr>
        <w:t>指导系统各单位积极应对汛情和“23·7”暴雨等极端天气，共出动抢险人员</w:t>
      </w:r>
      <w:r>
        <w:rPr>
          <w:rFonts w:hint="eastAsia" w:ascii="仿宋_GB2312" w:hAnsi="仿宋_GB2312" w:eastAsia="仿宋_GB2312" w:cs="仿宋_GB2312"/>
          <w:color w:val="auto"/>
          <w:spacing w:val="0"/>
          <w:w w:val="100"/>
          <w:kern w:val="0"/>
          <w:position w:val="0"/>
          <w:sz w:val="32"/>
          <w:szCs w:val="32"/>
          <w:u w:val="none" w:color="auto"/>
          <w:shd w:val="clear" w:color="auto" w:fill="auto"/>
          <w:vertAlign w:val="baseline"/>
          <w:lang w:val="en-US" w:eastAsia="zh-CN"/>
        </w:rPr>
        <w:t>4450人次，排查树木隐患253株，处理树木倒伏、折枝、砸车等险情678起。</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二、2024年工作思路</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Times New Roman"/>
          <w:color w:val="000000"/>
          <w:kern w:val="0"/>
          <w:sz w:val="32"/>
          <w:szCs w:val="32"/>
          <w:lang w:val="en-US" w:eastAsia="zh-CN" w:bidi="ar-SA"/>
        </w:rPr>
        <w:t>2024年是建国75周年，是全面贯彻党的二十大精神</w:t>
      </w:r>
      <w:r>
        <w:rPr>
          <w:rFonts w:hint="eastAsia" w:ascii="仿宋_GB2312" w:hAnsi="仿宋_GB2312" w:eastAsia="仿宋_GB2312" w:cs="仿宋_GB2312"/>
          <w:sz w:val="32"/>
          <w:szCs w:val="32"/>
        </w:rPr>
        <w:t>承上启下的重要一年，</w:t>
      </w:r>
      <w:r>
        <w:rPr>
          <w:rFonts w:hint="eastAsia" w:ascii="仿宋_GB2312" w:hAnsi="仿宋" w:eastAsia="仿宋_GB2312" w:cs="Times New Roman"/>
          <w:color w:val="000000"/>
          <w:kern w:val="0"/>
          <w:sz w:val="32"/>
          <w:szCs w:val="32"/>
          <w:lang w:val="en-US" w:eastAsia="zh-CN" w:bidi="ar-SA"/>
        </w:rPr>
        <w:t>也</w:t>
      </w:r>
      <w:r>
        <w:rPr>
          <w:rFonts w:hint="eastAsia" w:ascii="仿宋_GB2312" w:hAnsi="仿宋_GB2312" w:eastAsia="仿宋_GB2312" w:cs="仿宋_GB2312"/>
          <w:sz w:val="32"/>
          <w:szCs w:val="32"/>
          <w:lang w:eastAsia="zh-CN"/>
        </w:rPr>
        <w:t>是全面建设花园城市的关键之年。全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园林绿化</w:t>
      </w:r>
      <w:r>
        <w:rPr>
          <w:rFonts w:hint="eastAsia" w:ascii="仿宋_GB2312" w:hAnsi="仿宋_GB2312" w:eastAsia="仿宋_GB2312" w:cs="仿宋_GB2312"/>
          <w:sz w:val="32"/>
          <w:szCs w:val="32"/>
          <w:lang w:val="en-US" w:eastAsia="zh-CN"/>
        </w:rPr>
        <w:t>工作将</w:t>
      </w:r>
      <w:r>
        <w:rPr>
          <w:rFonts w:hint="eastAsia" w:ascii="仿宋_GB2312" w:hAnsi="仿宋_GB2312" w:eastAsia="仿宋_GB2312" w:cs="仿宋_GB2312"/>
          <w:sz w:val="32"/>
          <w:szCs w:val="32"/>
          <w:lang w:eastAsia="zh-CN"/>
        </w:rPr>
        <w:t>以习近平生态文明思想为指引，以“花园城市”为蓝图，</w:t>
      </w:r>
      <w:r>
        <w:rPr>
          <w:rFonts w:hint="eastAsia" w:ascii="仿宋_GB2312" w:hAnsi="仿宋_GB2312" w:eastAsia="仿宋_GB2312" w:cs="仿宋_GB2312"/>
          <w:sz w:val="32"/>
          <w:szCs w:val="32"/>
          <w:lang w:val="en-US" w:eastAsia="zh-CN"/>
        </w:rPr>
        <w:t>坚持“首善之首”高标准，着力优化绿色空间布局，全面提升生态环境品质，精心</w:t>
      </w:r>
      <w:r>
        <w:rPr>
          <w:rFonts w:hint="eastAsia" w:ascii="仿宋_GB2312" w:hAnsi="仿宋_GB2312" w:eastAsia="仿宋_GB2312" w:cs="仿宋_GB2312"/>
          <w:b w:val="0"/>
          <w:bCs w:val="0"/>
          <w:kern w:val="2"/>
          <w:sz w:val="32"/>
          <w:szCs w:val="32"/>
          <w:lang w:val="en-US" w:eastAsia="zh-CN" w:bidi="ar-SA"/>
        </w:rPr>
        <w:t>塑造</w:t>
      </w:r>
      <w:r>
        <w:rPr>
          <w:rFonts w:hint="eastAsia" w:ascii="仿宋_GB2312" w:hAnsi="仿宋_GB2312" w:eastAsia="仿宋_GB2312" w:cs="仿宋_GB2312"/>
          <w:sz w:val="32"/>
          <w:szCs w:val="32"/>
          <w:lang w:val="en-US" w:eastAsia="zh-CN"/>
        </w:rPr>
        <w:t>宜居</w:t>
      </w:r>
      <w:r>
        <w:rPr>
          <w:rFonts w:hint="eastAsia" w:ascii="仿宋_GB2312" w:hAnsi="仿宋_GB2312" w:eastAsia="仿宋_GB2312" w:cs="仿宋_GB2312"/>
          <w:b w:val="0"/>
          <w:bCs w:val="0"/>
          <w:kern w:val="2"/>
          <w:sz w:val="32"/>
          <w:szCs w:val="32"/>
          <w:lang w:val="en-US" w:eastAsia="zh-CN" w:bidi="ar-SA"/>
        </w:rPr>
        <w:t>宜业</w:t>
      </w:r>
      <w:r>
        <w:rPr>
          <w:rFonts w:hint="eastAsia" w:ascii="仿宋_GB2312" w:hAnsi="仿宋_GB2312" w:eastAsia="仿宋_GB2312" w:cs="仿宋_GB2312"/>
          <w:sz w:val="32"/>
          <w:szCs w:val="32"/>
          <w:lang w:val="en-US" w:eastAsia="zh-CN"/>
        </w:rPr>
        <w:t>之城，以高品质绿色生态环境支撑首都核心区高质量发展，在</w:t>
      </w:r>
      <w:r>
        <w:rPr>
          <w:rFonts w:hint="eastAsia" w:ascii="仿宋_GB2312" w:hAnsi="仿宋_GB2312" w:eastAsia="仿宋_GB2312" w:cs="仿宋_GB2312"/>
          <w:b w:val="0"/>
          <w:bCs w:val="0"/>
          <w:kern w:val="2"/>
          <w:sz w:val="32"/>
          <w:szCs w:val="32"/>
          <w:lang w:val="en-US" w:eastAsia="zh-CN" w:bidi="ar-SA"/>
        </w:rPr>
        <w:t>推进</w:t>
      </w:r>
      <w:r>
        <w:rPr>
          <w:rFonts w:hint="eastAsia" w:ascii="仿宋_GB2312" w:hAnsi="仿宋_GB2312" w:eastAsia="仿宋_GB2312" w:cs="仿宋_GB2312"/>
          <w:b w:val="0"/>
          <w:kern w:val="2"/>
          <w:sz w:val="32"/>
          <w:szCs w:val="32"/>
          <w:lang w:val="en-US" w:eastAsia="zh-CN" w:bidi="ar-SA"/>
        </w:rPr>
        <w:t>“2-1-1-5-2”</w:t>
      </w:r>
      <w:r>
        <w:rPr>
          <w:rFonts w:hint="eastAsia" w:ascii="仿宋_GB2312" w:hAnsi="仿宋_GB2312" w:eastAsia="仿宋_GB2312" w:cs="仿宋_GB2312"/>
          <w:b w:val="0"/>
          <w:bCs w:val="0"/>
          <w:kern w:val="2"/>
          <w:sz w:val="32"/>
          <w:szCs w:val="32"/>
          <w:lang w:val="en-US" w:eastAsia="zh-CN" w:bidi="ar-SA"/>
        </w:rPr>
        <w:t>中国式现</w:t>
      </w:r>
      <w:r>
        <w:rPr>
          <w:rFonts w:hint="eastAsia" w:ascii="仿宋_GB2312" w:hAnsi="仿宋_GB2312" w:eastAsia="仿宋_GB2312" w:cs="仿宋_GB2312"/>
          <w:sz w:val="32"/>
          <w:szCs w:val="32"/>
          <w:lang w:val="en-US" w:eastAsia="zh-CN"/>
        </w:rPr>
        <w:t>代化西城实践中贡献新的力量。</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（一）深化全面从严治党</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sz w:val="32"/>
          <w:szCs w:val="32"/>
        </w:rPr>
        <w:t>全面加强政治建设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学习贯彻党的二十大精神，把学习贯彻习近平新时代中国特色社会主义思想作为首要政治任务和政治必修课，</w:t>
      </w:r>
      <w:r>
        <w:rPr>
          <w:rFonts w:hint="eastAsia" w:ascii="仿宋_GB2312" w:hAnsi="仿宋_GB2312" w:eastAsia="仿宋_GB2312" w:cs="仿宋_GB2312"/>
          <w:sz w:val="32"/>
          <w:szCs w:val="32"/>
          <w:lang w:val="en-US" w:eastAsia="zh-CN"/>
        </w:rPr>
        <w:t>多种形式学习</w:t>
      </w:r>
      <w:r>
        <w:rPr>
          <w:rFonts w:hint="eastAsia" w:ascii="仿宋_GB2312" w:hAnsi="仿宋_GB2312" w:eastAsia="仿宋_GB2312" w:cs="仿宋_GB2312"/>
          <w:sz w:val="32"/>
          <w:szCs w:val="32"/>
        </w:rPr>
        <w:t>党的基本理论和中央、市、区重大战略部署，进一步提高干部</w:t>
      </w:r>
      <w:r>
        <w:rPr>
          <w:rFonts w:hint="eastAsia" w:ascii="仿宋_GB2312" w:hAnsi="仿宋_GB2312" w:eastAsia="仿宋_GB2312" w:cs="仿宋_GB2312"/>
          <w:sz w:val="32"/>
          <w:szCs w:val="32"/>
          <w:lang w:val="en-US" w:eastAsia="zh-CN"/>
        </w:rPr>
        <w:t>队伍</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政治</w:t>
      </w:r>
      <w:r>
        <w:rPr>
          <w:rFonts w:hint="eastAsia" w:ascii="仿宋_GB2312" w:hAnsi="仿宋_GB2312" w:eastAsia="仿宋_GB2312" w:cs="仿宋_GB2312"/>
          <w:sz w:val="32"/>
          <w:szCs w:val="32"/>
        </w:rPr>
        <w:t>理论素养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sz w:val="32"/>
          <w:szCs w:val="32"/>
        </w:rPr>
        <w:t>压实全面从严治党</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加强党的全面领导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坚决扛起核心区园林绿化建设的政治责任，为推动事业高质量发展提供坚强保证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认真履行“一岗双责”，</w:t>
      </w:r>
      <w:r>
        <w:rPr>
          <w:rFonts w:hint="eastAsia" w:ascii="仿宋_GB2312" w:hAnsi="仿宋_GB2312" w:eastAsia="仿宋_GB2312" w:cs="仿宋_GB2312"/>
          <w:sz w:val="32"/>
          <w:szCs w:val="32"/>
        </w:rPr>
        <w:t>持续加强正风肃纪，巩固发展风清气正政治生态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永葆勤政廉政。坚决贯彻党中央关于党内法规执行的决策部署和市委区委的决定，强化政治监督</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始终把纪律和规矩挺在前面</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健全意识形态工作制度，加强日常监管，定期组织分析研判和风险评估，及时纠正倾向性苗头性问题。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强化党建引领。以持续实施“红墙先锋工程”为牵引，抓好基层党组织建设和管理，在推动各项工作中充分发挥党组织战斗堡垒作用和党员先锋模范作用。</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（二）营建高品质绿色生态环境</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全面推进“花园城市”建设。</w:t>
      </w:r>
      <w:r>
        <w:rPr>
          <w:rFonts w:hint="eastAsia" w:ascii="仿宋_GB2312" w:hAnsi="仿宋_GB2312" w:eastAsia="仿宋_GB2312" w:cs="仿宋_GB2312"/>
          <w:b w:val="0"/>
          <w:bCs w:val="0"/>
          <w:sz w:val="32"/>
          <w:szCs w:val="32"/>
          <w:lang w:eastAsia="zh-CN"/>
        </w:rPr>
        <w:t>编制《</w:t>
      </w:r>
      <w:r>
        <w:rPr>
          <w:rFonts w:hint="eastAsia" w:ascii="仿宋_GB2312" w:hAnsi="仿宋_GB2312" w:eastAsia="仿宋_GB2312" w:cs="仿宋_GB2312"/>
          <w:b w:val="0"/>
          <w:bCs w:val="0"/>
          <w:sz w:val="32"/>
          <w:szCs w:val="32"/>
        </w:rPr>
        <w:t>西城区花园城市建设实施方案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建立三年行动计划项目库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探索创建路径，形成“2+5+8”建设模式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通过园林</w:t>
      </w:r>
      <w:r>
        <w:rPr>
          <w:rFonts w:hint="eastAsia" w:ascii="仿宋_GB2312" w:hAnsi="仿宋_GB2312" w:eastAsia="仿宋_GB2312" w:cs="仿宋_GB2312"/>
          <w:sz w:val="32"/>
          <w:szCs w:val="32"/>
          <w:lang w:val="en-US" w:eastAsia="zh-CN"/>
        </w:rPr>
        <w:t>绿化</w:t>
      </w:r>
      <w:r>
        <w:rPr>
          <w:rFonts w:hint="eastAsia" w:ascii="仿宋_GB2312" w:hAnsi="仿宋_GB2312" w:eastAsia="仿宋_GB2312" w:cs="仿宋_GB2312"/>
          <w:sz w:val="32"/>
          <w:szCs w:val="32"/>
        </w:rPr>
        <w:t>局牵头、街道配合、责师报</w:t>
      </w:r>
      <w:r>
        <w:rPr>
          <w:rFonts w:hint="eastAsia" w:ascii="仿宋_GB2312" w:hAnsi="仿宋_GB2312" w:eastAsia="仿宋_GB2312" w:cs="仿宋_GB2312"/>
          <w:sz w:val="32"/>
          <w:szCs w:val="32"/>
          <w:lang w:val="en-US" w:eastAsia="zh-CN"/>
        </w:rPr>
        <w:t>到的方式，收集项目、挖掘亮点、树立典型。计划</w:t>
      </w:r>
      <w:r>
        <w:rPr>
          <w:rFonts w:hint="eastAsia" w:ascii="仿宋_GB2312" w:hAnsi="仿宋_GB2312" w:eastAsia="仿宋_GB2312" w:cs="仿宋_GB2312"/>
          <w:color w:val="auto"/>
          <w:sz w:val="32"/>
          <w:szCs w:val="32"/>
          <w:lang w:val="en-US" w:eastAsia="zh-CN"/>
        </w:rPr>
        <w:t>新增1个花园式社区、2个花园式单位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3个无界公园，</w:t>
      </w:r>
      <w:r>
        <w:rPr>
          <w:rFonts w:hint="eastAsia" w:ascii="仿宋_GB2312" w:hAnsi="仿宋_GB2312" w:eastAsia="仿宋_GB2312" w:cs="仿宋_GB2312"/>
          <w:sz w:val="32"/>
          <w:szCs w:val="32"/>
        </w:rPr>
        <w:t>推进绿地连线工作，充分利用城市道路进行彩化美化，计划建设1个花园街区和5个城市画廊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w:t>
      </w:r>
      <w:r>
        <w:rPr>
          <w:rFonts w:hint="eastAsia" w:ascii="仿宋_GB2312" w:hAnsi="仿宋_GB2312" w:eastAsia="仿宋_GB2312" w:cs="仿宋_GB2312"/>
          <w:b w:val="0"/>
          <w:bCs w:val="0"/>
          <w:sz w:val="32"/>
          <w:szCs w:val="32"/>
        </w:rPr>
        <w:t>“京味国韵、花满西城”</w:t>
      </w:r>
      <w:r>
        <w:rPr>
          <w:rFonts w:hint="eastAsia" w:ascii="仿宋_GB2312" w:hAnsi="仿宋_GB2312" w:eastAsia="仿宋_GB2312" w:cs="仿宋_GB2312"/>
          <w:sz w:val="32"/>
          <w:szCs w:val="32"/>
        </w:rPr>
        <w:t>的花园城市愿景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多维度挖潜增绿。</w:t>
      </w:r>
      <w:r>
        <w:rPr>
          <w:rFonts w:hint="eastAsia" w:ascii="仿宋_GB2312" w:hAnsi="仿宋_GB2312" w:eastAsia="仿宋_GB2312" w:cs="仿宋_GB2312"/>
          <w:sz w:val="32"/>
          <w:szCs w:val="32"/>
        </w:rPr>
        <w:t>建设3处口袋公园绿地5000平方米、屋顶绿化5000平方米、垂直绿化500延长米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u w:val="none"/>
          <w:lang w:val="en-US" w:eastAsia="zh-CN"/>
        </w:rPr>
        <w:t>实施广阳谷一期等4个全龄友好公园改造10公顷；</w:t>
      </w:r>
      <w:r>
        <w:rPr>
          <w:rFonts w:hint="eastAsia" w:ascii="仿宋_GB2312" w:hAnsi="仿宋_GB2312" w:eastAsia="仿宋_GB2312" w:cs="仿宋_GB2312"/>
          <w:sz w:val="32"/>
          <w:szCs w:val="32"/>
        </w:rPr>
        <w:t>开展茶马北街林荫路、莲花河绿道（三期）和长椿苑公园建设</w:t>
      </w:r>
      <w:r>
        <w:rPr>
          <w:rFonts w:hint="eastAsia" w:ascii="仿宋_GB2312" w:hAnsi="仿宋_GB2312" w:cs="仿宋_GB2312"/>
          <w:sz w:val="32"/>
          <w:szCs w:val="32"/>
          <w:lang w:eastAsia="zh-CN"/>
        </w:rPr>
        <w:t>，</w:t>
      </w:r>
      <w:r>
        <w:rPr>
          <w:rFonts w:hint="eastAsia" w:ascii="仿宋_GB2312" w:hAnsi="仿宋_GB2312" w:eastAsia="仿宋_GB2312" w:cs="仿宋_GB2312"/>
          <w:color w:val="auto"/>
          <w:sz w:val="32"/>
          <w:szCs w:val="32"/>
          <w:highlight w:val="none"/>
          <w:u w:val="none"/>
          <w:lang w:val="en-US" w:eastAsia="zh-CN"/>
        </w:rPr>
        <w:t>为</w:t>
      </w:r>
      <w:r>
        <w:rPr>
          <w:rFonts w:hint="eastAsia" w:ascii="仿宋_GB2312" w:hAnsi="仿宋_GB2312" w:eastAsia="仿宋_GB2312" w:cs="仿宋_GB2312"/>
          <w:color w:val="auto"/>
          <w:sz w:val="32"/>
          <w:szCs w:val="32"/>
          <w:lang w:val="en-US" w:eastAsia="zh-CN"/>
        </w:rPr>
        <w:t>市民打造更多公共绿色休闲空间。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持续开展“揭网见绿”。坚持分类揭网、多元见绿原则，聚焦重点区域，发挥部门联动作用，建立长效工作模式，全力推进揭网见绿各项工作。</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（三）办好绿化惠民实事</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召开2024年西城区绿化委员会全体会议，</w:t>
      </w:r>
      <w:r>
        <w:rPr>
          <w:rFonts w:hint="eastAsia" w:ascii="仿宋_GB2312" w:hAnsi="仿宋_GB2312" w:eastAsia="仿宋_GB2312" w:cs="仿宋_GB2312"/>
          <w:color w:val="auto"/>
          <w:sz w:val="32"/>
          <w:szCs w:val="32"/>
          <w:lang w:val="en-US" w:eastAsia="zh-CN"/>
        </w:rPr>
        <w:t>发动绿委会成员单位积极履职尽</w:t>
      </w:r>
      <w:r>
        <w:rPr>
          <w:rFonts w:hint="eastAsia" w:ascii="仿宋_GB2312" w:hAnsi="仿宋_GB2312" w:cs="仿宋_GB2312"/>
          <w:color w:val="auto"/>
          <w:sz w:val="32"/>
          <w:szCs w:val="32"/>
          <w:lang w:val="en-US" w:eastAsia="zh-CN"/>
        </w:rPr>
        <w:t>责</w:t>
      </w:r>
      <w:r>
        <w:rPr>
          <w:rFonts w:hint="eastAsia" w:ascii="仿宋_GB2312" w:hAnsi="仿宋_GB2312" w:eastAsia="仿宋_GB2312" w:cs="仿宋_GB2312"/>
          <w:color w:val="auto"/>
          <w:sz w:val="32"/>
          <w:szCs w:val="32"/>
          <w:lang w:val="en-US" w:eastAsia="zh-CN"/>
        </w:rPr>
        <w:t>，共建共治共享美丽西城。</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高水平组织全民义务植树各项活动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auto"/>
          <w:sz w:val="32"/>
          <w:szCs w:val="32"/>
          <w:lang w:val="en-US" w:eastAsia="zh-CN"/>
        </w:rPr>
        <w:t>依托“互联网+全民义务植树基地”创新开展义务植树尽责活动。</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仿宋_GB2312" w:hAnsi="仿宋_GB2312" w:eastAsia="仿宋_GB2312" w:cs="仿宋_GB2312"/>
          <w:color w:val="auto"/>
          <w:sz w:val="32"/>
          <w:szCs w:val="32"/>
          <w:highlight w:val="none"/>
          <w:u w:val="none"/>
          <w:lang w:val="en-US" w:eastAsia="zh-CN"/>
        </w:rPr>
        <w:t>积极推广园艺文化。精心组织园艺体验和“爱绿一起，自然笔记”活动，不断丰富市民生活，传播绿色生态理念。</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（四）提升园林绿化资源管理保护水平</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开展第十次园林绿化资源专项调查。全面查清各类资源的种类、数量等，建立园林绿化资源“一张图”、“一套数”，实现一体化管理。</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强化精细管理和精准服务。积极践行“红墙意识”，为驻区中央国家单位提供绿化服务，营造良好政务环境。</w:t>
      </w:r>
      <w:r>
        <w:rPr>
          <w:rFonts w:hint="eastAsia" w:ascii="仿宋_GB2312" w:hAnsi="仿宋_GB2312" w:eastAsia="仿宋_GB2312" w:cs="仿宋_GB2312"/>
          <w:b w:val="0"/>
          <w:bCs w:val="0"/>
          <w:color w:val="auto"/>
          <w:sz w:val="32"/>
          <w:szCs w:val="32"/>
          <w:lang w:eastAsia="zh-CN"/>
        </w:rPr>
        <w:t>下足“绣花功夫”，抓好</w:t>
      </w:r>
      <w:r>
        <w:rPr>
          <w:rFonts w:hint="eastAsia" w:ascii="仿宋_GB2312" w:hAnsi="仿宋_GB2312" w:eastAsia="仿宋_GB2312" w:cs="仿宋_GB2312"/>
          <w:color w:val="auto"/>
          <w:sz w:val="32"/>
          <w:szCs w:val="32"/>
          <w:lang w:val="en-US" w:eastAsia="zh-CN"/>
        </w:rPr>
        <w:t>日常养护管理、指导、检查，古树名木保护，林木有害生物防治和</w:t>
      </w:r>
      <w:r>
        <w:rPr>
          <w:rFonts w:hint="eastAsia" w:ascii="仿宋_GB2312" w:hAnsi="仿宋_GB2312" w:eastAsia="仿宋_GB2312" w:cs="仿宋_GB2312"/>
          <w:color w:val="auto"/>
          <w:sz w:val="32"/>
          <w:szCs w:val="32"/>
          <w:lang w:val="zh-CN" w:eastAsia="zh-CN"/>
        </w:rPr>
        <w:t>杨柳飞絮治理</w:t>
      </w:r>
      <w:r>
        <w:rPr>
          <w:rFonts w:hint="eastAsia" w:ascii="仿宋_GB2312" w:hAnsi="仿宋_GB2312" w:eastAsia="仿宋_GB2312" w:cs="仿宋_GB2312"/>
          <w:color w:val="auto"/>
          <w:sz w:val="32"/>
          <w:szCs w:val="32"/>
          <w:lang w:val="en-US" w:eastAsia="zh-CN"/>
        </w:rPr>
        <w:t>等工作，不断提升绿化环境品质。加强公园管理，持续开展“不文明游园行为”治理，全面提高公园环境品质和服务接待水平。</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严格落实</w:t>
      </w:r>
      <w:r>
        <w:rPr>
          <w:rFonts w:hint="eastAsia" w:ascii="仿宋_GB2312" w:hAnsi="仿宋_GB2312" w:eastAsia="仿宋_GB2312" w:cs="仿宋_GB2312"/>
          <w:b w:val="0"/>
          <w:bCs w:val="0"/>
          <w:color w:val="auto"/>
          <w:sz w:val="32"/>
          <w:szCs w:val="32"/>
          <w:lang w:eastAsia="zh-CN"/>
        </w:rPr>
        <w:t>林长制。发挥林长制绩效考核作用，</w:t>
      </w:r>
      <w:r>
        <w:rPr>
          <w:rFonts w:hint="eastAsia" w:ascii="仿宋_GB2312" w:hAnsi="仿宋_GB2312" w:eastAsia="仿宋_GB2312" w:cs="仿宋_GB2312"/>
          <w:b w:val="0"/>
          <w:bCs w:val="0"/>
          <w:color w:val="auto"/>
          <w:sz w:val="32"/>
          <w:szCs w:val="32"/>
          <w:lang w:val="en-US" w:eastAsia="zh-CN"/>
        </w:rPr>
        <w:t>重新划分林长制网格，压紧压实各级管护职责，加大巡查检查力度，进一步提高园林绿化资源治理水平。</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（五）严格依法行政</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kern w:val="2"/>
          <w:sz w:val="32"/>
          <w:szCs w:val="32"/>
          <w:lang w:val="en-US" w:eastAsia="zh-CN" w:bidi="ar-SA"/>
        </w:rPr>
        <w:t>提升政务服务效能。坚持以人民为中心思想，强化主动治理、未诉先办，着力解决高频诉求、难点问题，不断提高“接诉即办”工作水平。提高站位，优化流程，扎实做好行政许可、政务督查、建议提案办理和政务公开工作。</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kern w:val="2"/>
          <w:sz w:val="32"/>
          <w:szCs w:val="32"/>
          <w:lang w:val="en-US" w:eastAsia="zh-CN" w:bidi="ar-SA"/>
        </w:rPr>
        <w:t>从严依法治绿。强化</w:t>
      </w:r>
      <w:r>
        <w:rPr>
          <w:rFonts w:hint="default" w:ascii="仿宋_GB2312" w:hAnsi="仿宋_GB2312" w:eastAsia="仿宋_GB2312" w:cs="仿宋_GB2312"/>
          <w:b w:val="0"/>
          <w:kern w:val="2"/>
          <w:sz w:val="32"/>
          <w:szCs w:val="32"/>
          <w:lang w:val="en-US" w:eastAsia="zh-CN" w:bidi="ar-SA"/>
        </w:rPr>
        <w:t>批后监督，</w:t>
      </w:r>
      <w:r>
        <w:rPr>
          <w:rFonts w:hint="eastAsia" w:ascii="仿宋_GB2312" w:hAnsi="仿宋_GB2312" w:eastAsia="仿宋_GB2312" w:cs="仿宋_GB2312"/>
          <w:b w:val="0"/>
          <w:kern w:val="2"/>
          <w:sz w:val="32"/>
          <w:szCs w:val="32"/>
          <w:lang w:val="en-US" w:eastAsia="zh-CN" w:bidi="ar-SA"/>
        </w:rPr>
        <w:t>加大执法检查力度，及时处置涉绿违法行为，全力保护绿化成果。</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kern w:val="2"/>
          <w:sz w:val="32"/>
          <w:szCs w:val="32"/>
          <w:lang w:val="en-US" w:eastAsia="zh-CN" w:bidi="ar-SA"/>
        </w:rPr>
        <w:t>狠抓安全生产和应急管理。强化行业安全生产监管督察，深入开展城市安全风险评估和推进标准化工作，提高全系统应急处突能力，坚决筑牢行业发展安全屏障。</w:t>
      </w:r>
    </w:p>
    <w:p>
      <w:pPr>
        <w:pStyle w:val="2"/>
        <w:keepNext w:val="0"/>
        <w:keepLines w:val="0"/>
        <w:pageBreakBefore w:val="0"/>
        <w:kinsoku/>
        <w:wordWrap/>
        <w:topLinePunct w:val="0"/>
        <w:bidi w:val="0"/>
        <w:spacing w:line="560" w:lineRule="exact"/>
        <w:textAlignment w:val="auto"/>
        <w:rPr>
          <w:rFonts w:hint="eastAsia"/>
          <w:lang w:val="en-US" w:eastAsia="zh-CN"/>
        </w:rPr>
      </w:pPr>
    </w:p>
    <w:p>
      <w:pPr>
        <w:pStyle w:val="2"/>
        <w:keepNext w:val="0"/>
        <w:keepLines w:val="0"/>
        <w:pageBreakBefore w:val="0"/>
        <w:kinsoku/>
        <w:wordWrap/>
        <w:topLinePunct w:val="0"/>
        <w:bidi w:val="0"/>
        <w:spacing w:line="560" w:lineRule="exact"/>
        <w:textAlignment w:val="auto"/>
        <w:rPr>
          <w:rFonts w:hint="eastAsia" w:ascii="仿宋_GB2312" w:hAnsi="仿宋_GB2312" w:eastAsia="仿宋_GB2312" w:cs="仿宋_GB2312"/>
          <w:b w:val="0"/>
          <w:kern w:val="2"/>
          <w:sz w:val="32"/>
          <w:szCs w:val="32"/>
          <w:lang w:val="en-US" w:eastAsia="zh-CN" w:bidi="ar-SA"/>
        </w:rPr>
      </w:pPr>
    </w:p>
    <w:p>
      <w:pPr>
        <w:keepNext w:val="0"/>
        <w:keepLines w:val="0"/>
        <w:pageBreakBefore w:val="0"/>
        <w:tabs>
          <w:tab w:val="left" w:pos="7360"/>
          <w:tab w:val="left" w:pos="7680"/>
        </w:tabs>
        <w:kinsoku/>
        <w:wordWrap/>
        <w:topLinePunct w:val="0"/>
        <w:bidi w:val="0"/>
        <w:spacing w:line="560" w:lineRule="exact"/>
        <w:jc w:val="center"/>
        <w:textAlignment w:val="auto"/>
        <w:rPr>
          <w:rFonts w:ascii="仿宋_GB2312"/>
          <w:szCs w:val="32"/>
        </w:rPr>
      </w:pPr>
      <w:r>
        <w:rPr>
          <w:rFonts w:hint="eastAsia" w:ascii="仿宋_GB2312"/>
          <w:szCs w:val="32"/>
          <w:lang w:val="en-US" w:eastAsia="zh-CN"/>
        </w:rPr>
        <w:t xml:space="preserve">                      </w:t>
      </w:r>
      <w:r>
        <w:rPr>
          <w:rFonts w:hint="eastAsia" w:ascii="仿宋_GB2312"/>
          <w:szCs w:val="32"/>
        </w:rPr>
        <w:t>中共北京市西城区园林绿化局党组</w:t>
      </w:r>
    </w:p>
    <w:p>
      <w:pPr>
        <w:keepNext w:val="0"/>
        <w:keepLines w:val="0"/>
        <w:pageBreakBefore w:val="0"/>
        <w:tabs>
          <w:tab w:val="left" w:pos="7513"/>
        </w:tabs>
        <w:kinsoku/>
        <w:wordWrap/>
        <w:topLinePunct w:val="0"/>
        <w:bidi w:val="0"/>
        <w:spacing w:line="560" w:lineRule="exact"/>
        <w:textAlignment w:val="auto"/>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20</w:t>
      </w:r>
      <w:r>
        <w:rPr>
          <w:rFonts w:hint="eastAsia" w:ascii="仿宋_GB2312"/>
          <w:szCs w:val="32"/>
          <w:lang w:val="en-US" w:eastAsia="zh-CN"/>
        </w:rPr>
        <w:t>23</w:t>
      </w:r>
      <w:r>
        <w:rPr>
          <w:rFonts w:hint="eastAsia" w:ascii="仿宋_GB2312"/>
          <w:szCs w:val="32"/>
        </w:rPr>
        <w:t>年1</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11</w:t>
      </w:r>
      <w:r>
        <w:rPr>
          <w:rFonts w:hint="eastAsia" w:ascii="仿宋_GB2312"/>
          <w:szCs w:val="32"/>
        </w:rPr>
        <w:t>日</w:t>
      </w:r>
    </w:p>
    <w:p>
      <w:pPr>
        <w:keepNext w:val="0"/>
        <w:keepLines w:val="0"/>
        <w:pageBreakBefore w:val="0"/>
        <w:tabs>
          <w:tab w:val="left" w:pos="7513"/>
        </w:tabs>
        <w:kinsoku/>
        <w:wordWrap/>
        <w:topLinePunct w:val="0"/>
        <w:bidi w:val="0"/>
        <w:spacing w:line="560" w:lineRule="exact"/>
        <w:ind w:firstLine="640" w:firstLineChars="200"/>
        <w:textAlignment w:val="auto"/>
        <w:rPr>
          <w:rFonts w:ascii="仿宋_GB2312"/>
          <w:szCs w:val="32"/>
        </w:rPr>
      </w:pPr>
      <w:r>
        <w:rPr>
          <w:rFonts w:hint="eastAsia" w:ascii="仿宋_GB2312"/>
          <w:szCs w:val="32"/>
        </w:rPr>
        <w:t>（起草人：范慧英；电话：68021036）</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仿宋"/>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cs="仿宋"/>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cs="仿宋"/>
          <w:szCs w:val="32"/>
        </w:rPr>
      </w:pPr>
    </w:p>
    <w:p/>
    <w:p>
      <w:pPr>
        <w:pStyle w:val="2"/>
      </w:pPr>
    </w:p>
    <w:p>
      <w:pPr>
        <w:pStyle w:val="5"/>
      </w:pPr>
    </w:p>
    <w:p>
      <w:pPr>
        <w:widowControl/>
        <w:spacing w:line="580" w:lineRule="exact"/>
        <w:ind w:firstLine="280" w:firstLineChars="100"/>
        <w:jc w:val="left"/>
        <w:rPr>
          <w:rFonts w:ascii="仿宋_GB2312" w:hAnsi="华文仿宋" w:cs="仿宋_GB2312"/>
          <w:sz w:val="28"/>
          <w:szCs w:val="28"/>
        </w:rPr>
      </w:pPr>
      <w:r>
        <w:rPr>
          <w:rFonts w:hint="eastAsia" w:ascii="仿宋_GB2312" w:hAnsi="华文仿宋"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24765</wp:posOffset>
                </wp:positionV>
                <wp:extent cx="5615940" cy="0"/>
                <wp:effectExtent l="10160" t="8890" r="12700" b="1016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1.95pt;height:0pt;width:442.2pt;z-index:251661312;mso-width-relative:page;mso-height-relative:page;" filled="f" stroked="t" coordsize="21600,21600" o:gfxdata="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bswY21AAAAAQBAAAPAAAAAAAAAAEAIAAAACIAAABkcnMvZG93bnJl&#10;di54bWxQSwECFAAUAAAACACHTuJADp6kIcgBAABdAwAADgAAAAAAAAABACAAAAAjAQAAZHJzL2Uy&#10;b0RvYy54bWxQSwUGAAAAAAYABgBZAQAAXQUAAAAA&#10;">
                <v:fill on="f" focussize="0,0"/>
                <v:stroke weight="1pt" color="#000000" joinstyle="round"/>
                <v:imagedata o:title=""/>
                <o:lock v:ext="edit" aspectratio="f"/>
              </v:line>
            </w:pict>
          </mc:Fallback>
        </mc:AlternateContent>
      </w:r>
      <w:r>
        <w:rPr>
          <w:rFonts w:hint="eastAsia" w:ascii="仿宋_GB2312" w:hAnsi="华文仿宋"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395605</wp:posOffset>
                </wp:positionV>
                <wp:extent cx="5615940" cy="0"/>
                <wp:effectExtent l="10160" t="8255" r="12700" b="1079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31.15pt;height:0pt;width:442.2pt;z-index:251660288;mso-width-relative:page;mso-height-relative:page;" filled="f" stroked="t" coordsize="21600,21600" o:gfxdata="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Hhvr21gAAAAYBAAAPAAAAAAAAAAEAIAAAACIAAABkcnMvZG93&#10;bnJldi54bWxQSwECFAAUAAAACACHTuJASIu+oMkBAABdAwAADgAAAAAAAAABACAAAAAlAQAAZHJz&#10;L2Uyb0RvYy54bWxQSwUGAAAAAAYABgBZAQAAYAUAAAAA&#10;">
                <v:fill on="f" focussize="0,0"/>
                <v:stroke weight="1pt" color="#000000" joinstyle="round"/>
                <v:imagedata o:title=""/>
                <o:lock v:ext="edit" aspectratio="f"/>
              </v:line>
            </w:pict>
          </mc:Fallback>
        </mc:AlternateContent>
      </w:r>
      <w:r>
        <w:rPr>
          <w:rFonts w:hint="eastAsia" w:ascii="仿宋_GB2312" w:hAnsi="华文仿宋" w:cs="仿宋_GB2312"/>
          <w:sz w:val="28"/>
          <w:szCs w:val="28"/>
        </w:rPr>
        <w:t xml:space="preserve">北京市西城区园林绿化局办公室         </w:t>
      </w:r>
      <w:r>
        <w:rPr>
          <w:rFonts w:hint="eastAsia" w:ascii="仿宋_GB2312" w:hAnsi="华文仿宋" w:cs="仿宋_GB2312"/>
          <w:sz w:val="28"/>
          <w:szCs w:val="28"/>
          <w:lang w:val="en-US" w:eastAsia="zh-CN"/>
        </w:rPr>
        <w:t xml:space="preserve">  </w:t>
      </w:r>
      <w:r>
        <w:rPr>
          <w:rFonts w:ascii="仿宋_GB2312" w:hAnsi="华文仿宋" w:cs="仿宋_GB2312"/>
          <w:sz w:val="28"/>
          <w:szCs w:val="28"/>
        </w:rPr>
        <w:t>20</w:t>
      </w:r>
      <w:r>
        <w:rPr>
          <w:rFonts w:hint="eastAsia" w:ascii="仿宋_GB2312" w:hAnsi="华文仿宋" w:cs="仿宋_GB2312"/>
          <w:sz w:val="28"/>
          <w:szCs w:val="28"/>
          <w:lang w:val="en-US" w:eastAsia="zh-CN"/>
        </w:rPr>
        <w:t>23</w:t>
      </w:r>
      <w:r>
        <w:rPr>
          <w:rFonts w:ascii="仿宋_GB2312" w:hAnsi="华文仿宋" w:cs="仿宋_GB2312"/>
          <w:sz w:val="28"/>
          <w:szCs w:val="28"/>
        </w:rPr>
        <w:t>年</w:t>
      </w:r>
      <w:r>
        <w:rPr>
          <w:rFonts w:hint="eastAsia" w:ascii="仿宋_GB2312" w:hAnsi="华文仿宋" w:cs="仿宋_GB2312"/>
          <w:sz w:val="28"/>
          <w:szCs w:val="28"/>
        </w:rPr>
        <w:t>1</w:t>
      </w:r>
      <w:r>
        <w:rPr>
          <w:rFonts w:hint="eastAsia" w:ascii="仿宋_GB2312" w:hAnsi="华文仿宋" w:cs="仿宋_GB2312"/>
          <w:sz w:val="28"/>
          <w:szCs w:val="28"/>
          <w:lang w:val="en-US" w:eastAsia="zh-CN"/>
        </w:rPr>
        <w:t>2</w:t>
      </w:r>
      <w:r>
        <w:rPr>
          <w:rFonts w:ascii="仿宋_GB2312" w:hAnsi="华文仿宋" w:cs="仿宋_GB2312"/>
          <w:sz w:val="28"/>
          <w:szCs w:val="28"/>
        </w:rPr>
        <w:t>月</w:t>
      </w:r>
      <w:r>
        <w:rPr>
          <w:rFonts w:hint="eastAsia" w:ascii="仿宋_GB2312" w:hAnsi="华文仿宋" w:cs="仿宋_GB2312"/>
          <w:sz w:val="28"/>
          <w:szCs w:val="28"/>
          <w:lang w:val="en-US" w:eastAsia="zh-CN"/>
        </w:rPr>
        <w:t>11</w:t>
      </w:r>
      <w:r>
        <w:rPr>
          <w:rFonts w:ascii="仿宋_GB2312" w:hAnsi="华文仿宋" w:cs="仿宋_GB2312"/>
          <w:sz w:val="28"/>
          <w:szCs w:val="28"/>
        </w:rPr>
        <w:t>日</w:t>
      </w:r>
      <w:r>
        <w:rPr>
          <w:rFonts w:hint="eastAsia" w:ascii="仿宋_GB2312" w:hAnsi="华文仿宋" w:cs="仿宋_GB2312"/>
          <w:sz w:val="28"/>
          <w:szCs w:val="28"/>
        </w:rPr>
        <w:t>印发</w:t>
      </w:r>
    </w:p>
    <w:sectPr>
      <w:pgSz w:w="11906" w:h="16838"/>
      <w:pgMar w:top="1984" w:right="1531" w:bottom="1984" w:left="1531" w:header="851" w:footer="992" w:gutter="0"/>
      <w:pgNumType w:fmt="decimal" w:chapStyle="1"/>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宋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4739005</wp:posOffset>
              </wp:positionH>
              <wp:positionV relativeFrom="paragraph">
                <wp:posOffset>-255905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3.15pt;margin-top:-20.15pt;height:144pt;width:144pt;mso-position-horizontal-relative:margin;mso-wrap-style:none;z-index:251660288;mso-width-relative:page;mso-height-relative:page;" filled="f" stroked="f" coordsize="21600,21600" o:gfxdata="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fO5Y2AAAAAwBAAAPAAAA&#10;AAAAAAEAIAAAACIAAABkcnMvZG93bnJldi54bWxQSwECFAAUAAAACACHTuJAI8sU8BUCAAATBAAA&#10;DgAAAAAAAAABACAAAAAnAQAAZHJzL2Uyb0RvYy54bWxQSwUGAAAAAAYABgBZAQAArg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ind w:left="90" w:leftChars="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212090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7pt;margin-top:0pt;height:144pt;width:144pt;mso-position-horizontal-relative:margin;mso-wrap-style:none;z-index:251661312;mso-width-relative:page;mso-height-relative:page;" filled="f" stroked="f" coordsize="21600,21600" o:gfxdata="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0d/3rUAAAABwEAAA8AAAAAAAAA&#10;AQAgAAAAIgAAAGRycy9kb3ducmV2LnhtbFBLAQIUABQAAAAIAIdO4kCNxeOVFQIAABUEAAAOAAAA&#10;AAAAAAEAIAAAACMBAABkcnMvZTJvRG9jLnhtbFBLBQYAAAAABgAGAFkBAACq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p>
    <w:pPr>
      <w:pStyle w:val="7"/>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80"/>
    <w:rsid w:val="000B5E2A"/>
    <w:rsid w:val="000F2DD7"/>
    <w:rsid w:val="000F5194"/>
    <w:rsid w:val="00124D28"/>
    <w:rsid w:val="001E04C8"/>
    <w:rsid w:val="00293FE4"/>
    <w:rsid w:val="002C0BD5"/>
    <w:rsid w:val="002D01EB"/>
    <w:rsid w:val="00361DD7"/>
    <w:rsid w:val="00380719"/>
    <w:rsid w:val="00443D37"/>
    <w:rsid w:val="004667D9"/>
    <w:rsid w:val="00473487"/>
    <w:rsid w:val="00481099"/>
    <w:rsid w:val="0054079E"/>
    <w:rsid w:val="00635005"/>
    <w:rsid w:val="00714F77"/>
    <w:rsid w:val="0090588E"/>
    <w:rsid w:val="009205CB"/>
    <w:rsid w:val="009C1280"/>
    <w:rsid w:val="00AD2C08"/>
    <w:rsid w:val="00BB7A6C"/>
    <w:rsid w:val="00BF7D23"/>
    <w:rsid w:val="00C40F8D"/>
    <w:rsid w:val="00C45735"/>
    <w:rsid w:val="00CD0700"/>
    <w:rsid w:val="00D16825"/>
    <w:rsid w:val="00D46D1F"/>
    <w:rsid w:val="00DA034E"/>
    <w:rsid w:val="00E51708"/>
    <w:rsid w:val="00EF7CFA"/>
    <w:rsid w:val="00F31867"/>
    <w:rsid w:val="00F86E8B"/>
    <w:rsid w:val="00FA401D"/>
    <w:rsid w:val="00FE3E6B"/>
    <w:rsid w:val="01B57376"/>
    <w:rsid w:val="02537120"/>
    <w:rsid w:val="028751FC"/>
    <w:rsid w:val="02A750BA"/>
    <w:rsid w:val="045723B2"/>
    <w:rsid w:val="045E0499"/>
    <w:rsid w:val="04AB281E"/>
    <w:rsid w:val="04CE3BF4"/>
    <w:rsid w:val="05124A43"/>
    <w:rsid w:val="054F00C9"/>
    <w:rsid w:val="059F7D46"/>
    <w:rsid w:val="05F02B0C"/>
    <w:rsid w:val="06075D38"/>
    <w:rsid w:val="06890054"/>
    <w:rsid w:val="073C271E"/>
    <w:rsid w:val="0778654D"/>
    <w:rsid w:val="07991C6B"/>
    <w:rsid w:val="07A5607C"/>
    <w:rsid w:val="08091FA2"/>
    <w:rsid w:val="0860018F"/>
    <w:rsid w:val="087E7FE2"/>
    <w:rsid w:val="095067BF"/>
    <w:rsid w:val="09744D08"/>
    <w:rsid w:val="0A6B7926"/>
    <w:rsid w:val="0A7113A0"/>
    <w:rsid w:val="0A7275CC"/>
    <w:rsid w:val="0A8258F6"/>
    <w:rsid w:val="0AE30479"/>
    <w:rsid w:val="0B0539FC"/>
    <w:rsid w:val="0B813B2C"/>
    <w:rsid w:val="0BB0674F"/>
    <w:rsid w:val="0BCF4065"/>
    <w:rsid w:val="0BFD02B2"/>
    <w:rsid w:val="0C4744FF"/>
    <w:rsid w:val="0C7965AC"/>
    <w:rsid w:val="0DC40E5F"/>
    <w:rsid w:val="0DCB3DFC"/>
    <w:rsid w:val="0DDA01B1"/>
    <w:rsid w:val="0DFF0659"/>
    <w:rsid w:val="0E5D34CB"/>
    <w:rsid w:val="0E871E5A"/>
    <w:rsid w:val="0EE352C5"/>
    <w:rsid w:val="101F2B82"/>
    <w:rsid w:val="117E550F"/>
    <w:rsid w:val="11D309A6"/>
    <w:rsid w:val="13F85D5F"/>
    <w:rsid w:val="14946E2E"/>
    <w:rsid w:val="14E26489"/>
    <w:rsid w:val="15190E5D"/>
    <w:rsid w:val="15900C4D"/>
    <w:rsid w:val="15FC29A1"/>
    <w:rsid w:val="16F27754"/>
    <w:rsid w:val="175228B7"/>
    <w:rsid w:val="178744E0"/>
    <w:rsid w:val="17E27610"/>
    <w:rsid w:val="186320D0"/>
    <w:rsid w:val="18E66CEF"/>
    <w:rsid w:val="19035CA4"/>
    <w:rsid w:val="19887D24"/>
    <w:rsid w:val="1BA529CD"/>
    <w:rsid w:val="1CCC1222"/>
    <w:rsid w:val="1DC80702"/>
    <w:rsid w:val="1E2C710C"/>
    <w:rsid w:val="1E5170AC"/>
    <w:rsid w:val="1E521152"/>
    <w:rsid w:val="1E794299"/>
    <w:rsid w:val="1E9B1616"/>
    <w:rsid w:val="1F7A0810"/>
    <w:rsid w:val="1FD40AF1"/>
    <w:rsid w:val="20A1303F"/>
    <w:rsid w:val="20A33C2A"/>
    <w:rsid w:val="20EC2B01"/>
    <w:rsid w:val="22C90DD5"/>
    <w:rsid w:val="22DD16D7"/>
    <w:rsid w:val="23ED7290"/>
    <w:rsid w:val="243D46F0"/>
    <w:rsid w:val="24435F0E"/>
    <w:rsid w:val="24B27AD8"/>
    <w:rsid w:val="24BE3CBD"/>
    <w:rsid w:val="24DE503D"/>
    <w:rsid w:val="24E15C02"/>
    <w:rsid w:val="25453E3E"/>
    <w:rsid w:val="261B70AB"/>
    <w:rsid w:val="26E7113E"/>
    <w:rsid w:val="27EA57C1"/>
    <w:rsid w:val="287B63C8"/>
    <w:rsid w:val="29BC436F"/>
    <w:rsid w:val="29CB3713"/>
    <w:rsid w:val="2A2F7825"/>
    <w:rsid w:val="2AD85B34"/>
    <w:rsid w:val="2B7232A0"/>
    <w:rsid w:val="2BF677AE"/>
    <w:rsid w:val="2C002661"/>
    <w:rsid w:val="2C7A4153"/>
    <w:rsid w:val="2CEA6A10"/>
    <w:rsid w:val="2D1F0F13"/>
    <w:rsid w:val="2D6A2F9A"/>
    <w:rsid w:val="2F272DD9"/>
    <w:rsid w:val="2F585D44"/>
    <w:rsid w:val="315735EB"/>
    <w:rsid w:val="32C76527"/>
    <w:rsid w:val="32F91BD1"/>
    <w:rsid w:val="338A765C"/>
    <w:rsid w:val="33E24D8C"/>
    <w:rsid w:val="35F04EB6"/>
    <w:rsid w:val="365D59DF"/>
    <w:rsid w:val="36E43D05"/>
    <w:rsid w:val="373152A6"/>
    <w:rsid w:val="37981FD9"/>
    <w:rsid w:val="37B65EF5"/>
    <w:rsid w:val="39084453"/>
    <w:rsid w:val="397A4493"/>
    <w:rsid w:val="3A3B3E9F"/>
    <w:rsid w:val="3A7C10DE"/>
    <w:rsid w:val="3B6038B7"/>
    <w:rsid w:val="3CAA388E"/>
    <w:rsid w:val="3D4B2994"/>
    <w:rsid w:val="3E8F14E8"/>
    <w:rsid w:val="40947106"/>
    <w:rsid w:val="414F3CF7"/>
    <w:rsid w:val="424E665C"/>
    <w:rsid w:val="42E41083"/>
    <w:rsid w:val="433735C0"/>
    <w:rsid w:val="43E52464"/>
    <w:rsid w:val="44122CF8"/>
    <w:rsid w:val="46214FC4"/>
    <w:rsid w:val="46E14E0E"/>
    <w:rsid w:val="46F7186F"/>
    <w:rsid w:val="473964B6"/>
    <w:rsid w:val="47993264"/>
    <w:rsid w:val="48E078F4"/>
    <w:rsid w:val="4980207C"/>
    <w:rsid w:val="4A1B40C7"/>
    <w:rsid w:val="4AD96058"/>
    <w:rsid w:val="4AE0298B"/>
    <w:rsid w:val="4B31589C"/>
    <w:rsid w:val="4B6412BB"/>
    <w:rsid w:val="4C4745CF"/>
    <w:rsid w:val="4C501462"/>
    <w:rsid w:val="4DB87C21"/>
    <w:rsid w:val="4EC64BF9"/>
    <w:rsid w:val="4F085AD2"/>
    <w:rsid w:val="50DB6146"/>
    <w:rsid w:val="512A71BF"/>
    <w:rsid w:val="5155779C"/>
    <w:rsid w:val="52635341"/>
    <w:rsid w:val="526B78D3"/>
    <w:rsid w:val="52B45018"/>
    <w:rsid w:val="533E587F"/>
    <w:rsid w:val="53911412"/>
    <w:rsid w:val="53E0770A"/>
    <w:rsid w:val="542C5243"/>
    <w:rsid w:val="5476079B"/>
    <w:rsid w:val="548835CD"/>
    <w:rsid w:val="55103671"/>
    <w:rsid w:val="55191777"/>
    <w:rsid w:val="57CC1535"/>
    <w:rsid w:val="58A31A25"/>
    <w:rsid w:val="58F90F1A"/>
    <w:rsid w:val="5A173027"/>
    <w:rsid w:val="5AAF381A"/>
    <w:rsid w:val="5B1669E7"/>
    <w:rsid w:val="5C0960C0"/>
    <w:rsid w:val="5D377EE5"/>
    <w:rsid w:val="5D9D4D91"/>
    <w:rsid w:val="5DAC544F"/>
    <w:rsid w:val="5DE13EC4"/>
    <w:rsid w:val="5DF0061A"/>
    <w:rsid w:val="5F4009B2"/>
    <w:rsid w:val="605B636B"/>
    <w:rsid w:val="60CA3A07"/>
    <w:rsid w:val="630E7ED3"/>
    <w:rsid w:val="63806E80"/>
    <w:rsid w:val="64D65EB4"/>
    <w:rsid w:val="65B02BE5"/>
    <w:rsid w:val="65F51B6A"/>
    <w:rsid w:val="678C7907"/>
    <w:rsid w:val="67D6606B"/>
    <w:rsid w:val="68031568"/>
    <w:rsid w:val="68CB0B63"/>
    <w:rsid w:val="6A147B92"/>
    <w:rsid w:val="6B5A3A14"/>
    <w:rsid w:val="6B6C4551"/>
    <w:rsid w:val="6B936270"/>
    <w:rsid w:val="6BE74857"/>
    <w:rsid w:val="6BF52006"/>
    <w:rsid w:val="6CF77811"/>
    <w:rsid w:val="6DF208F9"/>
    <w:rsid w:val="6E34146B"/>
    <w:rsid w:val="6EB96D55"/>
    <w:rsid w:val="6EEC1D1A"/>
    <w:rsid w:val="6F355B38"/>
    <w:rsid w:val="6F7E71F1"/>
    <w:rsid w:val="6F8144FD"/>
    <w:rsid w:val="70E51B62"/>
    <w:rsid w:val="7188124E"/>
    <w:rsid w:val="72252811"/>
    <w:rsid w:val="722E3E2A"/>
    <w:rsid w:val="724B5CDC"/>
    <w:rsid w:val="726409D2"/>
    <w:rsid w:val="72731855"/>
    <w:rsid w:val="73203BC5"/>
    <w:rsid w:val="747D1E48"/>
    <w:rsid w:val="74D45F97"/>
    <w:rsid w:val="75846F55"/>
    <w:rsid w:val="75FF0FF5"/>
    <w:rsid w:val="76150DE9"/>
    <w:rsid w:val="762272FD"/>
    <w:rsid w:val="77304C0C"/>
    <w:rsid w:val="793C7294"/>
    <w:rsid w:val="79CA509D"/>
    <w:rsid w:val="7C761A03"/>
    <w:rsid w:val="7DBC2F47"/>
    <w:rsid w:val="7DE65D28"/>
    <w:rsid w:val="7E560B65"/>
    <w:rsid w:val="7E5F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4">
    <w:name w:val="Body Text"/>
    <w:basedOn w:val="1"/>
    <w:next w:val="5"/>
    <w:qFormat/>
    <w:uiPriority w:val="0"/>
    <w:pPr>
      <w:spacing w:after="120"/>
    </w:p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alloon Text"/>
    <w:basedOn w:val="1"/>
    <w:link w:val="13"/>
    <w:semiHidden/>
    <w:unhideWhenUsed/>
    <w:qFormat/>
    <w:uiPriority w:val="99"/>
    <w:rPr>
      <w:sz w:val="18"/>
      <w:szCs w:val="18"/>
    </w:rPr>
  </w:style>
  <w:style w:type="paragraph" w:styleId="7">
    <w:name w:val="footer"/>
    <w:basedOn w:val="1"/>
    <w:link w:val="11"/>
    <w:qFormat/>
    <w:uiPriority w:val="99"/>
    <w:pPr>
      <w:tabs>
        <w:tab w:val="center" w:pos="4153"/>
        <w:tab w:val="right" w:pos="8306"/>
      </w:tabs>
      <w:snapToGrid w:val="0"/>
      <w:jc w:val="left"/>
    </w:pPr>
    <w:rPr>
      <w:rFonts w:eastAsia="宋体"/>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脚 Char"/>
    <w:basedOn w:val="10"/>
    <w:link w:val="7"/>
    <w:qFormat/>
    <w:uiPriority w:val="99"/>
    <w:rPr>
      <w:rFonts w:ascii="Times New Roman" w:hAnsi="Times New Roman" w:eastAsia="宋体" w:cs="Times New Roman"/>
      <w:sz w:val="18"/>
      <w:szCs w:val="18"/>
    </w:rPr>
  </w:style>
  <w:style w:type="character" w:customStyle="1" w:styleId="12">
    <w:name w:val="页眉 Char"/>
    <w:basedOn w:val="10"/>
    <w:link w:val="8"/>
    <w:qFormat/>
    <w:uiPriority w:val="99"/>
    <w:rPr>
      <w:rFonts w:ascii="Times New Roman" w:hAnsi="Times New Roman" w:eastAsia="仿宋_GB2312" w:cs="Times New Roman"/>
      <w:sz w:val="18"/>
      <w:szCs w:val="18"/>
    </w:rPr>
  </w:style>
  <w:style w:type="character" w:customStyle="1" w:styleId="13">
    <w:name w:val="批注框文本 Char"/>
    <w:basedOn w:val="10"/>
    <w:link w:val="6"/>
    <w:semiHidden/>
    <w:qFormat/>
    <w:uiPriority w:val="99"/>
    <w:rPr>
      <w:rFonts w:ascii="Times New Roman" w:hAnsi="Times New Roman" w:eastAsia="仿宋_GB2312" w:cs="Times New Roman"/>
      <w:sz w:val="18"/>
      <w:szCs w:val="18"/>
    </w:rPr>
  </w:style>
  <w:style w:type="character" w:customStyle="1" w:styleId="14">
    <w:name w:val="NormalCharacter"/>
    <w:qFormat/>
    <w:uiPriority w:val="0"/>
  </w:style>
  <w:style w:type="paragraph" w:customStyle="1" w:styleId="15">
    <w:name w:val="Y正文"/>
    <w:basedOn w:val="16"/>
    <w:qFormat/>
    <w:uiPriority w:val="0"/>
    <w:pPr>
      <w:ind w:firstLine="600"/>
    </w:pPr>
    <w:rPr>
      <w:sz w:val="28"/>
      <w:szCs w:val="30"/>
    </w:rPr>
  </w:style>
  <w:style w:type="paragraph" w:customStyle="1" w:styleId="16">
    <w:name w:val="正文 样式4"/>
    <w:basedOn w:val="1"/>
    <w:qFormat/>
    <w:uiPriority w:val="0"/>
    <w:pPr>
      <w:spacing w:line="360" w:lineRule="auto"/>
      <w:ind w:firstLine="480" w:firstLineChars="200"/>
    </w:pPr>
    <w:rPr>
      <w:rFonts w:ascii="宋体" w:hAnsi="宋体" w:eastAsia="宋体"/>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83346-C58A-4DB3-98BC-DAA48BB1293C}">
  <ds:schemaRefs/>
</ds:datastoreItem>
</file>

<file path=docProps/app.xml><?xml version="1.0" encoding="utf-8"?>
<Properties xmlns="http://schemas.openxmlformats.org/officeDocument/2006/extended-properties" xmlns:vt="http://schemas.openxmlformats.org/officeDocument/2006/docPropsVTypes">
  <Template>Normal</Template>
  <Pages>8</Pages>
  <Words>505</Words>
  <Characters>2882</Characters>
  <Lines>24</Lines>
  <Paragraphs>6</Paragraphs>
  <TotalTime>7</TotalTime>
  <ScaleCrop>false</ScaleCrop>
  <LinksUpToDate>false</LinksUpToDate>
  <CharactersWithSpaces>3381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2016-12-27T03:13:00Z</dcterms:created>
  <dc:creator>园林局办文人员</dc:creator>
  <cp:lastModifiedBy>西城王忠林</cp:lastModifiedBy>
  <cp:lastPrinted>2016-12-27T06:12:00Z</cp:lastPrinted>
  <dcterms:modified xsi:type="dcterms:W3CDTF">2023-12-11T02:00:06Z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