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202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b/>
          <w:sz w:val="36"/>
          <w:szCs w:val="36"/>
        </w:rPr>
        <w:t>年北京宣房投资管理集团有限公司</w:t>
      </w:r>
    </w:p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预算编制说明</w:t>
      </w:r>
    </w:p>
    <w:p/>
    <w:p/>
    <w:p/>
    <w:p/>
    <w:p/>
    <w:p/>
    <w:p/>
    <w:p/>
    <w:p/>
    <w:p/>
    <w:p/>
    <w:p/>
    <w:p/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目录</w:t>
      </w:r>
    </w:p>
    <w:p>
      <w:pPr>
        <w:ind w:firstLine="281" w:firstLineChars="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第一部分、202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年部门预算情况说明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2024年部门预算收支及增减变化情况说明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2024年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hint="eastAsia" w:ascii="仿宋_GB2312" w:eastAsia="仿宋_GB2312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表十二、专项转移支付预算表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表十三、项目支出绩效目标申报表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表十四、部门整体支出绩效目标申报表</w:t>
      </w:r>
    </w:p>
    <w:p>
      <w:pPr>
        <w:rPr>
          <w:sz w:val="32"/>
          <w:szCs w:val="32"/>
        </w:rPr>
      </w:pPr>
    </w:p>
    <w:p/>
    <w:p/>
    <w:p>
      <w:pPr>
        <w:rPr>
          <w:rFonts w:ascii="楷体_GB2312" w:hAnsi="宋体" w:eastAsia="楷体_GB2312" w:cs="宋体"/>
          <w:b/>
          <w:color w:val="000000"/>
          <w:kern w:val="0"/>
          <w:sz w:val="36"/>
          <w:szCs w:val="36"/>
        </w:rPr>
      </w:pPr>
    </w:p>
    <w:p>
      <w:pPr>
        <w:ind w:firstLine="1265" w:firstLineChars="350"/>
        <w:rPr>
          <w:rFonts w:ascii="楷体_GB2312" w:hAnsi="宋体" w:eastAsia="楷体_GB2312" w:cs="宋体"/>
          <w:b/>
          <w:color w:val="000000"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6"/>
          <w:szCs w:val="36"/>
        </w:rPr>
        <w:t>第一部分  202</w:t>
      </w:r>
      <w:r>
        <w:rPr>
          <w:rFonts w:hint="eastAsia" w:ascii="楷体_GB2312" w:hAnsi="宋体" w:eastAsia="楷体_GB2312" w:cs="宋体"/>
          <w:b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楷体_GB2312" w:hAnsi="宋体" w:eastAsia="楷体_GB2312" w:cs="宋体"/>
          <w:b/>
          <w:color w:val="000000"/>
          <w:kern w:val="0"/>
          <w:sz w:val="36"/>
          <w:szCs w:val="36"/>
        </w:rPr>
        <w:t>年部门预算情况说明</w:t>
      </w:r>
    </w:p>
    <w:p>
      <w:pPr>
        <w:ind w:firstLine="945" w:firstLineChars="450"/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一、部门主要职责及机构设置情况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（一）部门机构设置、职责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北京宣房投资管理集团有限公司（简称宣房集团）主要承担西城南部直管公房管理、修缮、防汛、供暖、电梯运行等公共服务职能，从事房地产开发、工程修缮、物业服务以及老旧小区综合整治、房屋解危腾退、文保区房屋保护性修缮等政府民生工程，承担政府交办的应急抢险任务。集团下辖北京宣房房屋经营有限公司、北京宣房楼宇设备有限公司、北京宣房大德置业投资有限公司、北京轩方装饰工程有限责任公司、北京宣房建筑工程有限责任公司、北京宣房大厚投资管理有限责任公司、北京宣房物业管理有限公司、北京宣房正阳经济贸易有限公司、北京市红义物业管理有限公司、北京宣房拆迁有限责任公司10个全资子公司。在职员工648人。共管理直管公房182万平方米、老旧危改小区及其他物业小区近100万平方米，负责房屋供暖面积254.32万平方米，管理锅炉房29处、锅炉73台、电梯85部、高层楼房二次供水22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（二）人员</w:t>
      </w:r>
      <w:r>
        <w:rPr>
          <w:sz w:val="28"/>
          <w:szCs w:val="28"/>
        </w:rPr>
        <w:t>构成情况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截止2023年12月底，宣房集团从业人员788人（在岗职工600人，劳务派遣132人，聘用退休56人），不在岗职工2人，离退休人员1898人，共计职工人数为2688人。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年部门预算收支及增减变化情况说明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（一）收入预算说明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年收入预算14,313.378165万元。其中：财政拨款14,313.378165万元。相比较于202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年预算收入9,320.586193万元，</w:t>
      </w:r>
      <w:r>
        <w:rPr>
          <w:rFonts w:hint="eastAsia"/>
          <w:sz w:val="28"/>
          <w:szCs w:val="28"/>
          <w:lang w:val="en-US" w:eastAsia="zh-CN"/>
        </w:rPr>
        <w:t>增加4992.791972</w:t>
      </w:r>
      <w:r>
        <w:rPr>
          <w:rFonts w:hint="eastAsia"/>
          <w:sz w:val="28"/>
          <w:szCs w:val="28"/>
        </w:rPr>
        <w:t>万元，</w:t>
      </w:r>
      <w:r>
        <w:rPr>
          <w:rFonts w:hint="eastAsia"/>
          <w:sz w:val="28"/>
          <w:szCs w:val="28"/>
          <w:lang w:val="en-US" w:eastAsia="zh-CN"/>
        </w:rPr>
        <w:t>增加</w:t>
      </w:r>
      <w:r>
        <w:rPr>
          <w:rFonts w:hint="eastAsia"/>
          <w:sz w:val="28"/>
          <w:szCs w:val="28"/>
        </w:rPr>
        <w:t>比例</w:t>
      </w:r>
      <w:r>
        <w:rPr>
          <w:rFonts w:hint="eastAsia"/>
          <w:sz w:val="28"/>
          <w:szCs w:val="28"/>
          <w:lang w:val="en-US" w:eastAsia="zh-CN"/>
        </w:rPr>
        <w:t>53.56</w:t>
      </w:r>
      <w:r>
        <w:rPr>
          <w:rFonts w:hint="eastAsia"/>
          <w:sz w:val="28"/>
          <w:szCs w:val="28"/>
        </w:rPr>
        <w:t>%。主要</w:t>
      </w:r>
      <w:r>
        <w:rPr>
          <w:rFonts w:hint="eastAsia"/>
          <w:sz w:val="28"/>
          <w:szCs w:val="28"/>
          <w:lang w:val="en-US" w:eastAsia="zh-CN"/>
        </w:rPr>
        <w:t>增加</w:t>
      </w:r>
      <w:r>
        <w:rPr>
          <w:rFonts w:hint="eastAsia"/>
          <w:sz w:val="28"/>
          <w:szCs w:val="28"/>
        </w:rPr>
        <w:t>原因为本年度</w:t>
      </w:r>
      <w:r>
        <w:rPr>
          <w:rFonts w:hint="eastAsia"/>
          <w:sz w:val="28"/>
          <w:szCs w:val="28"/>
          <w:lang w:val="en-US" w:eastAsia="zh-CN"/>
        </w:rPr>
        <w:t>预算</w:t>
      </w:r>
      <w:r>
        <w:rPr>
          <w:rFonts w:hint="eastAsia"/>
          <w:sz w:val="28"/>
          <w:szCs w:val="28"/>
        </w:rPr>
        <w:t>项目数量</w:t>
      </w:r>
      <w:r>
        <w:rPr>
          <w:rFonts w:hint="eastAsia"/>
          <w:sz w:val="28"/>
          <w:szCs w:val="28"/>
          <w:lang w:val="en-US" w:eastAsia="zh-CN"/>
        </w:rPr>
        <w:t>增多</w:t>
      </w:r>
      <w:r>
        <w:rPr>
          <w:sz w:val="28"/>
          <w:szCs w:val="28"/>
        </w:rPr>
        <w:t>，故导致我单位本年预算</w:t>
      </w:r>
      <w:r>
        <w:rPr>
          <w:rFonts w:hint="eastAsia"/>
          <w:sz w:val="28"/>
          <w:szCs w:val="28"/>
          <w:lang w:val="en-US" w:eastAsia="zh-CN"/>
        </w:rPr>
        <w:t>增加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（二）支出预算说明</w:t>
      </w:r>
    </w:p>
    <w:p>
      <w:pPr>
        <w:ind w:firstLine="560" w:firstLineChars="200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北京宣房投资管理集团有限公司总支出安排14,313.378165万元。其中：预算内资金安排14,313.378165万元，财政专户资金安排0万元，其他资金安</w:t>
      </w:r>
      <w:r>
        <w:rPr>
          <w:rFonts w:hint="eastAsia" w:ascii="宋体" w:hAnsi="宋体" w:eastAsia="宋体" w:cs="宋体"/>
          <w:sz w:val="28"/>
          <w:szCs w:val="28"/>
        </w:rPr>
        <w:t>排0万</w:t>
      </w:r>
      <w:r>
        <w:rPr>
          <w:rFonts w:hint="eastAsia"/>
          <w:sz w:val="28"/>
          <w:szCs w:val="28"/>
        </w:rPr>
        <w:t>元，市级提前下达专项转移支付项目资金安排0万元。</w:t>
      </w:r>
      <w:r>
        <w:rPr>
          <w:rFonts w:hint="eastAsia"/>
          <w:sz w:val="28"/>
          <w:szCs w:val="28"/>
          <w:lang w:val="en-US" w:eastAsia="zh-CN"/>
        </w:rPr>
        <w:t>相较与2023年总支出安排增加4992.791972</w:t>
      </w:r>
      <w:r>
        <w:rPr>
          <w:rFonts w:hint="eastAsia"/>
          <w:sz w:val="28"/>
          <w:szCs w:val="28"/>
        </w:rPr>
        <w:t>万元，</w:t>
      </w:r>
      <w:r>
        <w:rPr>
          <w:rFonts w:hint="eastAsia"/>
          <w:sz w:val="28"/>
          <w:szCs w:val="28"/>
          <w:lang w:val="en-US" w:eastAsia="zh-CN"/>
        </w:rPr>
        <w:t>增加</w:t>
      </w:r>
      <w:r>
        <w:rPr>
          <w:rFonts w:hint="eastAsia"/>
          <w:sz w:val="28"/>
          <w:szCs w:val="28"/>
        </w:rPr>
        <w:t>比例</w:t>
      </w:r>
      <w:r>
        <w:rPr>
          <w:rFonts w:hint="eastAsia"/>
          <w:sz w:val="28"/>
          <w:szCs w:val="28"/>
          <w:lang w:val="en-US" w:eastAsia="zh-CN"/>
        </w:rPr>
        <w:t>53.56</w:t>
      </w:r>
      <w:r>
        <w:rPr>
          <w:rFonts w:hint="eastAsia"/>
          <w:sz w:val="28"/>
          <w:szCs w:val="28"/>
        </w:rPr>
        <w:t>%。</w:t>
      </w:r>
      <w:r>
        <w:rPr>
          <w:rFonts w:hint="eastAsia"/>
          <w:sz w:val="28"/>
          <w:szCs w:val="28"/>
          <w:lang w:val="en-US" w:eastAsia="zh-CN"/>
        </w:rPr>
        <w:t>主要是因为本年度项目支出安排增加所致。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三、主要支出情况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年财政支出预算14,313.378165万元，全部为项目支出，主要项目是①西城区利用永内西街北里3号简易楼腾退建设公益性设施项目②西城区利用琉璃厂东街102号简易楼腾退建设公益性设施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项目③2021年平房翻建工程④2022年平房翻建工程⑤2024年直管公房管理费⑥2024年平房翻建工程⑦2023年西城区（南）平房翻建工程其中</w:t>
      </w:r>
      <w:r>
        <w:rPr>
          <w:rFonts w:hint="eastAsia" w:ascii="宋体" w:hAnsi="宋体" w:eastAsia="宋体" w:cs="宋体"/>
          <w:sz w:val="28"/>
          <w:szCs w:val="28"/>
        </w:rPr>
        <w:t>：预算内资金安排14,313.378165万元，财政专户资金安</w:t>
      </w:r>
      <w:r>
        <w:rPr>
          <w:rFonts w:hint="eastAsia"/>
          <w:sz w:val="28"/>
          <w:szCs w:val="28"/>
        </w:rPr>
        <w:t>排零元，市级提前下达转移支付零元，其他资金安排零元，“三公”经费支出（因公出国/境费、公务用车购置及运行费、公务接待费）零元。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四、部门“三公”经费财政拨款预算说明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（一）“三公”经费的单位范围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2024年安排0元，2023年安排0元，2024年与2023年相同。</w:t>
      </w:r>
    </w:p>
    <w:p>
      <w:pPr>
        <w:numPr>
          <w:ilvl w:val="0"/>
          <w:numId w:val="1"/>
        </w:num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“三公”经费预算财政拨款情况说明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2024年安排0元，2023年安排0元，2024年与2023年相同。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五、其他情况说明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（一）机关运行经费说明</w:t>
      </w:r>
    </w:p>
    <w:p>
      <w:pPr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2024年安排0元，2023年安排0元，2024年与2023年相同。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（二）政府采购预算说明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2024年安排0元，2023年安排0元，2024年与2023年相同。。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（三）政府购买服务预算说明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2024年安排0元，2023年安排0元，2024年与2023年相同。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（四）绩效目标情况及绩效评价结果说明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无。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（五）国有资本经营预算财政拨款情况说明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无国有资本经营预算。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（六）国有资产占用情况说明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无国有资产占用。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六、名称解释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无。</w:t>
      </w:r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附件1-2：国有</w:t>
      </w:r>
      <w:r>
        <w:rPr>
          <w:rFonts w:ascii="仿宋_GB2312" w:eastAsia="仿宋_GB2312"/>
          <w:b/>
          <w:color w:val="000000"/>
          <w:sz w:val="32"/>
          <w:szCs w:val="32"/>
        </w:rPr>
        <w:t>资产占用情况说明模板：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截止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底，</w:t>
      </w:r>
      <w:r>
        <w:rPr>
          <w:rFonts w:hint="eastAsia" w:ascii="仿宋_GB2312" w:eastAsia="仿宋_GB2312"/>
          <w:color w:val="000000"/>
          <w:sz w:val="32"/>
          <w:szCs w:val="32"/>
        </w:rPr>
        <w:t>本部门</w:t>
      </w:r>
      <w:r>
        <w:rPr>
          <w:rFonts w:ascii="仿宋_GB2312" w:eastAsia="仿宋_GB2312"/>
          <w:color w:val="000000"/>
          <w:sz w:val="32"/>
          <w:szCs w:val="32"/>
        </w:rPr>
        <w:t>固定资产总额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ascii="仿宋_GB2312" w:eastAsia="仿宋_GB2312"/>
          <w:color w:val="000000"/>
          <w:sz w:val="32"/>
          <w:szCs w:val="32"/>
        </w:rPr>
        <w:t>，其中：</w:t>
      </w:r>
      <w:r>
        <w:rPr>
          <w:rFonts w:hint="eastAsia" w:ascii="仿宋_GB2312" w:eastAsia="仿宋_GB2312"/>
          <w:color w:val="000000"/>
          <w:sz w:val="32"/>
          <w:szCs w:val="32"/>
        </w:rPr>
        <w:t>车辆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万元；单位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hint="eastAsia" w:ascii="仿宋_GB2312" w:eastAsia="仿宋_GB2312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hint="eastAsia" w:ascii="仿宋_GB2312" w:eastAsia="仿宋_GB2312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2024部门预算：安排购置车辆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万元；安排购置单位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hint="eastAsia" w:ascii="仿宋_GB2312" w:eastAsia="仿宋_GB2312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万元，安排购置单位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hint="eastAsia" w:ascii="仿宋_GB2312" w:eastAsia="仿宋_GB2312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08BC9"/>
    <w:multiLevelType w:val="singleLevel"/>
    <w:tmpl w:val="0D208BC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WM2M2ZjYmVhZWNlMmViYjRjNWZhZWMwMTNiN2MifQ=="/>
  </w:docVars>
  <w:rsids>
    <w:rsidRoot w:val="00C4507A"/>
    <w:rsid w:val="0000088A"/>
    <w:rsid w:val="000030C0"/>
    <w:rsid w:val="00035779"/>
    <w:rsid w:val="00045D33"/>
    <w:rsid w:val="00060BD7"/>
    <w:rsid w:val="000633AF"/>
    <w:rsid w:val="00094DC4"/>
    <w:rsid w:val="000A5E37"/>
    <w:rsid w:val="000C43E3"/>
    <w:rsid w:val="000C5D7B"/>
    <w:rsid w:val="000E7331"/>
    <w:rsid w:val="001007CF"/>
    <w:rsid w:val="00103B9F"/>
    <w:rsid w:val="00105FC4"/>
    <w:rsid w:val="00113C73"/>
    <w:rsid w:val="00117A65"/>
    <w:rsid w:val="00131AF7"/>
    <w:rsid w:val="0014017F"/>
    <w:rsid w:val="0015009B"/>
    <w:rsid w:val="00154563"/>
    <w:rsid w:val="00166B22"/>
    <w:rsid w:val="00175940"/>
    <w:rsid w:val="001906F5"/>
    <w:rsid w:val="001A2D6C"/>
    <w:rsid w:val="001B57E9"/>
    <w:rsid w:val="001B6383"/>
    <w:rsid w:val="001C4842"/>
    <w:rsid w:val="001D26AB"/>
    <w:rsid w:val="001D4F3D"/>
    <w:rsid w:val="001F1F17"/>
    <w:rsid w:val="002017FC"/>
    <w:rsid w:val="00201ED7"/>
    <w:rsid w:val="00207218"/>
    <w:rsid w:val="00232913"/>
    <w:rsid w:val="00236A54"/>
    <w:rsid w:val="00242EBB"/>
    <w:rsid w:val="00246C8B"/>
    <w:rsid w:val="00253834"/>
    <w:rsid w:val="00257605"/>
    <w:rsid w:val="00260487"/>
    <w:rsid w:val="00260CAC"/>
    <w:rsid w:val="00266E2E"/>
    <w:rsid w:val="0027139A"/>
    <w:rsid w:val="00272206"/>
    <w:rsid w:val="002A328B"/>
    <w:rsid w:val="002B069B"/>
    <w:rsid w:val="002C4837"/>
    <w:rsid w:val="002C6CD2"/>
    <w:rsid w:val="002D7182"/>
    <w:rsid w:val="002F7323"/>
    <w:rsid w:val="00310F78"/>
    <w:rsid w:val="0031367B"/>
    <w:rsid w:val="003372C4"/>
    <w:rsid w:val="003554A6"/>
    <w:rsid w:val="00355A77"/>
    <w:rsid w:val="003620E7"/>
    <w:rsid w:val="00373626"/>
    <w:rsid w:val="0038744F"/>
    <w:rsid w:val="00390D09"/>
    <w:rsid w:val="00393217"/>
    <w:rsid w:val="003A0DAF"/>
    <w:rsid w:val="003A370D"/>
    <w:rsid w:val="003A5A10"/>
    <w:rsid w:val="003C3D10"/>
    <w:rsid w:val="003D157D"/>
    <w:rsid w:val="003D2EAB"/>
    <w:rsid w:val="003D7196"/>
    <w:rsid w:val="003D73E0"/>
    <w:rsid w:val="003E21C5"/>
    <w:rsid w:val="003F208B"/>
    <w:rsid w:val="003F2915"/>
    <w:rsid w:val="003F7F6F"/>
    <w:rsid w:val="004178A6"/>
    <w:rsid w:val="0046526C"/>
    <w:rsid w:val="004732A4"/>
    <w:rsid w:val="004801AB"/>
    <w:rsid w:val="00483138"/>
    <w:rsid w:val="004A3176"/>
    <w:rsid w:val="004A376F"/>
    <w:rsid w:val="004A4CF2"/>
    <w:rsid w:val="004C3E78"/>
    <w:rsid w:val="004C5AF1"/>
    <w:rsid w:val="004D1730"/>
    <w:rsid w:val="004D43AC"/>
    <w:rsid w:val="004D534E"/>
    <w:rsid w:val="004F42EE"/>
    <w:rsid w:val="004F4FC4"/>
    <w:rsid w:val="0050043F"/>
    <w:rsid w:val="005068BD"/>
    <w:rsid w:val="0053198F"/>
    <w:rsid w:val="00535774"/>
    <w:rsid w:val="00543ACF"/>
    <w:rsid w:val="005474C3"/>
    <w:rsid w:val="00561DB8"/>
    <w:rsid w:val="00573E03"/>
    <w:rsid w:val="005761D3"/>
    <w:rsid w:val="0058107E"/>
    <w:rsid w:val="00595F6A"/>
    <w:rsid w:val="00596DE9"/>
    <w:rsid w:val="005B45CD"/>
    <w:rsid w:val="005B49B4"/>
    <w:rsid w:val="005B7E51"/>
    <w:rsid w:val="005C7D9B"/>
    <w:rsid w:val="005D30F1"/>
    <w:rsid w:val="005E4D90"/>
    <w:rsid w:val="005E62D8"/>
    <w:rsid w:val="005E695F"/>
    <w:rsid w:val="005F3AE9"/>
    <w:rsid w:val="00607694"/>
    <w:rsid w:val="006105EA"/>
    <w:rsid w:val="00616DF2"/>
    <w:rsid w:val="00625914"/>
    <w:rsid w:val="00627D7E"/>
    <w:rsid w:val="00650DC8"/>
    <w:rsid w:val="0066317A"/>
    <w:rsid w:val="006671D5"/>
    <w:rsid w:val="00673BB6"/>
    <w:rsid w:val="006846CE"/>
    <w:rsid w:val="00687EDC"/>
    <w:rsid w:val="00693FC2"/>
    <w:rsid w:val="00695111"/>
    <w:rsid w:val="006A07A2"/>
    <w:rsid w:val="006B7406"/>
    <w:rsid w:val="006C2F25"/>
    <w:rsid w:val="006E21D1"/>
    <w:rsid w:val="006E5E5D"/>
    <w:rsid w:val="006F204D"/>
    <w:rsid w:val="006F38C2"/>
    <w:rsid w:val="00701C6C"/>
    <w:rsid w:val="00705110"/>
    <w:rsid w:val="0073315D"/>
    <w:rsid w:val="00750333"/>
    <w:rsid w:val="0075419C"/>
    <w:rsid w:val="0076136E"/>
    <w:rsid w:val="00772DAE"/>
    <w:rsid w:val="007813ED"/>
    <w:rsid w:val="00784A75"/>
    <w:rsid w:val="00792934"/>
    <w:rsid w:val="007A51D0"/>
    <w:rsid w:val="007B564D"/>
    <w:rsid w:val="007C6470"/>
    <w:rsid w:val="007D1FA1"/>
    <w:rsid w:val="007E024A"/>
    <w:rsid w:val="007E46E2"/>
    <w:rsid w:val="007E5F31"/>
    <w:rsid w:val="007F15AF"/>
    <w:rsid w:val="007F3A17"/>
    <w:rsid w:val="008121D1"/>
    <w:rsid w:val="00814B0A"/>
    <w:rsid w:val="008173FF"/>
    <w:rsid w:val="0083167F"/>
    <w:rsid w:val="0083252A"/>
    <w:rsid w:val="008457A4"/>
    <w:rsid w:val="008459CF"/>
    <w:rsid w:val="008617D8"/>
    <w:rsid w:val="0086469C"/>
    <w:rsid w:val="008918B2"/>
    <w:rsid w:val="00894CBB"/>
    <w:rsid w:val="008B0138"/>
    <w:rsid w:val="008B543D"/>
    <w:rsid w:val="008D6DC4"/>
    <w:rsid w:val="008F063A"/>
    <w:rsid w:val="009013D6"/>
    <w:rsid w:val="0090173F"/>
    <w:rsid w:val="009071CB"/>
    <w:rsid w:val="00907841"/>
    <w:rsid w:val="00910E87"/>
    <w:rsid w:val="0091296C"/>
    <w:rsid w:val="00922832"/>
    <w:rsid w:val="00922C55"/>
    <w:rsid w:val="009444A3"/>
    <w:rsid w:val="0094694F"/>
    <w:rsid w:val="00961F08"/>
    <w:rsid w:val="009637F8"/>
    <w:rsid w:val="00965F20"/>
    <w:rsid w:val="00966B1E"/>
    <w:rsid w:val="009A2E80"/>
    <w:rsid w:val="009A6716"/>
    <w:rsid w:val="009A6DB1"/>
    <w:rsid w:val="009B10C4"/>
    <w:rsid w:val="009B41EA"/>
    <w:rsid w:val="009C6423"/>
    <w:rsid w:val="009D1E32"/>
    <w:rsid w:val="00A07493"/>
    <w:rsid w:val="00A07C1F"/>
    <w:rsid w:val="00A1438B"/>
    <w:rsid w:val="00A23C9A"/>
    <w:rsid w:val="00A53B92"/>
    <w:rsid w:val="00A54A66"/>
    <w:rsid w:val="00A67893"/>
    <w:rsid w:val="00A67F0B"/>
    <w:rsid w:val="00A72B6E"/>
    <w:rsid w:val="00A8166A"/>
    <w:rsid w:val="00A8271C"/>
    <w:rsid w:val="00A86669"/>
    <w:rsid w:val="00AA3029"/>
    <w:rsid w:val="00AA34BE"/>
    <w:rsid w:val="00AA395B"/>
    <w:rsid w:val="00AC44F8"/>
    <w:rsid w:val="00AC63E2"/>
    <w:rsid w:val="00AD00D7"/>
    <w:rsid w:val="00AE6BB1"/>
    <w:rsid w:val="00AF19B0"/>
    <w:rsid w:val="00AF4B9D"/>
    <w:rsid w:val="00B01162"/>
    <w:rsid w:val="00B042DF"/>
    <w:rsid w:val="00B05C84"/>
    <w:rsid w:val="00B1350F"/>
    <w:rsid w:val="00B24C84"/>
    <w:rsid w:val="00B31F1B"/>
    <w:rsid w:val="00B415E4"/>
    <w:rsid w:val="00B44EC3"/>
    <w:rsid w:val="00B544D3"/>
    <w:rsid w:val="00B549D4"/>
    <w:rsid w:val="00B55116"/>
    <w:rsid w:val="00B560EC"/>
    <w:rsid w:val="00B66A0C"/>
    <w:rsid w:val="00B7643D"/>
    <w:rsid w:val="00B878A3"/>
    <w:rsid w:val="00B919B9"/>
    <w:rsid w:val="00B92059"/>
    <w:rsid w:val="00BB7887"/>
    <w:rsid w:val="00BD1F48"/>
    <w:rsid w:val="00BE6158"/>
    <w:rsid w:val="00BE72EF"/>
    <w:rsid w:val="00BF4BD5"/>
    <w:rsid w:val="00C02F79"/>
    <w:rsid w:val="00C05061"/>
    <w:rsid w:val="00C05C2F"/>
    <w:rsid w:val="00C11903"/>
    <w:rsid w:val="00C14DF5"/>
    <w:rsid w:val="00C4507A"/>
    <w:rsid w:val="00C54117"/>
    <w:rsid w:val="00C668FD"/>
    <w:rsid w:val="00C77BC4"/>
    <w:rsid w:val="00C831C2"/>
    <w:rsid w:val="00C97CDE"/>
    <w:rsid w:val="00CA0E3F"/>
    <w:rsid w:val="00CA4403"/>
    <w:rsid w:val="00CB1BB2"/>
    <w:rsid w:val="00CB5FF1"/>
    <w:rsid w:val="00CC6A63"/>
    <w:rsid w:val="00CD218D"/>
    <w:rsid w:val="00CF458D"/>
    <w:rsid w:val="00D0530C"/>
    <w:rsid w:val="00D139C3"/>
    <w:rsid w:val="00D21BA2"/>
    <w:rsid w:val="00D23364"/>
    <w:rsid w:val="00D236CE"/>
    <w:rsid w:val="00D25ED7"/>
    <w:rsid w:val="00D27688"/>
    <w:rsid w:val="00D30A0E"/>
    <w:rsid w:val="00D37357"/>
    <w:rsid w:val="00D37718"/>
    <w:rsid w:val="00D423F0"/>
    <w:rsid w:val="00D4520E"/>
    <w:rsid w:val="00D60535"/>
    <w:rsid w:val="00D60B14"/>
    <w:rsid w:val="00D6254E"/>
    <w:rsid w:val="00D67805"/>
    <w:rsid w:val="00D76520"/>
    <w:rsid w:val="00DA58FF"/>
    <w:rsid w:val="00DA66B7"/>
    <w:rsid w:val="00DC1C3B"/>
    <w:rsid w:val="00DC6E44"/>
    <w:rsid w:val="00DD6068"/>
    <w:rsid w:val="00DD6E58"/>
    <w:rsid w:val="00DE79F0"/>
    <w:rsid w:val="00DF1BFB"/>
    <w:rsid w:val="00DF3901"/>
    <w:rsid w:val="00E138EA"/>
    <w:rsid w:val="00E4356D"/>
    <w:rsid w:val="00E43828"/>
    <w:rsid w:val="00E54E70"/>
    <w:rsid w:val="00E63A28"/>
    <w:rsid w:val="00E65597"/>
    <w:rsid w:val="00E720A4"/>
    <w:rsid w:val="00E86DA9"/>
    <w:rsid w:val="00E87834"/>
    <w:rsid w:val="00E87E82"/>
    <w:rsid w:val="00EB30FC"/>
    <w:rsid w:val="00EC4C05"/>
    <w:rsid w:val="00EC543B"/>
    <w:rsid w:val="00EE3FA0"/>
    <w:rsid w:val="00EF07B1"/>
    <w:rsid w:val="00EF257F"/>
    <w:rsid w:val="00F03BFF"/>
    <w:rsid w:val="00F115D5"/>
    <w:rsid w:val="00F13271"/>
    <w:rsid w:val="00F32F3E"/>
    <w:rsid w:val="00F47835"/>
    <w:rsid w:val="00F47F7A"/>
    <w:rsid w:val="00F51A50"/>
    <w:rsid w:val="00F55F11"/>
    <w:rsid w:val="00F63B16"/>
    <w:rsid w:val="00F849BC"/>
    <w:rsid w:val="00F85775"/>
    <w:rsid w:val="00F904FE"/>
    <w:rsid w:val="00F9129A"/>
    <w:rsid w:val="00FB615A"/>
    <w:rsid w:val="00FE030E"/>
    <w:rsid w:val="00FE0739"/>
    <w:rsid w:val="00FE4041"/>
    <w:rsid w:val="00FE4A35"/>
    <w:rsid w:val="043445F5"/>
    <w:rsid w:val="0826725F"/>
    <w:rsid w:val="0925770E"/>
    <w:rsid w:val="0B7A3277"/>
    <w:rsid w:val="1079429A"/>
    <w:rsid w:val="122C63BC"/>
    <w:rsid w:val="135E0022"/>
    <w:rsid w:val="15486653"/>
    <w:rsid w:val="183028D1"/>
    <w:rsid w:val="18F23B67"/>
    <w:rsid w:val="1F4D4288"/>
    <w:rsid w:val="253E16F3"/>
    <w:rsid w:val="264D3BE6"/>
    <w:rsid w:val="27706003"/>
    <w:rsid w:val="307256A6"/>
    <w:rsid w:val="30793CC0"/>
    <w:rsid w:val="33A31D35"/>
    <w:rsid w:val="3C526341"/>
    <w:rsid w:val="3E0F4083"/>
    <w:rsid w:val="44B94350"/>
    <w:rsid w:val="47AA3F6C"/>
    <w:rsid w:val="49163239"/>
    <w:rsid w:val="49656C92"/>
    <w:rsid w:val="512E39E7"/>
    <w:rsid w:val="51982514"/>
    <w:rsid w:val="52152A14"/>
    <w:rsid w:val="596040BD"/>
    <w:rsid w:val="5CAA14BA"/>
    <w:rsid w:val="65A367F3"/>
    <w:rsid w:val="65A96CAA"/>
    <w:rsid w:val="667C42A1"/>
    <w:rsid w:val="667E25EE"/>
    <w:rsid w:val="681523CA"/>
    <w:rsid w:val="6D6E3EDA"/>
    <w:rsid w:val="6F9A6D5B"/>
    <w:rsid w:val="701D01BA"/>
    <w:rsid w:val="713E5BA2"/>
    <w:rsid w:val="74AB4191"/>
    <w:rsid w:val="79881B8C"/>
    <w:rsid w:val="7C9558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spacing w:after="0" w:line="240" w:lineRule="auto"/>
      <w:jc w:val="left"/>
    </w:pPr>
    <w:rPr>
      <w:rFonts w:ascii="Times New Roman" w:hAnsi="Times New Roman" w:eastAsia="宋体" w:cs="Times New Roman"/>
      <w:szCs w:val="24"/>
    </w:rPr>
  </w:style>
  <w:style w:type="paragraph" w:styleId="5">
    <w:name w:val="Date"/>
    <w:basedOn w:val="1"/>
    <w:next w:val="1"/>
    <w:link w:val="28"/>
    <w:semiHidden/>
    <w:unhideWhenUsed/>
    <w:qFormat/>
    <w:uiPriority w:val="99"/>
    <w:pPr>
      <w:spacing w:after="0" w:line="240" w:lineRule="auto"/>
      <w:ind w:left="100" w:leftChars="2500"/>
    </w:pPr>
  </w:style>
  <w:style w:type="paragraph" w:styleId="6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spacing w:after="0" w:line="240" w:lineRule="auto"/>
    </w:pPr>
  </w:style>
  <w:style w:type="paragraph" w:styleId="10">
    <w:name w:val="toc 2"/>
    <w:basedOn w:val="1"/>
    <w:next w:val="1"/>
    <w:unhideWhenUsed/>
    <w:qFormat/>
    <w:uiPriority w:val="39"/>
    <w:pPr>
      <w:spacing w:after="0" w:line="240" w:lineRule="auto"/>
      <w:ind w:left="420" w:leftChars="200"/>
    </w:pPr>
  </w:style>
  <w:style w:type="paragraph" w:styleId="11">
    <w:name w:val="Title"/>
    <w:basedOn w:val="1"/>
    <w:next w:val="1"/>
    <w:link w:val="33"/>
    <w:qFormat/>
    <w:uiPriority w:val="0"/>
    <w:pPr>
      <w:spacing w:before="240" w:after="60" w:line="240" w:lineRule="auto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2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semiHidden/>
    <w:unhideWhenUsed/>
    <w:qFormat/>
    <w:uiPriority w:val="99"/>
    <w:rPr>
      <w:color w:val="800080"/>
      <w:u w:val="single"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styleId="1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7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批注文字 Char"/>
    <w:basedOn w:val="15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Char"/>
    <w:basedOn w:val="23"/>
    <w:link w:val="1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5">
    <w:name w:val="批注框文本 Char"/>
    <w:basedOn w:val="15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6">
    <w:name w:val="List Paragraph"/>
    <w:basedOn w:val="1"/>
    <w:qFormat/>
    <w:uiPriority w:val="34"/>
    <w:pPr>
      <w:spacing w:after="0" w:line="24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table" w:customStyle="1" w:styleId="27">
    <w:name w:val="网格型1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日期 Char"/>
    <w:basedOn w:val="15"/>
    <w:link w:val="5"/>
    <w:semiHidden/>
    <w:qFormat/>
    <w:uiPriority w:val="99"/>
  </w:style>
  <w:style w:type="paragraph" w:customStyle="1" w:styleId="29">
    <w:name w:val="font5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30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9FFCC" w:fill="FFFFFF"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character" w:customStyle="1" w:styleId="33">
    <w:name w:val="标题 Char"/>
    <w:basedOn w:val="15"/>
    <w:link w:val="11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5">
    <w:name w:val="font3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0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7">
    <w:name w:val="font4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8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2B00-C40F-4FA5-9E34-2B7A380582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265</Words>
  <Characters>1517</Characters>
  <Lines>12</Lines>
  <Paragraphs>3</Paragraphs>
  <TotalTime>1</TotalTime>
  <ScaleCrop>false</ScaleCrop>
  <LinksUpToDate>false</LinksUpToDate>
  <CharactersWithSpaces>1779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2019-02-19T06:24:00Z</dcterms:created>
  <dc:creator>刘亚卿</dc:creator>
  <cp:lastModifiedBy>胡砚燕</cp:lastModifiedBy>
  <cp:lastPrinted>2024-01-31T06:29:00Z</cp:lastPrinted>
  <dcterms:modified xsi:type="dcterms:W3CDTF">2024-01-31T08:37:13Z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8D1DDE3C9FE74839958ABE6EA133F078_13</vt:lpwstr>
  </property>
</Properties>
</file>