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20</w:t>
      </w:r>
      <w:r>
        <w:rPr>
          <w:rFonts w:ascii="楷体" w:hAnsi="楷体" w:eastAsia="楷体"/>
          <w:b/>
          <w:sz w:val="44"/>
          <w:szCs w:val="44"/>
        </w:rPr>
        <w:t>2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4</w:t>
      </w:r>
      <w:r>
        <w:rPr>
          <w:rFonts w:hint="eastAsia" w:ascii="楷体" w:hAnsi="楷体" w:eastAsia="楷体"/>
          <w:b/>
          <w:sz w:val="44"/>
          <w:szCs w:val="44"/>
        </w:rPr>
        <w:t>年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西城</w:t>
      </w:r>
      <w:r>
        <w:rPr>
          <w:rFonts w:hint="eastAsia" w:ascii="楷体" w:hAnsi="楷体" w:eastAsia="楷体"/>
          <w:b/>
          <w:sz w:val="44"/>
          <w:szCs w:val="44"/>
        </w:rPr>
        <w:t>区金融办部门预算编制说明</w:t>
      </w:r>
    </w:p>
    <w:p>
      <w:pPr>
        <w:spacing w:line="560" w:lineRule="exact"/>
        <w:ind w:firstLine="720" w:firstLineChars="200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ind w:firstLine="723" w:firstLineChars="200"/>
        <w:jc w:val="center"/>
        <w:outlineLvl w:val="1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目  录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第一部分 20</w:t>
      </w:r>
      <w:r>
        <w:rPr>
          <w:rFonts w:ascii="黑体" w:hAnsi="黑体" w:eastAsia="黑体" w:cs="黑体"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年部门预算情况说明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一、部门主要职责及机构设置情况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（二）人员构成情况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二、20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年部门预算收支及增减变化情况说明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（一）收入预算说明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（二）支出预算说明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三、主要支出情况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四、部门“三公”经费财政拨款预算说明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（一）“三公”经费的单位范围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（二）“三公”经费预算财政拨款情况说明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五、其他情况说明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（一）机关运行经费说明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（二）政府采购预算说明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（三）政府购买服务预算说明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（五）国有资本经营预算财政拨款情况说明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（六）国有资产占用情况说明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六、名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称</w:t>
      </w:r>
      <w:r>
        <w:rPr>
          <w:rFonts w:hint="eastAsia" w:ascii="仿宋_GB2312" w:eastAsia="仿宋_GB2312"/>
          <w:b/>
          <w:bCs/>
          <w:sz w:val="32"/>
          <w:szCs w:val="32"/>
        </w:rPr>
        <w:t>解释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第二部分 20</w:t>
      </w:r>
      <w:r>
        <w:rPr>
          <w:rFonts w:ascii="黑体" w:hAnsi="黑体" w:eastAsia="黑体" w:cs="黑体"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年部门预算表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表一、20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年部门收支总体情况表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年部门收入总体情况表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年部门支出总体情况表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年项目支出表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年财政拨款收支总体情况表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年一般公共预算支出情况表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年一般公共预算基本支出情况表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年政府性基金预算支出情况表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年国有资本经营预算财政拨款支出表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年一般公共预算“三公”经费支出情况表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年政府购买服务预算表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转移支付预算表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年项目支出绩效目标申报表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年部门整体支出绩效目标申报表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spacing w:line="560" w:lineRule="exact"/>
        <w:ind w:firstLine="723" w:firstLineChars="20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第一部分 20</w:t>
      </w:r>
      <w:r>
        <w:rPr>
          <w:rFonts w:ascii="仿宋_GB2312" w:eastAsia="仿宋_GB2312"/>
          <w:b/>
          <w:sz w:val="36"/>
          <w:szCs w:val="36"/>
        </w:rPr>
        <w:t>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sz w:val="36"/>
          <w:szCs w:val="36"/>
        </w:rPr>
        <w:t>年部门预算情况说明</w:t>
      </w:r>
    </w:p>
    <w:p>
      <w:pPr>
        <w:spacing w:line="560" w:lineRule="exact"/>
        <w:ind w:firstLine="640" w:firstLineChars="200"/>
        <w:outlineLvl w:val="9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一、部门主要职责及机构设置情况</w:t>
      </w:r>
    </w:p>
    <w:p>
      <w:pPr>
        <w:spacing w:line="560" w:lineRule="exact"/>
        <w:ind w:firstLine="555"/>
        <w:outlineLvl w:val="3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区金融办,主要负责全区金融产业发展、金融服务、金融环境建设与统筹区域协调发展。区金融办内设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个处室，下设1个事业单位。主要职责包括：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 xml:space="preserve">贯彻落实国家关于金融的法律、法规、规章、政策和北京市的相关规定。研究制定本区金融业发展规划以及产业促进政策、措施，并组织协调实施。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根据市政府授权，统筹推进国家金融管理中心建设发展，组织编制区域发展规划，会同相关部门制定交通、市政和环境景观等专项规划，协调区域地方管理与服务事项，负责做好国家金融管理中心服务工作。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 xml:space="preserve">牵头落实国家服务业扩大开放综合示范区建设金融工作任务，促进京津冀金融领域协调发展。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 xml:space="preserve">负责服务对接金融监管部门、金融街区域内相关机构。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 xml:space="preserve">负责研究分析金融街与本区金融业发展形势和发展规律，监测金融街与本区金融业发展情况。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 xml:space="preserve">负责开展本区金融机构引进和产业配置工作，推动本区金融市场建设发展。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 xml:space="preserve">统筹协调本区融资服务体系及金融战略合作关系的建立完善。负责本区上市企业培育，组织推进本区企业上市、挂牌服务工作。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 xml:space="preserve">研究制定本区金融人才服务政策并组织实施。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 xml:space="preserve">协调配合相关部门开展本区金融风险防范相关工作，协助市金融监管部门开展金融监管工作。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 xml:space="preserve">负责金融街的对外合作交流、宣传推介和品牌价值提升工作。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 xml:space="preserve">按照“管行业必须管安全、管业务必须管安全、管生产经营必须管安全”的要求，承担相关安全生产工作职责。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sz w:val="32"/>
          <w:szCs w:val="32"/>
        </w:rPr>
        <w:t>承办市委市政府、区委区政府交办的其他任务。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（二）人员构成情况</w:t>
      </w:r>
    </w:p>
    <w:p>
      <w:pPr>
        <w:spacing w:line="560" w:lineRule="exact"/>
        <w:ind w:firstLine="556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编制预算期间，西城区金融服务办公室行政实有人数30人，事业实有人数11人，合计实有人数41人。</w:t>
      </w:r>
    </w:p>
    <w:p>
      <w:pPr>
        <w:spacing w:line="560" w:lineRule="exact"/>
        <w:ind w:firstLine="556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离退休人员0人，其中：离休0人，退休0人。</w:t>
      </w:r>
    </w:p>
    <w:p>
      <w:pPr>
        <w:spacing w:line="560" w:lineRule="exact"/>
        <w:ind w:firstLine="556"/>
        <w:outlineLvl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年部门预算收支及增减变化情况说明</w:t>
      </w:r>
    </w:p>
    <w:p>
      <w:pPr>
        <w:spacing w:line="560" w:lineRule="exact"/>
        <w:ind w:left="552" w:leftChars="263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收入预算说明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年收入预算221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659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178.08元，比20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年收入预算221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365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59元相比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478,812.49元，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增长0.22</w:t>
      </w:r>
      <w:r>
        <w:rPr>
          <w:rFonts w:hint="eastAsia" w:ascii="仿宋_GB2312" w:eastAsia="仿宋_GB2312"/>
          <w:sz w:val="32"/>
          <w:szCs w:val="32"/>
        </w:rPr>
        <w:t>%。其中：财政拨款221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659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178.08元，比202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年221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365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59元相比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478,812.49元，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增长0.22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556"/>
        <w:outlineLvl w:val="3"/>
        <w:rPr>
          <w:rFonts w:asci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支出预算说明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年支出预算按用途划分：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1、基本支出预算14,390,130.08元，</w:t>
      </w:r>
      <w:r>
        <w:rPr>
          <w:rFonts w:hint="eastAsia" w:ascii="仿宋_GB2312" w:hAnsi="仿宋" w:eastAsia="仿宋_GB2312"/>
          <w:sz w:val="32"/>
          <w:szCs w:val="32"/>
        </w:rPr>
        <w:t>占总支</w:t>
      </w:r>
      <w:r>
        <w:rPr>
          <w:rFonts w:hint="eastAsia" w:ascii="仿宋_GB2312" w:eastAsia="仿宋_GB2312"/>
          <w:sz w:val="32"/>
          <w:szCs w:val="32"/>
        </w:rPr>
        <w:t>出预算的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6.49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年基本支出预算14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210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698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77元相比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179,431.31元，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增长1.26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2、项目支出预算207,269,048.00元，比202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年206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969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666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82元相比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299,381.18元，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增长0.14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outlineLvl w:val="2"/>
        <w:rPr>
          <w:rFonts w:hint="eastAsia"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三、主要支出情况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（一）基本支出主要包括在职人员支出、个人和家庭补助支出、公用支出等。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（二）项目支出主要包括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经费、运行管理经费、政策资金兑现经费、企业上市交流活动、全区处级干部培训项目、金融街观察内刊项目、2024年服贸会项目、金融街论坛及金融街合作发展理事会系列活动、“聚力·金融街”党群服务中心工作经费、北京金融街服务局信息化综合运维项目、计算机设备采购经费、金融街金融文化国际交流中心（金融街论坛会址）项目经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四、部门“三公”经费财政拨款预算说明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（一）“三公”经费的单位范围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北京市西城区金融服务办公室部门预算中因公出国（境）费、公务接待费、公务用车购置及运行维护费的支出单位包括1个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单位，即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金融发展促进中心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“三公”经费预算财政拨款情况说明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年部门预算“三公”经费财政拨款预算安排4,086.48元，与202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年部门预算“三公”经费财政拨款预算安排4,086.48元持平。其中：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年财政拨款预算安排0元。与上年持平。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年财政拨款预算安排4,086.48元，与上年持平。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年实有公务用车数量为0辆，财政拨款预算安排0元，其中公务用车购置费0元，公务用车运行维护费0元。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（一）机关运行经费说明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年本部门履行一般行政事业管理职能、维持机关运行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用于一般公共预算安排的行政运行经费，合计836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146.59元，同比202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</w:rPr>
        <w:t>844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highlight w:val="none"/>
        </w:rPr>
        <w:t>893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30</w:t>
      </w:r>
      <w:r>
        <w:rPr>
          <w:rFonts w:hint="eastAsia" w:ascii="仿宋_GB2312" w:eastAsia="仿宋_GB2312"/>
          <w:sz w:val="32"/>
          <w:szCs w:val="32"/>
        </w:rPr>
        <w:t>元相比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减少8,746.71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降低1.04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yellow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（二）政府采购预算说明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年涉及政府采购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项目2个，包括2024年服贸会项目和计算机设备采购经费，</w:t>
      </w:r>
      <w:r>
        <w:rPr>
          <w:rFonts w:hint="eastAsia" w:ascii="仿宋_GB2312" w:eastAsia="仿宋_GB2312"/>
          <w:sz w:val="32"/>
          <w:szCs w:val="32"/>
        </w:rPr>
        <w:t>预算资金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155.40万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（三）政府购买服务预算说明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年涉及政府购买服务项目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包括北京金融街服务局信息化综合运维项目、企业上市交流活动、2024年服贸会项目和金融街观察内刊项目，</w:t>
      </w:r>
      <w:r>
        <w:rPr>
          <w:rFonts w:hint="eastAsia" w:ascii="仿宋_GB2312" w:eastAsia="仿宋_GB2312"/>
          <w:sz w:val="32"/>
          <w:szCs w:val="32"/>
        </w:rPr>
        <w:t>预算资金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总计310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.00万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（四）</w:t>
      </w: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>绩效目标情况及绩效评价结果说明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2023年度部门支出绩效评价工作，成立绩效评价工作小组，对部门全部项目支出进行绩效评价，绩效评定等级为“优秀”。严格按照《西城区预算绩效管理暂行办法》《西城区项目支出绩效评价管理办法》等政策文件要求，从数量、质量、时效、成本、效益等方面，综合衡量全部项目的预算资金使用效果，对绩效目标实现程度和预算执行进度实行“双监控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修订单位财务内控制度，不断规范工作流程，完善工作机制，健全制度体系，包括预算管理、支出管理、采购管理、合同管理等业务流程的控制节点、岗位职责等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推动绩效运行监控和部门内部控制管理相结合。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（五）国有资本经营预算财政拨款情况说明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年北京市西城区金融服务办公室无国有资本经营预算拨款收支。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（六）国有资产占用情况</w:t>
      </w:r>
      <w:r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底</w:t>
      </w:r>
      <w:r>
        <w:rPr>
          <w:rFonts w:hint="eastAsia" w:ascii="仿宋_GB2312" w:eastAsia="仿宋_GB2312"/>
          <w:sz w:val="32"/>
          <w:szCs w:val="32"/>
        </w:rPr>
        <w:t>，本部门固定资产总额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1,499,543.48 </w:t>
      </w:r>
      <w:r>
        <w:rPr>
          <w:rFonts w:hint="eastAsia" w:ascii="仿宋_GB2312" w:eastAsia="仿宋_GB2312"/>
          <w:sz w:val="32"/>
          <w:szCs w:val="32"/>
        </w:rPr>
        <w:t>元，其中：车辆0台，0万元；单位价值50万元以上的通用设备0台（套）、0万元，单位价值100万元以上的专用设备0台（套）、0万元。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部门预算：安排购置车辆0台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0万元；安排购置单位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</w:rPr>
        <w:t>0台（套）、0万元，安排购置单位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</w:rPr>
        <w:t>0台（套）、0万元。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六、名</w:t>
      </w:r>
      <w:r>
        <w:rPr>
          <w:rFonts w:hint="eastAsia" w:ascii="黑体" w:eastAsia="黑体"/>
          <w:sz w:val="32"/>
          <w:szCs w:val="32"/>
          <w:lang w:val="en-US" w:eastAsia="zh-CN"/>
        </w:rPr>
        <w:t>称</w:t>
      </w:r>
      <w:r>
        <w:rPr>
          <w:rFonts w:hint="eastAsia" w:ascii="黑体" w:eastAsia="黑体"/>
          <w:sz w:val="32"/>
          <w:szCs w:val="32"/>
        </w:rPr>
        <w:t xml:space="preserve">解释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580" w:lineRule="exact"/>
        <w:ind w:firstLine="645"/>
        <w:jc w:val="center"/>
        <w:rPr>
          <w:rFonts w:ascii="仿宋_GB2312" w:eastAsia="仿宋_GB2312"/>
          <w:b/>
          <w:sz w:val="36"/>
          <w:szCs w:val="36"/>
        </w:rPr>
      </w:pPr>
    </w:p>
    <w:p/>
    <w:sectPr>
      <w:footerReference r:id="rId3" w:type="default"/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FmM2YzNGVmZjAyNjRiNDc1OWNhZDk1ZGMxZGQifQ=="/>
  </w:docVars>
  <w:rsids>
    <w:rsidRoot w:val="00000000"/>
    <w:rsid w:val="04C048E9"/>
    <w:rsid w:val="056728BF"/>
    <w:rsid w:val="0670758B"/>
    <w:rsid w:val="076A4A09"/>
    <w:rsid w:val="08FF2FD8"/>
    <w:rsid w:val="095C4D1C"/>
    <w:rsid w:val="0AEB0BCD"/>
    <w:rsid w:val="0B7671EE"/>
    <w:rsid w:val="0C0B585A"/>
    <w:rsid w:val="0DCC22B9"/>
    <w:rsid w:val="0E2B14A4"/>
    <w:rsid w:val="0F85062C"/>
    <w:rsid w:val="12D30CF2"/>
    <w:rsid w:val="13C9541C"/>
    <w:rsid w:val="172D675D"/>
    <w:rsid w:val="185973BC"/>
    <w:rsid w:val="1C315CA1"/>
    <w:rsid w:val="1F64556F"/>
    <w:rsid w:val="25310DEE"/>
    <w:rsid w:val="267F6D84"/>
    <w:rsid w:val="27444118"/>
    <w:rsid w:val="2A5B4004"/>
    <w:rsid w:val="2C9E5DE8"/>
    <w:rsid w:val="31AB6F2B"/>
    <w:rsid w:val="329B630A"/>
    <w:rsid w:val="32AF3D5F"/>
    <w:rsid w:val="33CB74FA"/>
    <w:rsid w:val="34BA0CBC"/>
    <w:rsid w:val="36EC7BFA"/>
    <w:rsid w:val="36FA177B"/>
    <w:rsid w:val="3733163E"/>
    <w:rsid w:val="3ADD2FCE"/>
    <w:rsid w:val="3C47080E"/>
    <w:rsid w:val="3CD37757"/>
    <w:rsid w:val="3DC375E2"/>
    <w:rsid w:val="3F087EB5"/>
    <w:rsid w:val="3FA42CAE"/>
    <w:rsid w:val="40C6156D"/>
    <w:rsid w:val="41BF2AD5"/>
    <w:rsid w:val="42A96F60"/>
    <w:rsid w:val="46122BD7"/>
    <w:rsid w:val="48A63A27"/>
    <w:rsid w:val="4B87136B"/>
    <w:rsid w:val="4C88662F"/>
    <w:rsid w:val="4E8053CF"/>
    <w:rsid w:val="4FD445AF"/>
    <w:rsid w:val="4FD61243"/>
    <w:rsid w:val="5047654C"/>
    <w:rsid w:val="552367CA"/>
    <w:rsid w:val="58445940"/>
    <w:rsid w:val="5A564A07"/>
    <w:rsid w:val="606F72DB"/>
    <w:rsid w:val="626C40A2"/>
    <w:rsid w:val="638D7ACE"/>
    <w:rsid w:val="64C77912"/>
    <w:rsid w:val="65D40C4E"/>
    <w:rsid w:val="688838CC"/>
    <w:rsid w:val="6AFF2EB6"/>
    <w:rsid w:val="6B4636FB"/>
    <w:rsid w:val="6D2531FB"/>
    <w:rsid w:val="6F981707"/>
    <w:rsid w:val="77F96F41"/>
    <w:rsid w:val="786D5D54"/>
    <w:rsid w:val="7A5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01"/>
    <w:basedOn w:val="5"/>
    <w:autoRedefine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11592</Words>
  <Characters>16492</Characters>
  <Lines>0</Lines>
  <Paragraphs>0</Paragraphs>
  <TotalTime>2</TotalTime>
  <ScaleCrop>false</ScaleCrop>
  <LinksUpToDate>false</LinksUpToDate>
  <CharactersWithSpaces>16686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2022-01-10T02:33:00Z</dcterms:created>
  <dc:creator>lenovo</dc:creator>
  <cp:lastModifiedBy>小竹</cp:lastModifiedBy>
  <cp:lastPrinted>2023-02-03T01:22:00Z</cp:lastPrinted>
  <dcterms:modified xsi:type="dcterms:W3CDTF">2024-01-22T08:12:57Z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ABBD269421974C1EAFD5C4A2CF887138</vt:lpwstr>
  </property>
</Properties>
</file>