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北京市西城区红十字会202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年部门预算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p>
    <w:p>
      <w:pPr>
        <w:spacing w:line="720" w:lineRule="exact"/>
        <w:jc w:val="center"/>
        <w:rPr>
          <w:rFonts w:hint="eastAsia" w:ascii="方正小标宋简体" w:eastAsia="方正小标宋简体"/>
          <w:sz w:val="32"/>
          <w:szCs w:val="32"/>
        </w:rPr>
      </w:pPr>
      <w:r>
        <w:rPr>
          <w:rFonts w:hint="eastAsia" w:ascii="方正小标宋简体" w:eastAsia="方正小标宋简体"/>
          <w:sz w:val="32"/>
          <w:szCs w:val="32"/>
        </w:rPr>
        <w:t>目  录</w:t>
      </w:r>
    </w:p>
    <w:p>
      <w:pPr>
        <w:pStyle w:val="9"/>
        <w:tabs>
          <w:tab w:val="right" w:leader="dot" w:pos="8306"/>
          <w:tab w:val="clear" w:pos="8296"/>
        </w:tabs>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TOC \o "1-3" \h \z \u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_Toc19948 </w:instrText>
      </w:r>
      <w:r>
        <w:rPr>
          <w:rFonts w:hint="eastAsia" w:asciiTheme="minorEastAsia" w:hAnsiTheme="minorEastAsia" w:cstheme="minorEastAsia"/>
          <w:szCs w:val="28"/>
        </w:rPr>
        <w:fldChar w:fldCharType="separate"/>
      </w:r>
      <w:r>
        <w:rPr>
          <w:rFonts w:hint="eastAsia"/>
        </w:rPr>
        <w:t xml:space="preserve">第一部分  </w:t>
      </w:r>
      <w:r>
        <w:rPr>
          <w:rFonts w:hint="eastAsia"/>
          <w:lang w:eastAsia="zh-CN"/>
        </w:rPr>
        <w:t>202</w:t>
      </w:r>
      <w:r>
        <w:rPr>
          <w:rFonts w:hint="eastAsia"/>
          <w:lang w:val="en-US" w:eastAsia="zh-CN"/>
        </w:rPr>
        <w:t>4</w:t>
      </w:r>
      <w:r>
        <w:rPr>
          <w:rFonts w:hint="eastAsia"/>
        </w:rPr>
        <w:t>年部门预算情况说明</w:t>
      </w:r>
      <w:r>
        <w:tab/>
      </w:r>
      <w:r>
        <w:fldChar w:fldCharType="begin"/>
      </w:r>
      <w:r>
        <w:instrText xml:space="preserve"> PAGEREF _Toc19948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_Toc5846 </w:instrText>
      </w:r>
      <w:r>
        <w:rPr>
          <w:rFonts w:hint="eastAsia" w:asciiTheme="minorEastAsia" w:hAnsiTheme="minorEastAsia" w:cstheme="minorEastAsia"/>
          <w:szCs w:val="28"/>
        </w:rPr>
        <w:fldChar w:fldCharType="separate"/>
      </w:r>
      <w:r>
        <w:rPr>
          <w:rFonts w:hint="eastAsia"/>
        </w:rPr>
        <w:t>一、部门主要职责及机构设置情况</w:t>
      </w:r>
      <w:r>
        <w:tab/>
      </w:r>
      <w:r>
        <w:fldChar w:fldCharType="begin"/>
      </w:r>
      <w:r>
        <w:instrText xml:space="preserve"> PAGEREF _Toc5846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_Toc8426 </w:instrText>
      </w:r>
      <w:r>
        <w:rPr>
          <w:rFonts w:hint="eastAsia" w:asciiTheme="minorEastAsia" w:hAnsiTheme="minorEastAsia" w:cstheme="minorEastAsia"/>
          <w:szCs w:val="28"/>
        </w:rPr>
        <w:fldChar w:fldCharType="separate"/>
      </w:r>
      <w:r>
        <w:rPr>
          <w:rFonts w:hint="eastAsia"/>
        </w:rPr>
        <w:t>（一）部门机构设置、职责</w:t>
      </w:r>
      <w:r>
        <w:tab/>
      </w:r>
      <w:r>
        <w:fldChar w:fldCharType="begin"/>
      </w:r>
      <w:r>
        <w:instrText xml:space="preserve"> PAGEREF _Toc8426 \h </w:instrText>
      </w:r>
      <w:r>
        <w:fldChar w:fldCharType="separate"/>
      </w:r>
      <w:r>
        <w:t>2</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_Toc23971 </w:instrText>
      </w:r>
      <w:r>
        <w:rPr>
          <w:rFonts w:hint="eastAsia" w:asciiTheme="minorEastAsia" w:hAnsiTheme="minorEastAsia" w:cstheme="minorEastAsia"/>
          <w:szCs w:val="28"/>
        </w:rPr>
        <w:fldChar w:fldCharType="separate"/>
      </w:r>
      <w:r>
        <w:rPr>
          <w:rFonts w:hint="eastAsia"/>
        </w:rPr>
        <w:t>（二）人员构成情况</w:t>
      </w:r>
      <w:r>
        <w:tab/>
      </w:r>
      <w:r>
        <w:fldChar w:fldCharType="begin"/>
      </w:r>
      <w:r>
        <w:instrText xml:space="preserve"> PAGEREF _Toc23971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_Toc14920 </w:instrText>
      </w:r>
      <w:r>
        <w:rPr>
          <w:rFonts w:hint="eastAsia" w:asciiTheme="minorEastAsia" w:hAnsiTheme="minorEastAsia" w:cstheme="minorEastAsia"/>
          <w:szCs w:val="28"/>
        </w:rPr>
        <w:fldChar w:fldCharType="separate"/>
      </w:r>
      <w:r>
        <w:rPr>
          <w:rFonts w:hint="eastAsia"/>
        </w:rPr>
        <w:t>二、</w:t>
      </w:r>
      <w:r>
        <w:rPr>
          <w:rFonts w:hint="eastAsia"/>
          <w:lang w:eastAsia="zh-CN"/>
        </w:rPr>
        <w:t>202</w:t>
      </w:r>
      <w:r>
        <w:rPr>
          <w:rFonts w:hint="eastAsia"/>
          <w:lang w:val="en-US" w:eastAsia="zh-CN"/>
        </w:rPr>
        <w:t>4</w:t>
      </w:r>
      <w:r>
        <w:rPr>
          <w:rFonts w:hint="eastAsia"/>
        </w:rPr>
        <w:t>年部门预算收支及增减变化情况说明</w:t>
      </w:r>
      <w:r>
        <w:tab/>
      </w:r>
      <w:r>
        <w:fldChar w:fldCharType="begin"/>
      </w:r>
      <w:r>
        <w:instrText xml:space="preserve"> PAGEREF _Toc14920 \h </w:instrText>
      </w:r>
      <w:r>
        <w:fldChar w:fldCharType="separate"/>
      </w:r>
      <w:r>
        <w:t>2</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_Toc16600 </w:instrText>
      </w:r>
      <w:r>
        <w:rPr>
          <w:rFonts w:hint="eastAsia" w:asciiTheme="minorEastAsia" w:hAnsiTheme="minorEastAsia" w:cstheme="minorEastAsia"/>
          <w:szCs w:val="28"/>
        </w:rPr>
        <w:fldChar w:fldCharType="separate"/>
      </w:r>
      <w:r>
        <w:rPr>
          <w:rFonts w:hint="eastAsia"/>
        </w:rPr>
        <w:t>三、主要支出情况</w:t>
      </w:r>
      <w:r>
        <w:tab/>
      </w:r>
      <w:r>
        <w:fldChar w:fldCharType="begin"/>
      </w:r>
      <w:r>
        <w:instrText xml:space="preserve"> PAGEREF _Toc16600 \h </w:instrText>
      </w:r>
      <w:r>
        <w:fldChar w:fldCharType="separate"/>
      </w:r>
      <w:r>
        <w:t>3</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_Toc6366 </w:instrText>
      </w:r>
      <w:r>
        <w:rPr>
          <w:rFonts w:hint="eastAsia" w:asciiTheme="minorEastAsia" w:hAnsiTheme="minorEastAsia" w:cstheme="minorEastAsia"/>
          <w:szCs w:val="28"/>
        </w:rPr>
        <w:fldChar w:fldCharType="separate"/>
      </w:r>
      <w:r>
        <w:rPr>
          <w:rFonts w:hint="eastAsia"/>
        </w:rPr>
        <w:t>四、部门“三公”经费财政拨款预算说明</w:t>
      </w:r>
      <w:r>
        <w:tab/>
      </w:r>
      <w:r>
        <w:fldChar w:fldCharType="begin"/>
      </w:r>
      <w:r>
        <w:instrText xml:space="preserve"> PAGEREF _Toc6366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_Toc18974 </w:instrText>
      </w:r>
      <w:r>
        <w:rPr>
          <w:rFonts w:hint="eastAsia" w:asciiTheme="minorEastAsia" w:hAnsiTheme="minorEastAsia" w:cstheme="minorEastAsia"/>
          <w:szCs w:val="28"/>
        </w:rPr>
        <w:fldChar w:fldCharType="separate"/>
      </w:r>
      <w:r>
        <w:rPr>
          <w:rFonts w:hint="eastAsia"/>
        </w:rPr>
        <w:t>（一）“三公”经费的单位范围</w:t>
      </w:r>
      <w:r>
        <w:tab/>
      </w:r>
      <w:r>
        <w:fldChar w:fldCharType="begin"/>
      </w:r>
      <w:r>
        <w:instrText xml:space="preserve"> PAGEREF _Toc18974 \h </w:instrText>
      </w:r>
      <w:r>
        <w:fldChar w:fldCharType="separate"/>
      </w:r>
      <w:r>
        <w:t>3</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_Toc21783 </w:instrText>
      </w:r>
      <w:r>
        <w:rPr>
          <w:rFonts w:hint="eastAsia" w:asciiTheme="minorEastAsia" w:hAnsiTheme="minorEastAsia" w:cstheme="minorEastAsia"/>
          <w:szCs w:val="28"/>
        </w:rPr>
        <w:fldChar w:fldCharType="separate"/>
      </w:r>
      <w:r>
        <w:rPr>
          <w:rFonts w:hint="eastAsia"/>
        </w:rPr>
        <w:t>（二）“三公”经费预算财政拨款情况说明</w:t>
      </w:r>
      <w:r>
        <w:tab/>
      </w:r>
      <w:r>
        <w:fldChar w:fldCharType="begin"/>
      </w:r>
      <w:r>
        <w:instrText xml:space="preserve"> PAGEREF _Toc21783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_Toc14326 </w:instrText>
      </w:r>
      <w:r>
        <w:rPr>
          <w:rFonts w:hint="eastAsia" w:asciiTheme="minorEastAsia" w:hAnsiTheme="minorEastAsia" w:cstheme="minorEastAsia"/>
          <w:szCs w:val="28"/>
        </w:rPr>
        <w:fldChar w:fldCharType="separate"/>
      </w:r>
      <w:r>
        <w:rPr>
          <w:rFonts w:hint="eastAsia"/>
        </w:rPr>
        <w:t>（三）关于</w:t>
      </w:r>
      <w:r>
        <w:rPr>
          <w:rFonts w:hint="eastAsia"/>
          <w:lang w:eastAsia="zh-CN"/>
        </w:rPr>
        <w:t>202</w:t>
      </w:r>
      <w:r>
        <w:rPr>
          <w:rFonts w:hint="eastAsia"/>
          <w:lang w:val="en-US" w:eastAsia="zh-CN"/>
        </w:rPr>
        <w:t>4</w:t>
      </w:r>
      <w:r>
        <w:rPr>
          <w:rFonts w:hint="eastAsia"/>
        </w:rPr>
        <w:t>年度部门预算中“三公”经费财政拨款预算与上年比增减情况及原因的说明</w:t>
      </w:r>
      <w:r>
        <w:tab/>
      </w:r>
      <w:r>
        <w:fldChar w:fldCharType="begin"/>
      </w:r>
      <w:r>
        <w:instrText xml:space="preserve"> PAGEREF _Toc14326 \h </w:instrText>
      </w:r>
      <w:r>
        <w:fldChar w:fldCharType="separate"/>
      </w:r>
      <w:r>
        <w:t>4</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_Toc9257 </w:instrText>
      </w:r>
      <w:r>
        <w:rPr>
          <w:rFonts w:hint="eastAsia" w:asciiTheme="minorEastAsia" w:hAnsiTheme="minorEastAsia" w:cstheme="minorEastAsia"/>
          <w:szCs w:val="28"/>
        </w:rPr>
        <w:fldChar w:fldCharType="separate"/>
      </w:r>
      <w:r>
        <w:rPr>
          <w:rFonts w:hint="eastAsia"/>
        </w:rPr>
        <w:t>五、其他情况说明</w:t>
      </w:r>
      <w:r>
        <w:tab/>
      </w:r>
      <w:r>
        <w:fldChar w:fldCharType="begin"/>
      </w:r>
      <w:r>
        <w:instrText xml:space="preserve"> PAGEREF _Toc9257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_Toc141 </w:instrText>
      </w:r>
      <w:r>
        <w:rPr>
          <w:rFonts w:hint="eastAsia" w:asciiTheme="minorEastAsia" w:hAnsiTheme="minorEastAsia" w:cstheme="minorEastAsia"/>
          <w:szCs w:val="28"/>
        </w:rPr>
        <w:fldChar w:fldCharType="separate"/>
      </w:r>
      <w:r>
        <w:rPr>
          <w:rFonts w:hint="eastAsia"/>
        </w:rPr>
        <w:t>（一）机构运行经费说明</w:t>
      </w:r>
      <w:r>
        <w:tab/>
      </w:r>
      <w:r>
        <w:fldChar w:fldCharType="begin"/>
      </w:r>
      <w:r>
        <w:instrText xml:space="preserve"> PAGEREF _Toc141 \h </w:instrText>
      </w:r>
      <w:r>
        <w:fldChar w:fldCharType="separate"/>
      </w:r>
      <w:r>
        <w:t>4</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_Toc10779 </w:instrText>
      </w:r>
      <w:r>
        <w:rPr>
          <w:rFonts w:hint="eastAsia" w:asciiTheme="minorEastAsia" w:hAnsiTheme="minorEastAsia" w:cstheme="minorEastAsia"/>
          <w:szCs w:val="28"/>
        </w:rPr>
        <w:fldChar w:fldCharType="separate"/>
      </w:r>
      <w:r>
        <w:rPr>
          <w:rFonts w:hint="eastAsia"/>
        </w:rPr>
        <w:t>（二）政府采购预算说明</w:t>
      </w:r>
      <w:r>
        <w:tab/>
      </w:r>
      <w:r>
        <w:fldChar w:fldCharType="begin"/>
      </w:r>
      <w:r>
        <w:instrText xml:space="preserve"> PAGEREF _Toc10779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_Toc19507 </w:instrText>
      </w:r>
      <w:r>
        <w:rPr>
          <w:rFonts w:hint="eastAsia" w:asciiTheme="minorEastAsia" w:hAnsiTheme="minorEastAsia" w:cstheme="minorEastAsia"/>
          <w:szCs w:val="28"/>
        </w:rPr>
        <w:fldChar w:fldCharType="separate"/>
      </w:r>
      <w:r>
        <w:rPr>
          <w:rFonts w:hint="eastAsia"/>
        </w:rPr>
        <w:t>（三）政府购买服务预算说明</w:t>
      </w:r>
      <w:r>
        <w:tab/>
      </w:r>
      <w:r>
        <w:fldChar w:fldCharType="begin"/>
      </w:r>
      <w:r>
        <w:instrText xml:space="preserve"> PAGEREF _Toc19507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_Toc14547 </w:instrText>
      </w:r>
      <w:r>
        <w:rPr>
          <w:rFonts w:hint="eastAsia" w:asciiTheme="minorEastAsia" w:hAnsiTheme="minorEastAsia" w:cstheme="minorEastAsia"/>
          <w:szCs w:val="28"/>
        </w:rPr>
        <w:fldChar w:fldCharType="separate"/>
      </w:r>
      <w:r>
        <w:rPr>
          <w:rFonts w:hint="eastAsia"/>
        </w:rPr>
        <w:t>（四）绩效目标情况及绩效评价结果说明</w:t>
      </w:r>
      <w:r>
        <w:tab/>
      </w:r>
      <w:r>
        <w:fldChar w:fldCharType="begin"/>
      </w:r>
      <w:r>
        <w:instrText xml:space="preserve"> PAGEREF _Toc14547 \h </w:instrText>
      </w:r>
      <w:r>
        <w:fldChar w:fldCharType="separate"/>
      </w:r>
      <w:r>
        <w:t>5</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_Toc11430 </w:instrText>
      </w:r>
      <w:r>
        <w:rPr>
          <w:rFonts w:hint="eastAsia" w:asciiTheme="minorEastAsia" w:hAnsiTheme="minorEastAsia" w:cstheme="minorEastAsia"/>
          <w:szCs w:val="28"/>
        </w:rPr>
        <w:fldChar w:fldCharType="separate"/>
      </w:r>
      <w:r>
        <w:rPr>
          <w:rFonts w:hint="eastAsia"/>
        </w:rPr>
        <w:t>（五）国有资本经营预算财政拨款情况说明</w:t>
      </w:r>
      <w:r>
        <w:tab/>
      </w:r>
      <w:r>
        <w:fldChar w:fldCharType="begin"/>
      </w:r>
      <w:r>
        <w:instrText xml:space="preserve"> PAGEREF _Toc11430 \h </w:instrText>
      </w:r>
      <w:r>
        <w:fldChar w:fldCharType="separate"/>
      </w:r>
      <w:r>
        <w:t>6</w:t>
      </w:r>
      <w:r>
        <w:fldChar w:fldCharType="end"/>
      </w:r>
      <w:r>
        <w:rPr>
          <w:rFonts w:hint="eastAsia" w:asciiTheme="minorEastAsia" w:hAnsiTheme="minorEastAsia" w:cstheme="minorEastAsia"/>
          <w:szCs w:val="28"/>
        </w:rPr>
        <w:fldChar w:fldCharType="end"/>
      </w:r>
    </w:p>
    <w:p>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_Toc19656 </w:instrText>
      </w:r>
      <w:r>
        <w:rPr>
          <w:rFonts w:hint="eastAsia" w:asciiTheme="minorEastAsia" w:hAnsiTheme="minorEastAsia" w:cstheme="minorEastAsia"/>
          <w:szCs w:val="28"/>
        </w:rPr>
        <w:fldChar w:fldCharType="separate"/>
      </w:r>
      <w:r>
        <w:rPr>
          <w:rFonts w:hint="eastAsia"/>
        </w:rPr>
        <w:t>（六）国有资产占用情况说明</w:t>
      </w:r>
      <w:r>
        <w:tab/>
      </w:r>
      <w:r>
        <w:fldChar w:fldCharType="begin"/>
      </w:r>
      <w:r>
        <w:instrText xml:space="preserve"> PAGEREF _Toc19656 \h </w:instrText>
      </w:r>
      <w:r>
        <w:fldChar w:fldCharType="separate"/>
      </w:r>
      <w:r>
        <w:t>6</w:t>
      </w:r>
      <w:r>
        <w:fldChar w:fldCharType="end"/>
      </w:r>
      <w:r>
        <w:rPr>
          <w:rFonts w:hint="eastAsia" w:asciiTheme="minorEastAsia" w:hAnsiTheme="minorEastAsia" w:cstheme="minorEastAsia"/>
          <w:szCs w:val="28"/>
        </w:rPr>
        <w:fldChar w:fldCharType="end"/>
      </w:r>
    </w:p>
    <w:p>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_Toc16263 </w:instrText>
      </w:r>
      <w:r>
        <w:rPr>
          <w:rFonts w:hint="eastAsia" w:asciiTheme="minorEastAsia" w:hAnsiTheme="minorEastAsia" w:cstheme="minorEastAsia"/>
          <w:szCs w:val="28"/>
        </w:rPr>
        <w:fldChar w:fldCharType="separate"/>
      </w:r>
      <w:r>
        <w:rPr>
          <w:rFonts w:hint="eastAsia"/>
        </w:rPr>
        <w:t>六、名词解释</w:t>
      </w:r>
      <w:r>
        <w:tab/>
      </w:r>
      <w:r>
        <w:fldChar w:fldCharType="begin"/>
      </w:r>
      <w:r>
        <w:instrText xml:space="preserve"> PAGEREF _Toc16263 \h </w:instrText>
      </w:r>
      <w:r>
        <w:fldChar w:fldCharType="separate"/>
      </w:r>
      <w:r>
        <w:t>6</w:t>
      </w:r>
      <w:r>
        <w:fldChar w:fldCharType="end"/>
      </w:r>
      <w:r>
        <w:rPr>
          <w:rFonts w:hint="eastAsia" w:asciiTheme="minorEastAsia" w:hAnsiTheme="minorEastAsia" w:cstheme="minorEastAsia"/>
          <w:szCs w:val="28"/>
        </w:rPr>
        <w:fldChar w:fldCharType="end"/>
      </w:r>
    </w:p>
    <w:p>
      <w:pPr>
        <w:pStyle w:val="9"/>
        <w:tabs>
          <w:tab w:val="right" w:leader="dot" w:pos="8306"/>
          <w:tab w:val="clear" w:pos="829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_Toc23559 </w:instrText>
      </w:r>
      <w:r>
        <w:rPr>
          <w:rFonts w:hint="eastAsia" w:asciiTheme="minorEastAsia" w:hAnsiTheme="minorEastAsia" w:cstheme="minorEastAsia"/>
          <w:szCs w:val="28"/>
        </w:rPr>
        <w:fldChar w:fldCharType="separate"/>
      </w:r>
      <w:r>
        <w:rPr>
          <w:rFonts w:hint="eastAsia" w:ascii="黑体" w:hAnsi="黑体"/>
          <w:szCs w:val="36"/>
        </w:rPr>
        <w:t xml:space="preserve">第二部分  </w:t>
      </w:r>
      <w:r>
        <w:rPr>
          <w:rFonts w:hint="eastAsia" w:ascii="黑体" w:hAnsi="黑体"/>
          <w:szCs w:val="36"/>
          <w:lang w:eastAsia="zh-CN"/>
        </w:rPr>
        <w:t>202</w:t>
      </w:r>
      <w:r>
        <w:rPr>
          <w:rFonts w:hint="eastAsia" w:ascii="黑体" w:hAnsi="黑体"/>
          <w:szCs w:val="36"/>
          <w:lang w:val="en-US" w:eastAsia="zh-CN"/>
        </w:rPr>
        <w:t>4</w:t>
      </w:r>
      <w:r>
        <w:rPr>
          <w:rFonts w:hint="eastAsia" w:ascii="黑体" w:hAnsi="黑体"/>
          <w:szCs w:val="36"/>
        </w:rPr>
        <w:t>年部门预算表</w:t>
      </w:r>
      <w:r>
        <w:tab/>
      </w:r>
      <w:r>
        <w:fldChar w:fldCharType="begin"/>
      </w:r>
      <w:r>
        <w:instrText xml:space="preserve"> PAGEREF _Toc23559 \h </w:instrText>
      </w:r>
      <w:r>
        <w:fldChar w:fldCharType="separate"/>
      </w:r>
      <w:r>
        <w:t>8</w:t>
      </w:r>
      <w: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_Toc7611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01表 </w:t>
      </w:r>
      <w:r>
        <w:rPr>
          <w:rFonts w:hint="eastAsia" w:asciiTheme="minorEastAsia" w:hAnsiTheme="minorEastAsia" w:cstheme="minorEastAsia"/>
          <w:szCs w:val="28"/>
        </w:rPr>
        <w:t>收支总表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_Toc7611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8</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_Toc29363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02表 </w:t>
      </w:r>
      <w:r>
        <w:rPr>
          <w:rFonts w:hint="eastAsia" w:asciiTheme="minorEastAsia" w:hAnsiTheme="minorEastAsia" w:cstheme="minorEastAsia"/>
          <w:szCs w:val="28"/>
          <w:lang w:eastAsia="zh-CN"/>
        </w:rPr>
        <w:t>收入总表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_Toc29363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9</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_Toc18050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03表 </w:t>
      </w:r>
      <w:r>
        <w:rPr>
          <w:rFonts w:hint="eastAsia" w:asciiTheme="minorEastAsia" w:hAnsiTheme="minorEastAsia" w:cstheme="minorEastAsia"/>
          <w:szCs w:val="28"/>
          <w:lang w:eastAsia="zh-CN"/>
        </w:rPr>
        <w:t>支出预算总表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_Toc18050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_Toc12322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04表 </w:t>
      </w:r>
      <w:r>
        <w:rPr>
          <w:rFonts w:hint="eastAsia" w:asciiTheme="minorEastAsia" w:hAnsiTheme="minorEastAsia" w:cstheme="minorEastAsia"/>
          <w:szCs w:val="28"/>
          <w:lang w:eastAsia="zh-CN"/>
        </w:rPr>
        <w:t>项目支出表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_Toc12322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11</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_Toc27781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05表 </w:t>
      </w:r>
      <w:r>
        <w:rPr>
          <w:rFonts w:hint="eastAsia" w:asciiTheme="minorEastAsia" w:hAnsiTheme="minorEastAsia" w:cstheme="minorEastAsia"/>
          <w:szCs w:val="28"/>
          <w:lang w:eastAsia="zh-CN"/>
        </w:rPr>
        <w:t>财政拨款收支预算总表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_Toc27781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12</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06表 </w:t>
      </w:r>
      <w:r>
        <w:rPr>
          <w:rFonts w:hint="eastAsia" w:asciiTheme="minorEastAsia" w:hAnsiTheme="minorEastAsia" w:cstheme="minorEastAsia"/>
          <w:szCs w:val="28"/>
          <w:lang w:eastAsia="zh-CN"/>
        </w:rPr>
        <w:t>一般公共预算财政拨款支出表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13</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_Toc31795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07表 </w:t>
      </w:r>
      <w:r>
        <w:rPr>
          <w:rFonts w:hint="eastAsia" w:asciiTheme="minorEastAsia" w:hAnsiTheme="minorEastAsia" w:cstheme="minorEastAsia"/>
          <w:szCs w:val="28"/>
          <w:lang w:eastAsia="zh-CN"/>
        </w:rPr>
        <w:t>一般公共预算财政拨款基本支出表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_Toc31795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14</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_Toc10506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08表 </w:t>
      </w:r>
      <w:r>
        <w:rPr>
          <w:rFonts w:hint="eastAsia" w:asciiTheme="minorEastAsia" w:hAnsiTheme="minorEastAsia" w:cstheme="minorEastAsia"/>
          <w:szCs w:val="28"/>
          <w:lang w:eastAsia="zh-CN"/>
        </w:rPr>
        <w:t>一般公共预算“三公”经费支出情况表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_Toc10506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_Toc11809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09表 </w:t>
      </w:r>
      <w:r>
        <w:rPr>
          <w:rFonts w:hint="eastAsia" w:asciiTheme="minorEastAsia" w:hAnsiTheme="minorEastAsia" w:cstheme="minorEastAsia"/>
          <w:szCs w:val="28"/>
          <w:lang w:eastAsia="zh-CN"/>
        </w:rPr>
        <w:t>政府性基金预算财政拨款支出表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_Toc11809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15</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_Toc22969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10表 </w:t>
      </w:r>
      <w:r>
        <w:rPr>
          <w:rFonts w:hint="eastAsia" w:asciiTheme="minorEastAsia" w:hAnsiTheme="minorEastAsia" w:cstheme="minorEastAsia"/>
          <w:szCs w:val="28"/>
          <w:lang w:eastAsia="zh-CN"/>
        </w:rPr>
        <w:t xml:space="preserve"> 国有资本经营预算财政拨款支出表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_Toc22969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_Toc19784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11表 </w:t>
      </w:r>
      <w:r>
        <w:rPr>
          <w:rFonts w:hint="eastAsia" w:asciiTheme="minorEastAsia" w:hAnsiTheme="minorEastAsia" w:cstheme="minorEastAsia"/>
          <w:szCs w:val="28"/>
          <w:lang w:eastAsia="zh-CN"/>
        </w:rPr>
        <w:t>政府购买服务预算财政拨款明细表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_Toc19784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_Toc23233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12表 上级转移支付细化明细表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_Toc23233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16</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_Toc22616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13表 </w:t>
      </w:r>
      <w:r>
        <w:rPr>
          <w:rFonts w:hint="eastAsia" w:asciiTheme="minorEastAsia" w:hAnsiTheme="minorEastAsia" w:cstheme="minorEastAsia"/>
          <w:szCs w:val="28"/>
          <w:lang w:eastAsia="zh-CN"/>
        </w:rPr>
        <w:t>部门整体支出绩效目标申报表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_Toc22616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17</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pStyle w:val="5"/>
        <w:tabs>
          <w:tab w:val="right" w:leader="dot" w:pos="8306"/>
        </w:tabs>
        <w:rPr>
          <w:rFonts w:hint="eastAsia" w:asciiTheme="minorEastAsia" w:hAnsiTheme="minorEastAsia" w:cstheme="minorEastAsia"/>
          <w:szCs w:val="28"/>
        </w:rPr>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_Toc4671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lang w:eastAsia="zh-CN"/>
        </w:rPr>
        <w:t>预算</w:t>
      </w:r>
      <w:r>
        <w:rPr>
          <w:rFonts w:hint="eastAsia" w:asciiTheme="minorEastAsia" w:hAnsiTheme="minorEastAsia" w:cstheme="minorEastAsia"/>
          <w:szCs w:val="28"/>
          <w:lang w:val="en-US" w:eastAsia="zh-CN"/>
        </w:rPr>
        <w:t xml:space="preserve">14表 </w:t>
      </w:r>
      <w:r>
        <w:rPr>
          <w:rFonts w:hint="eastAsia" w:asciiTheme="minorEastAsia" w:hAnsiTheme="minorEastAsia" w:cstheme="minorEastAsia"/>
          <w:szCs w:val="28"/>
          <w:lang w:eastAsia="zh-CN"/>
        </w:rPr>
        <w:t>项目支出绩效表</w:t>
      </w:r>
      <w:r>
        <w:rPr>
          <w:rFonts w:hint="eastAsia" w:asciiTheme="minorEastAsia" w:hAnsiTheme="minorEastAsia" w:cstheme="minorEastAsia"/>
          <w:szCs w:val="28"/>
        </w:rPr>
        <w:tab/>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PAGEREF _Toc4671 \h </w:instrText>
      </w:r>
      <w:r>
        <w:rPr>
          <w:rFonts w:hint="eastAsia" w:asciiTheme="minorEastAsia" w:hAnsiTheme="minorEastAsia" w:cstheme="minorEastAsia"/>
          <w:szCs w:val="28"/>
        </w:rPr>
        <w:fldChar w:fldCharType="separate"/>
      </w:r>
      <w:r>
        <w:rPr>
          <w:rFonts w:hint="eastAsia" w:asciiTheme="minorEastAsia" w:hAnsiTheme="minorEastAsia" w:cstheme="minorEastAsia"/>
          <w:szCs w:val="28"/>
        </w:rPr>
        <w:t>20</w:t>
      </w:r>
      <w:r>
        <w:rPr>
          <w:rFonts w:hint="eastAsia" w:asciiTheme="minorEastAsia" w:hAnsiTheme="minorEastAsia" w:cstheme="minorEastAsia"/>
          <w:szCs w:val="28"/>
        </w:rPr>
        <w:fldChar w:fldCharType="end"/>
      </w:r>
      <w:r>
        <w:rPr>
          <w:rFonts w:hint="eastAsia" w:asciiTheme="minorEastAsia" w:hAnsiTheme="minorEastAsia" w:cstheme="minorEastAsia"/>
          <w:szCs w:val="28"/>
        </w:rPr>
        <w:fldChar w:fldCharType="end"/>
      </w:r>
    </w:p>
    <w:p>
      <w:pPr>
        <w:spacing w:line="500" w:lineRule="exact"/>
        <w:jc w:val="center"/>
        <w:rPr>
          <w:rFonts w:hint="eastAsia" w:asciiTheme="minorEastAsia" w:hAnsiTheme="minorEastAsia" w:cstheme="minorEastAsia"/>
          <w:szCs w:val="28"/>
        </w:rPr>
      </w:pPr>
      <w:r>
        <w:rPr>
          <w:rFonts w:hint="eastAsia" w:asciiTheme="minorEastAsia" w:hAnsiTheme="minorEastAsia" w:cstheme="minorEastAsia"/>
          <w:szCs w:val="28"/>
        </w:rPr>
        <w:fldChar w:fldCharType="end"/>
      </w:r>
    </w:p>
    <w:p>
      <w:pPr>
        <w:pStyle w:val="2"/>
        <w:bidi w:val="0"/>
      </w:pPr>
      <w:bookmarkStart w:id="0" w:name="_Toc19948"/>
      <w:r>
        <w:rPr>
          <w:rFonts w:hint="eastAsia"/>
        </w:rPr>
        <w:t xml:space="preserve">第一部分  </w:t>
      </w:r>
      <w:r>
        <w:rPr>
          <w:rFonts w:hint="eastAsia"/>
          <w:lang w:eastAsia="zh-CN"/>
        </w:rPr>
        <w:t>202</w:t>
      </w:r>
      <w:r>
        <w:rPr>
          <w:rFonts w:hint="eastAsia"/>
          <w:lang w:val="en-US" w:eastAsia="zh-CN"/>
        </w:rPr>
        <w:t>4</w:t>
      </w:r>
      <w:r>
        <w:rPr>
          <w:rFonts w:hint="eastAsia"/>
        </w:rPr>
        <w:t>年部门预算情况说明</w:t>
      </w:r>
      <w:bookmarkEnd w:id="0"/>
    </w:p>
    <w:p/>
    <w:p>
      <w:pPr>
        <w:pStyle w:val="3"/>
        <w:ind w:firstLine="640"/>
      </w:pPr>
      <w:bookmarkStart w:id="1" w:name="_Toc5846"/>
      <w:r>
        <w:rPr>
          <w:rFonts w:hint="eastAsia"/>
        </w:rPr>
        <w:t>一、部门主要职责及机构设置情况</w:t>
      </w:r>
      <w:bookmarkEnd w:id="1"/>
    </w:p>
    <w:p>
      <w:pPr>
        <w:pStyle w:val="4"/>
        <w:ind w:firstLine="640"/>
      </w:pPr>
      <w:bookmarkStart w:id="2" w:name="_Toc8426"/>
      <w:r>
        <w:rPr>
          <w:rFonts w:hint="eastAsia"/>
        </w:rPr>
        <w:t>（一）部门机构设置、职责</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依照《中国红十字会法》协助政府从事人道主义社会救助工作，联系、组织社会各界力量，组织推动红十字志愿服务，开展备灾救灾、赈济救助、应急救援、应急救护培训及演练、红十字青少年、红十字社区服务、招募造血干细胞捐献志愿者、宣传义务献血，红十字国际、国内交流援助等人道主义工作，传播红十字运动，建立红十字组织，发展红十字事业。</w:t>
      </w:r>
    </w:p>
    <w:p>
      <w:pPr>
        <w:pStyle w:val="4"/>
        <w:ind w:firstLine="640"/>
      </w:pPr>
      <w:bookmarkStart w:id="3" w:name="_Toc23971"/>
      <w:r>
        <w:rPr>
          <w:rFonts w:hint="eastAsia"/>
        </w:rPr>
        <w:t>（二）人员构成情况</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w:t>
      </w:r>
      <w:r>
        <w:rPr>
          <w:rFonts w:hint="eastAsia" w:ascii="仿宋" w:hAnsi="仿宋" w:eastAsia="仿宋"/>
          <w:sz w:val="32"/>
          <w:szCs w:val="32"/>
          <w:lang w:val="en-US" w:eastAsia="zh-CN"/>
        </w:rPr>
        <w:t>7</w:t>
      </w:r>
      <w:r>
        <w:rPr>
          <w:rFonts w:hint="eastAsia" w:ascii="仿宋" w:hAnsi="仿宋" w:eastAsia="仿宋"/>
          <w:sz w:val="32"/>
          <w:szCs w:val="32"/>
        </w:rPr>
        <w:t>人，长期聘用临时工3人，退休人员</w:t>
      </w:r>
      <w:r>
        <w:rPr>
          <w:rFonts w:hint="eastAsia" w:ascii="仿宋" w:hAnsi="仿宋" w:eastAsia="仿宋"/>
          <w:sz w:val="32"/>
          <w:szCs w:val="32"/>
          <w:lang w:val="en-US" w:eastAsia="zh-CN"/>
        </w:rPr>
        <w:t>8</w:t>
      </w:r>
      <w:r>
        <w:rPr>
          <w:rFonts w:hint="eastAsia" w:ascii="仿宋" w:hAnsi="仿宋" w:eastAsia="仿宋"/>
          <w:sz w:val="32"/>
          <w:szCs w:val="32"/>
        </w:rPr>
        <w:t>人。</w:t>
      </w:r>
    </w:p>
    <w:p>
      <w:pPr>
        <w:spacing w:line="560" w:lineRule="exact"/>
        <w:ind w:firstLine="640" w:firstLineChars="200"/>
        <w:rPr>
          <w:rFonts w:ascii="仿宋" w:hAnsi="仿宋" w:eastAsia="仿宋"/>
          <w:sz w:val="32"/>
          <w:szCs w:val="32"/>
        </w:rPr>
      </w:pPr>
    </w:p>
    <w:p>
      <w:pPr>
        <w:pStyle w:val="3"/>
        <w:ind w:firstLine="640"/>
      </w:pPr>
      <w:bookmarkStart w:id="4" w:name="_Toc14920"/>
      <w:r>
        <w:rPr>
          <w:rFonts w:hint="eastAsia"/>
        </w:rPr>
        <w:t>二、</w:t>
      </w:r>
      <w:r>
        <w:rPr>
          <w:rFonts w:hint="eastAsia"/>
          <w:lang w:eastAsia="zh-CN"/>
        </w:rPr>
        <w:t>202</w:t>
      </w:r>
      <w:r>
        <w:rPr>
          <w:rFonts w:hint="eastAsia"/>
          <w:lang w:val="en-US" w:eastAsia="zh-CN"/>
        </w:rPr>
        <w:t>4</w:t>
      </w:r>
      <w:r>
        <w:rPr>
          <w:rFonts w:hint="eastAsia"/>
        </w:rPr>
        <w:t>年部门预算收支及增减变化情况说明</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年收入</w:t>
      </w:r>
      <w:r>
        <w:rPr>
          <w:rFonts w:hint="eastAsia" w:ascii="仿宋" w:hAnsi="仿宋" w:eastAsia="仿宋"/>
          <w:sz w:val="32"/>
          <w:szCs w:val="32"/>
          <w:lang w:eastAsia="zh-CN"/>
        </w:rPr>
        <w:t>、</w:t>
      </w:r>
      <w:r>
        <w:rPr>
          <w:rFonts w:hint="eastAsia" w:ascii="仿宋" w:hAnsi="仿宋" w:eastAsia="仿宋"/>
          <w:sz w:val="32"/>
          <w:szCs w:val="32"/>
        </w:rPr>
        <w:t>支出预算</w:t>
      </w:r>
      <w:r>
        <w:rPr>
          <w:rFonts w:hint="eastAsia" w:ascii="仿宋" w:hAnsi="仿宋" w:eastAsia="仿宋"/>
          <w:sz w:val="32"/>
          <w:szCs w:val="32"/>
          <w:lang w:eastAsia="zh-CN"/>
        </w:rPr>
        <w:t>均为</w:t>
      </w:r>
      <w:r>
        <w:rPr>
          <w:rFonts w:hint="eastAsia" w:ascii="仿宋" w:hAnsi="仿宋" w:eastAsia="仿宋"/>
          <w:sz w:val="32"/>
          <w:szCs w:val="32"/>
        </w:rPr>
        <w:t>8,859,812.22元，全部为一般公共预算财政拨款，比</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年收支预算8640370.69元</w:t>
      </w:r>
      <w:r>
        <w:rPr>
          <w:rFonts w:hint="eastAsia" w:ascii="仿宋" w:hAnsi="仿宋" w:eastAsia="仿宋"/>
          <w:sz w:val="32"/>
          <w:szCs w:val="32"/>
          <w:lang w:eastAsia="zh-CN"/>
        </w:rPr>
        <w:t>增加</w:t>
      </w:r>
      <w:r>
        <w:rPr>
          <w:rFonts w:hint="eastAsia" w:ascii="仿宋" w:hAnsi="仿宋" w:eastAsia="仿宋"/>
          <w:sz w:val="32"/>
          <w:szCs w:val="32"/>
          <w:lang w:val="en-US" w:eastAsia="zh-CN"/>
        </w:rPr>
        <w:t>219441.53</w:t>
      </w:r>
      <w:r>
        <w:rPr>
          <w:rFonts w:hint="eastAsia" w:ascii="仿宋" w:hAnsi="仿宋" w:eastAsia="仿宋"/>
          <w:sz w:val="32"/>
          <w:szCs w:val="32"/>
        </w:rPr>
        <w:t>元,</w:t>
      </w:r>
      <w:r>
        <w:rPr>
          <w:rFonts w:hint="eastAsia" w:ascii="仿宋" w:hAnsi="仿宋" w:eastAsia="仿宋"/>
          <w:sz w:val="32"/>
          <w:szCs w:val="32"/>
          <w:lang w:eastAsia="zh-CN"/>
        </w:rPr>
        <w:t>增长</w:t>
      </w:r>
      <w:r>
        <w:rPr>
          <w:rFonts w:hint="eastAsia" w:ascii="仿宋" w:hAnsi="仿宋" w:eastAsia="仿宋"/>
          <w:sz w:val="32"/>
          <w:szCs w:val="32"/>
          <w:lang w:val="en-US" w:eastAsia="zh-CN"/>
        </w:rPr>
        <w:t>2.54</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val="en-US" w:eastAsia="zh-CN"/>
        </w:rPr>
        <w:t>人员支出随人员职务晋升、调级调档、医保社保公积金等缴费基数调整增加，部分人员经费定额增加</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pStyle w:val="3"/>
        <w:ind w:firstLine="640"/>
      </w:pPr>
      <w:bookmarkStart w:id="5" w:name="_Toc16600"/>
      <w:r>
        <w:rPr>
          <w:rFonts w:hint="eastAsia"/>
        </w:rPr>
        <w:t>三、主要支出情况</w:t>
      </w:r>
      <w:bookmarkEnd w:id="5"/>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（1）基本支出预算7,276,414.92元，占支出预算</w:t>
      </w:r>
      <w:r>
        <w:rPr>
          <w:rFonts w:hint="eastAsia" w:ascii="仿宋" w:hAnsi="仿宋" w:eastAsia="仿宋" w:cs="仿宋_GB2312"/>
          <w:sz w:val="32"/>
          <w:szCs w:val="32"/>
          <w:lang w:eastAsia="zh-CN" w:bidi="ar"/>
        </w:rPr>
        <w:t>总额</w:t>
      </w:r>
      <w:r>
        <w:rPr>
          <w:rFonts w:hint="eastAsia" w:ascii="仿宋" w:hAnsi="仿宋" w:eastAsia="仿宋" w:cs="仿宋_GB2312"/>
          <w:sz w:val="32"/>
          <w:szCs w:val="32"/>
          <w:lang w:bidi="ar"/>
        </w:rPr>
        <w:t>的</w:t>
      </w:r>
      <w:r>
        <w:rPr>
          <w:rFonts w:hint="eastAsia" w:ascii="仿宋" w:hAnsi="仿宋" w:eastAsia="仿宋" w:cs="仿宋_GB2312"/>
          <w:sz w:val="32"/>
          <w:szCs w:val="32"/>
          <w:lang w:val="en-US" w:eastAsia="zh-CN" w:bidi="ar"/>
        </w:rPr>
        <w:t>84.21%</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年7,090,969.22元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185445.7</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2.62%</w:t>
      </w:r>
      <w:r>
        <w:rPr>
          <w:rFonts w:hint="eastAsia" w:ascii="仿宋" w:hAnsi="仿宋" w:eastAsia="仿宋" w:cs="仿宋_GB2312"/>
          <w:sz w:val="32"/>
          <w:szCs w:val="32"/>
          <w:lang w:bidi="ar"/>
        </w:rPr>
        <w:t>，主要原因是</w:t>
      </w:r>
      <w:r>
        <w:rPr>
          <w:rFonts w:hint="eastAsia" w:ascii="仿宋" w:hAnsi="仿宋" w:eastAsia="仿宋"/>
          <w:sz w:val="32"/>
          <w:szCs w:val="32"/>
          <w:lang w:eastAsia="zh-CN"/>
        </w:rPr>
        <w:t>人员支出随人员职务晋升、调级调档、医保社保公积金等缴费基数调整增加，部分人员经费定额增加。</w:t>
      </w:r>
      <w:r>
        <w:rPr>
          <w:rFonts w:hint="eastAsia" w:ascii="仿宋" w:hAnsi="仿宋" w:eastAsia="仿宋" w:cs="仿宋_GB2312"/>
          <w:sz w:val="32"/>
          <w:szCs w:val="32"/>
          <w:lang w:bidi="ar"/>
        </w:rPr>
        <w:t>其中公用支出523,373.88元，比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年512390.75元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10983.13</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2.14%</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福利费提取定额增加，以人员工资为计算基数的项目随人员工资增长略有增加</w:t>
      </w:r>
      <w:r>
        <w:rPr>
          <w:rFonts w:hint="eastAsia" w:ascii="仿宋" w:hAnsi="仿宋" w:eastAsia="仿宋" w:cs="仿宋_GB2312"/>
          <w:sz w:val="32"/>
          <w:szCs w:val="32"/>
          <w:lang w:bidi="ar"/>
        </w:rPr>
        <w:t>。</w:t>
      </w:r>
    </w:p>
    <w:p>
      <w:pPr>
        <w:spacing w:line="560" w:lineRule="exact"/>
        <w:ind w:firstLine="640" w:firstLineChars="200"/>
        <w:rPr>
          <w:rFonts w:hint="eastAsia" w:ascii="仿宋" w:hAnsi="仿宋" w:eastAsia="仿宋" w:cs="仿宋_GB2312"/>
          <w:sz w:val="32"/>
          <w:szCs w:val="32"/>
          <w:lang w:eastAsia="zh-CN" w:bidi="ar"/>
        </w:rPr>
      </w:pPr>
      <w:r>
        <w:rPr>
          <w:rFonts w:hint="eastAsia" w:ascii="仿宋" w:hAnsi="仿宋" w:eastAsia="仿宋" w:cs="仿宋_GB2312"/>
          <w:sz w:val="32"/>
          <w:szCs w:val="32"/>
          <w:lang w:bidi="ar"/>
        </w:rPr>
        <w:t>（2）项目支出预算1,583,397.30元，占总支出预算的</w:t>
      </w:r>
      <w:r>
        <w:rPr>
          <w:rFonts w:hint="eastAsia" w:ascii="仿宋" w:hAnsi="仿宋" w:eastAsia="仿宋" w:cs="仿宋_GB2312"/>
          <w:sz w:val="32"/>
          <w:szCs w:val="32"/>
          <w:lang w:val="en-US" w:eastAsia="zh-CN" w:bidi="ar"/>
        </w:rPr>
        <w:t>15.79</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年1,549,401.47元</w:t>
      </w:r>
      <w:r>
        <w:rPr>
          <w:rFonts w:hint="eastAsia" w:ascii="仿宋" w:hAnsi="仿宋" w:eastAsia="仿宋" w:cs="仿宋_GB2312"/>
          <w:sz w:val="32"/>
          <w:szCs w:val="32"/>
          <w:lang w:eastAsia="zh-CN" w:bidi="ar"/>
        </w:rPr>
        <w:t>增加33995.83</w:t>
      </w:r>
      <w:r>
        <w:rPr>
          <w:rFonts w:hint="eastAsia" w:ascii="仿宋" w:hAnsi="仿宋" w:eastAsia="仿宋" w:cs="仿宋_GB2312"/>
          <w:sz w:val="32"/>
          <w:szCs w:val="32"/>
          <w:lang w:bidi="ar"/>
        </w:rPr>
        <w:t>元，主要原因</w:t>
      </w:r>
      <w:r>
        <w:rPr>
          <w:rFonts w:hint="eastAsia" w:ascii="仿宋" w:hAnsi="仿宋" w:eastAsia="仿宋" w:cs="仿宋_GB2312"/>
          <w:sz w:val="32"/>
          <w:szCs w:val="32"/>
          <w:lang w:val="en-US" w:eastAsia="zh-CN" w:bidi="ar"/>
        </w:rPr>
        <w:t>2023年根据区应急委要求组建西城区红十字会应急志愿服务大队，本年内需为其配备必要装备并开展急救培训</w:t>
      </w:r>
      <w:r>
        <w:rPr>
          <w:rFonts w:hint="eastAsia" w:ascii="仿宋" w:hAnsi="仿宋" w:eastAsia="仿宋" w:cs="仿宋_GB2312"/>
          <w:sz w:val="32"/>
          <w:szCs w:val="32"/>
          <w:lang w:bidi="ar"/>
        </w:rPr>
        <w:t>。</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年主要项目是</w:t>
      </w:r>
      <w:r>
        <w:rPr>
          <w:rFonts w:hint="eastAsia" w:ascii="仿宋" w:hAnsi="仿宋" w:eastAsia="仿宋" w:cs="仿宋_GB2312"/>
          <w:sz w:val="32"/>
          <w:szCs w:val="32"/>
          <w:lang w:eastAsia="zh-CN" w:bidi="ar"/>
        </w:rPr>
        <w:t>：</w:t>
      </w:r>
    </w:p>
    <w:tbl>
      <w:tblPr>
        <w:tblStyle w:val="11"/>
        <w:tblW w:w="6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391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91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红十字常务理事、监事、 专兼职干部培训费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公益文化建设经费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红十字志愿服务活动经费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应急救护知识普及与青少年工作</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49,757.30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1,549,401.47 </w:t>
            </w:r>
          </w:p>
        </w:tc>
      </w:tr>
    </w:tbl>
    <w:p>
      <w:pPr>
        <w:pStyle w:val="3"/>
        <w:ind w:firstLine="640"/>
        <w:rPr>
          <w:rFonts w:hint="eastAsia"/>
        </w:rPr>
      </w:pPr>
      <w:bookmarkStart w:id="6" w:name="_Toc6366"/>
    </w:p>
    <w:p>
      <w:pPr>
        <w:pStyle w:val="3"/>
        <w:ind w:firstLine="640"/>
      </w:pPr>
      <w:r>
        <w:rPr>
          <w:rFonts w:hint="eastAsia"/>
        </w:rPr>
        <w:t>四、部门“三公”经费财政拨款预算说明</w:t>
      </w:r>
      <w:bookmarkEnd w:id="6"/>
    </w:p>
    <w:p>
      <w:pPr>
        <w:pStyle w:val="4"/>
        <w:ind w:firstLine="640"/>
      </w:pPr>
      <w:bookmarkStart w:id="7" w:name="_Toc18974"/>
      <w:r>
        <w:rPr>
          <w:rFonts w:hint="eastAsia"/>
        </w:rPr>
        <w:t>（一）“三公”经费的单位范围</w:t>
      </w:r>
      <w:bookmarkEnd w:id="7"/>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pPr>
        <w:pStyle w:val="4"/>
        <w:ind w:firstLine="640"/>
      </w:pPr>
      <w:bookmarkStart w:id="8" w:name="_Toc21783"/>
      <w:r>
        <w:rPr>
          <w:rFonts w:hint="eastAsia"/>
        </w:rPr>
        <w:t>（二）“三公”经费预算财政拨款情况说明</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年部门预算“三公”经费财政拨款预算安排2,488.23元，其中：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年财政拨款预算安排0元。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年财政拨款预算安排2,488.23元。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年本单位共有募捐救助专用车</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辆，财政供养的公务用车0辆，财政拨款公务用车购置费和公务用车运行维护费预算安排均为0元。</w:t>
      </w:r>
    </w:p>
    <w:p>
      <w:pPr>
        <w:pStyle w:val="4"/>
        <w:ind w:firstLine="640"/>
      </w:pPr>
      <w:bookmarkStart w:id="9" w:name="_Toc14326"/>
      <w:r>
        <w:rPr>
          <w:rFonts w:hint="eastAsia"/>
        </w:rPr>
        <w:t>（三）关于</w:t>
      </w:r>
      <w:r>
        <w:rPr>
          <w:rFonts w:hint="eastAsia"/>
          <w:lang w:eastAsia="zh-CN"/>
        </w:rPr>
        <w:t>202</w:t>
      </w:r>
      <w:r>
        <w:rPr>
          <w:rFonts w:hint="eastAsia"/>
          <w:lang w:val="en-US" w:eastAsia="zh-CN"/>
        </w:rPr>
        <w:t>4</w:t>
      </w:r>
      <w:r>
        <w:rPr>
          <w:rFonts w:hint="eastAsia"/>
        </w:rPr>
        <w:t>年度部门预算中“三公”经费财政拨款预算与上年比增减情况及原因的说明</w:t>
      </w:r>
      <w:bookmarkEnd w:id="9"/>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年度“三公”经费财政拨款预算</w:t>
      </w:r>
      <w:r>
        <w:rPr>
          <w:rFonts w:hint="eastAsia" w:ascii="仿宋" w:hAnsi="仿宋" w:eastAsia="仿宋" w:cs="仿宋_GB2312"/>
          <w:sz w:val="32"/>
          <w:szCs w:val="32"/>
          <w:lang w:eastAsia="zh-CN"/>
        </w:rPr>
        <w:t>与</w:t>
      </w:r>
      <w:r>
        <w:rPr>
          <w:rFonts w:hint="eastAsia" w:ascii="仿宋" w:hAnsi="仿宋" w:eastAsia="仿宋" w:cs="仿宋_GB2312"/>
          <w:sz w:val="32"/>
          <w:szCs w:val="32"/>
        </w:rPr>
        <w:t>2023年</w:t>
      </w:r>
      <w:r>
        <w:rPr>
          <w:rFonts w:hint="eastAsia" w:ascii="仿宋" w:hAnsi="仿宋" w:eastAsia="仿宋" w:cs="仿宋_GB2312"/>
          <w:sz w:val="32"/>
          <w:szCs w:val="32"/>
          <w:lang w:eastAsia="zh-CN"/>
        </w:rPr>
        <w:t>相同</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p>
    <w:p>
      <w:pPr>
        <w:pStyle w:val="3"/>
        <w:ind w:firstLine="640"/>
      </w:pPr>
      <w:bookmarkStart w:id="10" w:name="_Toc9257"/>
      <w:r>
        <w:rPr>
          <w:rFonts w:hint="eastAsia"/>
        </w:rPr>
        <w:t>五、其他情况说明</w:t>
      </w:r>
      <w:bookmarkEnd w:id="10"/>
    </w:p>
    <w:p>
      <w:pPr>
        <w:pStyle w:val="4"/>
        <w:ind w:firstLine="640"/>
      </w:pPr>
      <w:bookmarkStart w:id="11" w:name="_Toc141"/>
      <w:r>
        <w:rPr>
          <w:rFonts w:hint="eastAsia"/>
        </w:rPr>
        <w:t>（一）机构运行经费说明</w:t>
      </w:r>
      <w:bookmarkEnd w:id="11"/>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年本部门（含下属单位）履行一般行政事业管理职能、维持机关运行，用于一般公共预算安排的行政运行经费，合计</w:t>
      </w:r>
      <w:r>
        <w:rPr>
          <w:rFonts w:hint="eastAsia" w:ascii="仿宋" w:hAnsi="仿宋" w:eastAsia="仿宋" w:cs="仿宋_GB2312"/>
          <w:sz w:val="32"/>
          <w:szCs w:val="32"/>
          <w:lang w:bidi="ar"/>
        </w:rPr>
        <w:t>523,373.88</w:t>
      </w:r>
      <w:r>
        <w:rPr>
          <w:rFonts w:hint="eastAsia" w:ascii="仿宋" w:hAnsi="仿宋" w:eastAsia="仿宋" w:cs="仿宋_GB2312"/>
          <w:sz w:val="32"/>
          <w:szCs w:val="32"/>
        </w:rPr>
        <w:t>元，比</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年512390.75元增加</w:t>
      </w:r>
      <w:r>
        <w:rPr>
          <w:rFonts w:hint="eastAsia" w:ascii="仿宋" w:hAnsi="仿宋" w:eastAsia="仿宋" w:cs="仿宋_GB2312"/>
          <w:sz w:val="32"/>
          <w:szCs w:val="32"/>
          <w:lang w:val="en-US" w:eastAsia="zh-CN" w:bidi="ar"/>
        </w:rPr>
        <w:t>10983.13</w:t>
      </w:r>
      <w:r>
        <w:rPr>
          <w:rFonts w:hint="eastAsia" w:ascii="仿宋" w:hAnsi="仿宋" w:eastAsia="仿宋" w:cs="仿宋_GB2312"/>
          <w:sz w:val="32"/>
          <w:szCs w:val="32"/>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2.14%</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福利费提取定额增加，以人员工资为计算基数的项目随人员工资增长略有增加</w:t>
      </w:r>
      <w:r>
        <w:rPr>
          <w:rFonts w:hint="eastAsia" w:ascii="仿宋" w:hAnsi="仿宋" w:eastAsia="仿宋" w:cs="仿宋_GB2312"/>
          <w:sz w:val="32"/>
          <w:szCs w:val="32"/>
          <w:lang w:bidi="ar"/>
        </w:rPr>
        <w:t>。</w:t>
      </w:r>
    </w:p>
    <w:p>
      <w:pPr>
        <w:spacing w:line="560" w:lineRule="exact"/>
        <w:ind w:firstLine="640" w:firstLineChars="200"/>
        <w:rPr>
          <w:rFonts w:hint="eastAsia" w:ascii="仿宋" w:hAnsi="仿宋" w:eastAsia="仿宋" w:cs="仿宋_GB2312"/>
          <w:sz w:val="32"/>
          <w:szCs w:val="32"/>
        </w:rPr>
      </w:pPr>
    </w:p>
    <w:p>
      <w:pPr>
        <w:pStyle w:val="4"/>
        <w:ind w:firstLine="640"/>
      </w:pPr>
      <w:bookmarkStart w:id="12" w:name="_Toc10779"/>
      <w:r>
        <w:rPr>
          <w:rFonts w:hint="eastAsia"/>
        </w:rPr>
        <w:t>（二）政府采购预算说明</w:t>
      </w:r>
      <w:bookmarkEnd w:id="1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年涉及政府采购项目1个，红十字常务理事、监事、 专兼职干部培训费项目预算</w:t>
      </w:r>
      <w:r>
        <w:rPr>
          <w:rFonts w:hint="eastAsia" w:ascii="仿宋" w:hAnsi="仿宋" w:eastAsia="仿宋" w:cs="仿宋_GB2312"/>
          <w:sz w:val="32"/>
          <w:szCs w:val="32"/>
          <w:lang w:eastAsia="zh-CN"/>
        </w:rPr>
        <w:t>总额</w:t>
      </w:r>
      <w:r>
        <w:rPr>
          <w:rFonts w:hint="eastAsia" w:ascii="仿宋" w:hAnsi="仿宋" w:eastAsia="仿宋" w:cs="仿宋_GB2312"/>
          <w:sz w:val="32"/>
          <w:szCs w:val="32"/>
          <w:lang w:val="en-US" w:eastAsia="zh-CN"/>
        </w:rPr>
        <w:t>71</w:t>
      </w:r>
      <w:r>
        <w:rPr>
          <w:rFonts w:hint="eastAsia" w:ascii="仿宋" w:hAnsi="仿宋" w:eastAsia="仿宋" w:cs="仿宋_GB2312"/>
          <w:sz w:val="32"/>
          <w:szCs w:val="32"/>
        </w:rPr>
        <w:t>000.00元</w:t>
      </w:r>
      <w:r>
        <w:rPr>
          <w:rFonts w:hint="eastAsia" w:ascii="仿宋" w:hAnsi="仿宋" w:eastAsia="仿宋" w:cs="仿宋_GB2312"/>
          <w:sz w:val="32"/>
          <w:szCs w:val="32"/>
          <w:lang w:eastAsia="zh-CN"/>
        </w:rPr>
        <w:t>，其中政府采购预算金额</w:t>
      </w:r>
      <w:r>
        <w:rPr>
          <w:rFonts w:hint="eastAsia" w:ascii="仿宋" w:hAnsi="仿宋" w:eastAsia="仿宋" w:cs="仿宋_GB2312"/>
          <w:sz w:val="32"/>
          <w:szCs w:val="32"/>
          <w:lang w:val="en-US" w:eastAsia="zh-CN"/>
        </w:rPr>
        <w:t>66000.00元</w:t>
      </w:r>
      <w:r>
        <w:rPr>
          <w:rFonts w:hint="eastAsia" w:ascii="仿宋" w:hAnsi="仿宋" w:eastAsia="仿宋" w:cs="仿宋_GB2312"/>
          <w:sz w:val="32"/>
          <w:szCs w:val="32"/>
        </w:rPr>
        <w:t>。</w:t>
      </w:r>
    </w:p>
    <w:p>
      <w:pPr>
        <w:pStyle w:val="4"/>
        <w:ind w:firstLine="640"/>
      </w:pPr>
      <w:bookmarkStart w:id="13" w:name="_Toc19507"/>
      <w:r>
        <w:rPr>
          <w:rFonts w:hint="eastAsia"/>
        </w:rPr>
        <w:t>（三）政府购买服务预算说明</w:t>
      </w:r>
      <w:bookmarkEnd w:id="1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年涉及政府购买服务项目0个，无预算资金安排。</w:t>
      </w:r>
    </w:p>
    <w:p>
      <w:pPr>
        <w:pStyle w:val="4"/>
        <w:ind w:firstLine="640"/>
      </w:pPr>
      <w:bookmarkStart w:id="14" w:name="_Toc14547"/>
      <w:r>
        <w:rPr>
          <w:rFonts w:hint="eastAsia"/>
        </w:rPr>
        <w:t>（四）绩效目标情况及绩效评价结果说明</w:t>
      </w:r>
      <w:bookmarkEnd w:id="14"/>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eastAsia="zh-CN"/>
        </w:rPr>
        <w:t>，西城区红十字会按要求组织开展</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年度部门整体支出单位绩效自评工作材料，绩效级别评定为“良好”。发现的主要问题有：部门整体绩效目标和项目的产出指标、效果指标的设定不够合理明确，量化指标不足</w:t>
      </w:r>
      <w:r>
        <w:rPr>
          <w:rFonts w:hint="eastAsia" w:ascii="仿宋_GB2312" w:hAnsi="仿宋" w:eastAsia="仿宋_GB2312"/>
          <w:sz w:val="32"/>
          <w:szCs w:val="32"/>
          <w:lang w:eastAsia="zh-CN"/>
        </w:rPr>
        <w:t>；项目管理过程不够严谨；绩效成果资料归集不完整</w:t>
      </w:r>
      <w:r>
        <w:rPr>
          <w:rFonts w:hint="eastAsia" w:ascii="仿宋_GB2312" w:hAnsi="仿宋" w:eastAsia="仿宋_GB2312"/>
          <w:sz w:val="32"/>
          <w:szCs w:val="32"/>
        </w:rPr>
        <w:t>。提出的改进意见一是优化整体绩效目标和重点项目目标的设定，整体绩效目标的设置应该结合单位职能、中长期规划和年度工作计划，明确年度主要工作任务、预计单位在本年度内履职所要达到的总体产出和效果</w:t>
      </w:r>
      <w:r>
        <w:rPr>
          <w:rFonts w:hint="eastAsia" w:ascii="仿宋_GB2312" w:hAnsi="仿宋" w:eastAsia="仿宋_GB2312"/>
          <w:sz w:val="32"/>
          <w:szCs w:val="32"/>
          <w:lang w:eastAsia="zh-CN"/>
        </w:rPr>
        <w:t>；</w:t>
      </w:r>
      <w:r>
        <w:rPr>
          <w:rFonts w:hint="eastAsia" w:ascii="仿宋_GB2312" w:hAnsi="仿宋" w:eastAsia="仿宋_GB2312"/>
          <w:sz w:val="32"/>
          <w:szCs w:val="32"/>
        </w:rPr>
        <w:t>二是提高部门整体和项目预算编制科学与准确性</w:t>
      </w:r>
      <w:r>
        <w:rPr>
          <w:rFonts w:hint="eastAsia" w:ascii="仿宋_GB2312" w:hAnsi="仿宋" w:eastAsia="仿宋_GB2312"/>
          <w:sz w:val="32"/>
          <w:szCs w:val="32"/>
          <w:lang w:eastAsia="zh-CN"/>
        </w:rPr>
        <w:t>；</w:t>
      </w:r>
      <w:r>
        <w:rPr>
          <w:rFonts w:hint="eastAsia" w:ascii="仿宋_GB2312" w:hAnsi="仿宋" w:eastAsia="仿宋_GB2312"/>
          <w:sz w:val="32"/>
          <w:szCs w:val="32"/>
        </w:rPr>
        <w:t>三是加强重点项目的监督管理、质量控制办法、考核验收办法，并根据工作实际，细化项目管理办法</w:t>
      </w:r>
      <w:r>
        <w:rPr>
          <w:rFonts w:hint="eastAsia" w:ascii="仿宋_GB2312" w:hAnsi="仿宋" w:eastAsia="仿宋_GB2312"/>
          <w:sz w:val="32"/>
          <w:szCs w:val="32"/>
          <w:lang w:eastAsia="zh-CN"/>
        </w:rPr>
        <w:t>；四是进一步提高部门管理的规范性，制订有效的项目实施方案，并定期对内控制度进行风险评估，并根据评估结果对相关内控制度进行修订；五是客观设置服务满意度评价指标，满意度调查的对象瞄准度应精确细化，应分项目类别分别进行调查，重点项目都应有服务对象满意度调查；六是绩效支撑材料应该完整且有序并充分提交，尤其是重点项目</w:t>
      </w:r>
      <w:r>
        <w:rPr>
          <w:rFonts w:hint="eastAsia" w:ascii="仿宋_GB2312" w:hAnsi="仿宋" w:eastAsia="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年无100万元以上绩效考评项目，</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年部门整体绩效目标见附表。</w:t>
      </w:r>
    </w:p>
    <w:p>
      <w:pPr>
        <w:pStyle w:val="4"/>
        <w:ind w:firstLine="640"/>
        <w:rPr>
          <w:rFonts w:hint="eastAsia"/>
        </w:rPr>
      </w:pPr>
      <w:bookmarkStart w:id="15" w:name="_Toc11430"/>
      <w:r>
        <w:rPr>
          <w:rFonts w:hint="eastAsia"/>
        </w:rPr>
        <w:t>（五）国有资本经营预算财政拨款情况说明</w:t>
      </w:r>
      <w:bookmarkEnd w:id="15"/>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无</w:t>
      </w:r>
      <w:r>
        <w:rPr>
          <w:rFonts w:hint="eastAsia" w:ascii="仿宋_GB2312" w:hAnsi="仿宋" w:eastAsia="仿宋_GB2312"/>
          <w:sz w:val="32"/>
          <w:szCs w:val="32"/>
          <w:lang w:eastAsia="zh-CN"/>
        </w:rPr>
        <w:t>此类预算。</w:t>
      </w:r>
    </w:p>
    <w:p>
      <w:pPr>
        <w:pStyle w:val="4"/>
        <w:ind w:firstLine="640"/>
        <w:rPr>
          <w:rFonts w:hint="eastAsia"/>
        </w:rPr>
      </w:pPr>
      <w:bookmarkStart w:id="16" w:name="_Toc19656"/>
      <w:r>
        <w:rPr>
          <w:rFonts w:hint="eastAsia"/>
        </w:rPr>
        <w:t>（六）国有资产占用情况说明</w:t>
      </w:r>
      <w:bookmarkEnd w:id="16"/>
    </w:p>
    <w:p>
      <w:pPr>
        <w:ind w:firstLine="640" w:firstLineChars="200"/>
        <w:rPr>
          <w:rFonts w:ascii="仿宋" w:hAnsi="仿宋" w:eastAsia="仿宋"/>
          <w:sz w:val="32"/>
          <w:szCs w:val="32"/>
        </w:rPr>
      </w:pPr>
      <w:r>
        <w:rPr>
          <w:rFonts w:hint="eastAsia" w:ascii="仿宋_GB2312" w:hAnsi="仿宋" w:eastAsia="仿宋_GB2312"/>
          <w:sz w:val="32"/>
          <w:szCs w:val="32"/>
        </w:rPr>
        <w:t>截止</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年底，本部门固定资产原值</w:t>
      </w:r>
      <w:r>
        <w:rPr>
          <w:rFonts w:hint="eastAsia" w:ascii="仿宋_GB2312" w:hAnsi="仿宋" w:eastAsia="仿宋_GB2312"/>
          <w:sz w:val="32"/>
          <w:szCs w:val="32"/>
          <w:lang w:val="en-US" w:eastAsia="zh-CN"/>
        </w:rPr>
        <w:t>2035939.49</w:t>
      </w:r>
      <w:r>
        <w:rPr>
          <w:rFonts w:hint="eastAsia" w:ascii="仿宋_GB2312" w:hAnsi="仿宋" w:eastAsia="仿宋_GB2312"/>
          <w:sz w:val="32"/>
          <w:szCs w:val="32"/>
        </w:rPr>
        <w:t>元，固定资产累计折旧</w:t>
      </w:r>
      <w:r>
        <w:rPr>
          <w:rFonts w:hint="eastAsia" w:ascii="仿宋_GB2312" w:hAnsi="仿宋" w:eastAsia="仿宋_GB2312"/>
          <w:sz w:val="32"/>
          <w:szCs w:val="32"/>
          <w:lang w:val="en-US" w:eastAsia="zh-CN"/>
        </w:rPr>
        <w:t>1843951.14</w:t>
      </w:r>
      <w:r>
        <w:rPr>
          <w:rFonts w:hint="eastAsia" w:ascii="仿宋_GB2312" w:hAnsi="仿宋" w:eastAsia="仿宋_GB2312"/>
          <w:sz w:val="32"/>
          <w:szCs w:val="32"/>
        </w:rPr>
        <w:t>元,固定资产净值</w:t>
      </w:r>
      <w:r>
        <w:rPr>
          <w:rFonts w:hint="eastAsia" w:ascii="仿宋_GB2312" w:hAnsi="仿宋" w:eastAsia="仿宋_GB2312"/>
          <w:sz w:val="32"/>
          <w:szCs w:val="32"/>
          <w:lang w:val="en-US" w:eastAsia="zh-CN"/>
        </w:rPr>
        <w:t>191988.35</w:t>
      </w:r>
      <w:r>
        <w:rPr>
          <w:rFonts w:hint="eastAsia" w:ascii="仿宋_GB2312" w:hAnsi="仿宋" w:eastAsia="仿宋_GB2312"/>
          <w:sz w:val="32"/>
          <w:szCs w:val="32"/>
        </w:rPr>
        <w:t>元,其中：车辆</w:t>
      </w:r>
      <w:r>
        <w:rPr>
          <w:rFonts w:hint="eastAsia" w:ascii="仿宋_GB2312" w:hAnsi="仿宋" w:eastAsia="仿宋_GB2312"/>
          <w:sz w:val="32"/>
          <w:szCs w:val="32"/>
          <w:lang w:val="en-US" w:eastAsia="zh-CN"/>
        </w:rPr>
        <w:t>4</w:t>
      </w:r>
      <w:r>
        <w:rPr>
          <w:rFonts w:hint="eastAsia" w:ascii="仿宋_GB2312" w:hAnsi="仿宋" w:eastAsia="仿宋_GB2312"/>
          <w:sz w:val="32"/>
          <w:szCs w:val="32"/>
        </w:rPr>
        <w:t>台，原值</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元，累计折旧</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，为市红十字会划拨的募捐救助用车，属非财政供养车辆；单位价值50万元以上的通用设备0台</w:t>
      </w:r>
      <w:r>
        <w:rPr>
          <w:rFonts w:hint="eastAsia" w:ascii="仿宋" w:hAnsi="仿宋" w:eastAsia="仿宋"/>
          <w:sz w:val="32"/>
          <w:szCs w:val="32"/>
        </w:rPr>
        <w:t>(套),0元;单位价值100万元以上的专用设备0台(套),0元。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年部门预算:安排购置车辆0台,0元, 安排购置单位价值50万元以上的通用设备0台(套),0元;单位价值100万元以上的专用设备0台(套),0元。</w:t>
      </w:r>
    </w:p>
    <w:p>
      <w:pPr>
        <w:spacing w:line="560" w:lineRule="exact"/>
        <w:ind w:firstLine="640" w:firstLineChars="200"/>
        <w:rPr>
          <w:rFonts w:ascii="仿宋" w:hAnsi="仿宋" w:eastAsia="仿宋" w:cs="仿宋_GB2312"/>
          <w:sz w:val="32"/>
          <w:szCs w:val="32"/>
        </w:rPr>
      </w:pPr>
    </w:p>
    <w:p>
      <w:pPr>
        <w:pStyle w:val="3"/>
        <w:ind w:firstLine="640"/>
      </w:pPr>
      <w:bookmarkStart w:id="17" w:name="_Toc16263"/>
      <w:r>
        <w:rPr>
          <w:rFonts w:hint="eastAsia"/>
        </w:rPr>
        <w:t>六、名词解释</w:t>
      </w:r>
      <w:bookmarkEnd w:id="17"/>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ascii="黑体" w:hAnsi="黑体"/>
          <w:sz w:val="36"/>
          <w:szCs w:val="36"/>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黑体" w:hAnsi="黑体"/>
          <w:b w:val="0"/>
          <w:sz w:val="36"/>
          <w:szCs w:val="36"/>
        </w:rPr>
      </w:pPr>
    </w:p>
    <w:p>
      <w:pPr>
        <w:rPr>
          <w:rFonts w:hint="eastAsia" w:ascii="黑体" w:hAnsi="黑体"/>
          <w:b w:val="0"/>
          <w:sz w:val="36"/>
          <w:szCs w:val="36"/>
        </w:rPr>
      </w:pPr>
      <w:r>
        <w:rPr>
          <w:rFonts w:hint="eastAsia" w:ascii="黑体" w:hAnsi="黑体"/>
          <w:b w:val="0"/>
          <w:sz w:val="36"/>
          <w:szCs w:val="36"/>
        </w:rPr>
        <w:br w:type="page"/>
      </w:r>
    </w:p>
    <w:p>
      <w:pPr>
        <w:pStyle w:val="2"/>
        <w:rPr>
          <w:rFonts w:ascii="黑体" w:hAnsi="黑体"/>
          <w:b w:val="0"/>
          <w:sz w:val="36"/>
          <w:szCs w:val="36"/>
        </w:rPr>
      </w:pPr>
      <w:bookmarkStart w:id="18" w:name="_Toc23559"/>
      <w:r>
        <w:rPr>
          <w:rFonts w:hint="eastAsia" w:ascii="黑体" w:hAnsi="黑体"/>
          <w:b w:val="0"/>
          <w:sz w:val="36"/>
          <w:szCs w:val="36"/>
        </w:rPr>
        <w:t xml:space="preserve">第二部分  </w:t>
      </w:r>
      <w:r>
        <w:rPr>
          <w:rFonts w:hint="eastAsia" w:ascii="黑体" w:hAnsi="黑体"/>
          <w:b w:val="0"/>
          <w:sz w:val="36"/>
          <w:szCs w:val="36"/>
          <w:lang w:eastAsia="zh-CN"/>
        </w:rPr>
        <w:t>202</w:t>
      </w:r>
      <w:r>
        <w:rPr>
          <w:rFonts w:hint="eastAsia" w:ascii="黑体" w:hAnsi="黑体"/>
          <w:b w:val="0"/>
          <w:sz w:val="36"/>
          <w:szCs w:val="36"/>
          <w:lang w:val="en-US" w:eastAsia="zh-CN"/>
        </w:rPr>
        <w:t>4</w:t>
      </w:r>
      <w:r>
        <w:rPr>
          <w:rFonts w:hint="eastAsia" w:ascii="黑体" w:hAnsi="黑体"/>
          <w:b w:val="0"/>
          <w:sz w:val="36"/>
          <w:szCs w:val="36"/>
        </w:rPr>
        <w:t>年部门预算表</w:t>
      </w:r>
      <w:bookmarkEnd w:id="18"/>
    </w:p>
    <w:p>
      <w:pPr>
        <w:pStyle w:val="4"/>
        <w:ind w:firstLine="0" w:firstLineChars="0"/>
        <w:rPr>
          <w:b/>
          <w:bCs w:val="0"/>
        </w:rPr>
      </w:pPr>
    </w:p>
    <w:p>
      <w:pPr>
        <w:pStyle w:val="4"/>
        <w:ind w:firstLine="0" w:firstLineChars="0"/>
        <w:jc w:val="center"/>
        <w:rPr>
          <w:rFonts w:hint="eastAsia" w:ascii="黑体" w:hAnsi="黑体" w:eastAsia="黑体" w:cs="黑体"/>
          <w:b w:val="0"/>
          <w:bCs/>
        </w:rPr>
      </w:pPr>
      <w:bookmarkStart w:id="19" w:name="_Toc761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01表 </w:t>
      </w:r>
      <w:r>
        <w:rPr>
          <w:rFonts w:hint="eastAsia" w:ascii="黑体" w:hAnsi="黑体" w:eastAsia="黑体" w:cs="黑体"/>
          <w:b w:val="0"/>
          <w:bCs/>
        </w:rPr>
        <w:t>收支总表</w:t>
      </w:r>
      <w:bookmarkEnd w:id="19"/>
    </w:p>
    <w:p/>
    <w:p>
      <w:p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drawing>
          <wp:inline distT="0" distB="0" distL="114300" distR="114300">
            <wp:extent cx="5273040" cy="4277360"/>
            <wp:effectExtent l="0" t="0" r="3810"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5273040" cy="4277360"/>
                    </a:xfrm>
                    <a:prstGeom prst="rect">
                      <a:avLst/>
                    </a:prstGeom>
                    <a:noFill/>
                    <a:ln>
                      <a:noFill/>
                    </a:ln>
                  </pic:spPr>
                </pic:pic>
              </a:graphicData>
            </a:graphic>
          </wp:inline>
        </w:drawing>
      </w:r>
    </w:p>
    <w:p>
      <w:pPr>
        <w:pStyle w:val="4"/>
        <w:ind w:firstLine="0" w:firstLineChars="0"/>
        <w:jc w:val="center"/>
        <w:rPr>
          <w:rFonts w:hint="eastAsia" w:ascii="黑体" w:hAnsi="黑体" w:eastAsia="黑体" w:cs="黑体"/>
          <w:b w:val="0"/>
          <w:bCs/>
          <w:lang w:eastAsia="zh-CN"/>
        </w:rPr>
      </w:pPr>
      <w:bookmarkStart w:id="20" w:name="_Toc29363"/>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02表 </w:t>
      </w:r>
      <w:r>
        <w:rPr>
          <w:rFonts w:hint="eastAsia" w:ascii="黑体" w:hAnsi="黑体" w:eastAsia="黑体" w:cs="黑体"/>
          <w:b w:val="0"/>
          <w:bCs/>
          <w:lang w:eastAsia="zh-CN"/>
        </w:rPr>
        <w:t>收入总表</w:t>
      </w:r>
      <w:bookmarkEnd w:id="20"/>
    </w:p>
    <w:p>
      <w:pPr>
        <w:jc w:val="center"/>
      </w:pPr>
    </w:p>
    <w:p>
      <w:pPr>
        <w:pStyle w:val="4"/>
        <w:ind w:firstLine="0" w:firstLineChars="0"/>
        <w:jc w:val="center"/>
        <w:rPr>
          <w:b/>
          <w:bCs w:val="0"/>
        </w:rPr>
      </w:pPr>
    </w:p>
    <w:p>
      <w:pPr>
        <w:rPr>
          <w:b/>
        </w:rPr>
      </w:pPr>
    </w:p>
    <w:p>
      <w:pPr>
        <w:rPr>
          <w:b/>
        </w:rPr>
      </w:pPr>
      <w:r>
        <w:drawing>
          <wp:inline distT="0" distB="0" distL="114300" distR="114300">
            <wp:extent cx="8853805" cy="898525"/>
            <wp:effectExtent l="0" t="0" r="4445" b="158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8853805" cy="898525"/>
                    </a:xfrm>
                    <a:prstGeom prst="rect">
                      <a:avLst/>
                    </a:prstGeom>
                    <a:noFill/>
                    <a:ln>
                      <a:noFill/>
                    </a:ln>
                  </pic:spPr>
                </pic:pic>
              </a:graphicData>
            </a:graphic>
          </wp:inline>
        </w:drawing>
      </w:r>
    </w:p>
    <w:p>
      <w:pPr>
        <w:rPr>
          <w:b/>
        </w:rPr>
      </w:pPr>
    </w:p>
    <w:p>
      <w:pPr>
        <w:rPr>
          <w:b/>
        </w:rPr>
      </w:pPr>
    </w:p>
    <w:p>
      <w:pPr>
        <w:rPr>
          <w:rFonts w:hint="eastAsia"/>
          <w:b/>
          <w:bCs w:val="0"/>
        </w:rPr>
      </w:pPr>
      <w:r>
        <w:rPr>
          <w:rFonts w:hint="eastAsia"/>
          <w:b/>
          <w:bCs w:val="0"/>
        </w:rPr>
        <w:br w:type="page"/>
      </w:r>
    </w:p>
    <w:p>
      <w:pPr>
        <w:pStyle w:val="4"/>
        <w:ind w:firstLine="0" w:firstLineChars="0"/>
        <w:jc w:val="center"/>
        <w:rPr>
          <w:rFonts w:hint="eastAsia" w:ascii="黑体" w:hAnsi="黑体" w:eastAsia="黑体" w:cs="黑体"/>
          <w:b w:val="0"/>
          <w:bCs/>
          <w:lang w:eastAsia="zh-CN"/>
        </w:rPr>
      </w:pPr>
      <w:bookmarkStart w:id="21" w:name="_Toc18050"/>
      <w:r>
        <w:drawing>
          <wp:anchor distT="0" distB="0" distL="114300" distR="114300" simplePos="0" relativeHeight="251660288" behindDoc="0" locked="0" layoutInCell="1" allowOverlap="1">
            <wp:simplePos x="0" y="0"/>
            <wp:positionH relativeFrom="column">
              <wp:posOffset>419100</wp:posOffset>
            </wp:positionH>
            <wp:positionV relativeFrom="paragraph">
              <wp:posOffset>497205</wp:posOffset>
            </wp:positionV>
            <wp:extent cx="8136890" cy="4817745"/>
            <wp:effectExtent l="0" t="0" r="16510" b="1905"/>
            <wp:wrapSquare wrapText="bothSides"/>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8"/>
                    <a:stretch>
                      <a:fillRect/>
                    </a:stretch>
                  </pic:blipFill>
                  <pic:spPr>
                    <a:xfrm>
                      <a:off x="0" y="0"/>
                      <a:ext cx="8136890" cy="4817745"/>
                    </a:xfrm>
                    <a:prstGeom prst="rect">
                      <a:avLst/>
                    </a:prstGeom>
                    <a:noFill/>
                    <a:ln>
                      <a:noFill/>
                    </a:ln>
                  </pic:spPr>
                </pic:pic>
              </a:graphicData>
            </a:graphic>
          </wp:anchor>
        </w:drawing>
      </w: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03表 </w:t>
      </w:r>
      <w:r>
        <w:rPr>
          <w:rFonts w:hint="eastAsia" w:ascii="黑体" w:hAnsi="黑体" w:eastAsia="黑体" w:cs="黑体"/>
          <w:b w:val="0"/>
          <w:bCs/>
          <w:lang w:eastAsia="zh-CN"/>
        </w:rPr>
        <w:t>支出预算总表</w:t>
      </w:r>
    </w:p>
    <w:bookmarkEnd w:id="21"/>
    <w:p>
      <w:pPr>
        <w:pStyle w:val="4"/>
        <w:ind w:firstLine="0" w:firstLineChars="0"/>
        <w:jc w:val="center"/>
        <w:rPr>
          <w:rFonts w:hint="eastAsia" w:ascii="黑体" w:hAnsi="黑体" w:eastAsia="黑体" w:cs="黑体"/>
          <w:b w:val="0"/>
          <w:bCs/>
          <w:lang w:eastAsia="zh-CN"/>
        </w:rPr>
      </w:pPr>
    </w:p>
    <w:p>
      <w:pPr>
        <w:rPr>
          <w:rFonts w:hint="eastAsia"/>
          <w:lang w:eastAsia="zh-CN"/>
        </w:rPr>
        <w:sectPr>
          <w:pgSz w:w="16838" w:h="11906" w:orient="landscape"/>
          <w:pgMar w:top="1797" w:right="1440" w:bottom="1797" w:left="1440" w:header="851" w:footer="992" w:gutter="0"/>
          <w:cols w:space="425" w:num="1"/>
          <w:docGrid w:type="linesAndChars" w:linePitch="312" w:charSpace="0"/>
        </w:sectPr>
      </w:pPr>
    </w:p>
    <w:p>
      <w:pPr>
        <w:pStyle w:val="4"/>
        <w:ind w:firstLine="0" w:firstLineChars="0"/>
        <w:jc w:val="center"/>
        <w:rPr>
          <w:rFonts w:hint="eastAsia" w:ascii="黑体" w:hAnsi="黑体" w:eastAsia="黑体" w:cs="黑体"/>
          <w:b w:val="0"/>
          <w:bCs/>
          <w:lang w:eastAsia="zh-CN"/>
        </w:rPr>
      </w:pPr>
      <w:bookmarkStart w:id="22" w:name="_Toc12322"/>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04表 </w:t>
      </w:r>
      <w:r>
        <w:rPr>
          <w:rFonts w:hint="eastAsia" w:ascii="黑体" w:hAnsi="黑体" w:eastAsia="黑体" w:cs="黑体"/>
          <w:b w:val="0"/>
          <w:bCs/>
          <w:lang w:eastAsia="zh-CN"/>
        </w:rPr>
        <w:t>项目支出表</w:t>
      </w:r>
      <w:bookmarkEnd w:id="22"/>
    </w:p>
    <w:p>
      <w:pPr>
        <w:rPr>
          <w:rFonts w:hint="eastAsia"/>
          <w:b/>
          <w:bCs w:val="0"/>
          <w:lang w:eastAsia="zh-CN"/>
        </w:rPr>
      </w:pPr>
    </w:p>
    <w:p>
      <w:pPr>
        <w:rPr>
          <w:rFonts w:hint="eastAsia"/>
          <w:b/>
          <w:bCs w:val="0"/>
          <w:lang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r>
        <w:drawing>
          <wp:inline distT="0" distB="0" distL="114300" distR="114300">
            <wp:extent cx="8851900" cy="1422400"/>
            <wp:effectExtent l="0" t="0" r="6350" b="635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9"/>
                    <a:stretch>
                      <a:fillRect/>
                    </a:stretch>
                  </pic:blipFill>
                  <pic:spPr>
                    <a:xfrm>
                      <a:off x="0" y="0"/>
                      <a:ext cx="8851900" cy="1422400"/>
                    </a:xfrm>
                    <a:prstGeom prst="rect">
                      <a:avLst/>
                    </a:prstGeom>
                    <a:noFill/>
                    <a:ln>
                      <a:noFill/>
                    </a:ln>
                  </pic:spPr>
                </pic:pic>
              </a:graphicData>
            </a:graphic>
          </wp:inline>
        </w:drawing>
      </w:r>
    </w:p>
    <w:p>
      <w:pPr>
        <w:tabs>
          <w:tab w:val="left" w:pos="11982"/>
        </w:tabs>
        <w:bidi w:val="0"/>
        <w:jc w:val="left"/>
        <w:rPr>
          <w:rFonts w:hint="eastAsia"/>
          <w:lang w:val="en-US" w:eastAsia="zh-CN"/>
        </w:rPr>
        <w:sectPr>
          <w:pgSz w:w="16838" w:h="11906" w:orient="landscape"/>
          <w:pgMar w:top="1797" w:right="1440" w:bottom="1797" w:left="1440" w:header="851" w:footer="992" w:gutter="0"/>
          <w:cols w:space="0" w:num="1"/>
          <w:rtlGutter w:val="0"/>
          <w:docGrid w:type="lines" w:linePitch="319" w:charSpace="0"/>
        </w:sectPr>
      </w:pPr>
      <w:r>
        <w:rPr>
          <w:rFonts w:hint="eastAsia"/>
          <w:lang w:val="en-US" w:eastAsia="zh-CN"/>
        </w:rPr>
        <w:tab/>
      </w:r>
    </w:p>
    <w:p>
      <w:pPr>
        <w:pStyle w:val="4"/>
        <w:ind w:firstLine="0" w:firstLineChars="0"/>
        <w:jc w:val="center"/>
        <w:rPr>
          <w:rFonts w:hint="eastAsia" w:ascii="黑体" w:hAnsi="黑体" w:eastAsia="黑体" w:cs="黑体"/>
          <w:b w:val="0"/>
          <w:bCs/>
          <w:lang w:eastAsia="zh-CN"/>
        </w:rPr>
      </w:pPr>
      <w:bookmarkStart w:id="23" w:name="_Toc27781"/>
      <w:r>
        <w:drawing>
          <wp:anchor distT="0" distB="0" distL="114300" distR="114300" simplePos="0" relativeHeight="251661312" behindDoc="0" locked="0" layoutInCell="1" allowOverlap="1">
            <wp:simplePos x="0" y="0"/>
            <wp:positionH relativeFrom="column">
              <wp:posOffset>29210</wp:posOffset>
            </wp:positionH>
            <wp:positionV relativeFrom="paragraph">
              <wp:posOffset>866775</wp:posOffset>
            </wp:positionV>
            <wp:extent cx="5273040" cy="4983480"/>
            <wp:effectExtent l="0" t="0" r="3810" b="7620"/>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0"/>
                    <a:stretch>
                      <a:fillRect/>
                    </a:stretch>
                  </pic:blipFill>
                  <pic:spPr>
                    <a:xfrm>
                      <a:off x="0" y="0"/>
                      <a:ext cx="5273040" cy="4983480"/>
                    </a:xfrm>
                    <a:prstGeom prst="rect">
                      <a:avLst/>
                    </a:prstGeom>
                    <a:noFill/>
                    <a:ln>
                      <a:noFill/>
                    </a:ln>
                  </pic:spPr>
                </pic:pic>
              </a:graphicData>
            </a:graphic>
          </wp:anchor>
        </w:drawing>
      </w:r>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05表 </w:t>
      </w:r>
      <w:r>
        <w:rPr>
          <w:rFonts w:hint="eastAsia" w:ascii="黑体" w:hAnsi="黑体" w:eastAsia="黑体" w:cs="黑体"/>
          <w:b w:val="0"/>
          <w:bCs/>
          <w:lang w:eastAsia="zh-CN"/>
        </w:rPr>
        <w:t>财政拨款收支预算总表</w:t>
      </w:r>
      <w:bookmarkEnd w:id="23"/>
    </w:p>
    <w:p/>
    <w:p/>
    <w:p/>
    <w:p>
      <w:pPr>
        <w:pStyle w:val="4"/>
        <w:ind w:firstLine="0" w:firstLineChars="0"/>
        <w:jc w:val="center"/>
        <w:rPr>
          <w:rFonts w:hint="eastAsia" w:ascii="黑体" w:hAnsi="黑体" w:eastAsia="黑体" w:cs="黑体"/>
          <w:b w:val="0"/>
          <w:bCs/>
          <w:lang w:eastAsia="zh-CN"/>
        </w:rPr>
      </w:pPr>
      <w:bookmarkStart w:id="24" w:name="_Toc4679"/>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pStyle w:val="4"/>
        <w:ind w:firstLine="0" w:firstLineChars="0"/>
        <w:jc w:val="center"/>
        <w:rPr>
          <w:rFonts w:hint="eastAsia" w:ascii="黑体" w:hAnsi="黑体" w:eastAsia="黑体" w:cs="黑体"/>
          <w:b w:val="0"/>
          <w:bCs/>
          <w:lang w:eastAsia="zh-CN"/>
        </w:rPr>
      </w:pPr>
    </w:p>
    <w:p>
      <w:pPr>
        <w:rPr>
          <w:rFonts w:hint="eastAsia"/>
          <w:lang w:eastAsia="zh-CN"/>
        </w:rPr>
      </w:pPr>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06表 </w:t>
      </w:r>
      <w:r>
        <w:rPr>
          <w:rFonts w:hint="eastAsia" w:ascii="黑体" w:hAnsi="黑体" w:eastAsia="黑体" w:cs="黑体"/>
          <w:b w:val="0"/>
          <w:bCs/>
          <w:lang w:eastAsia="zh-CN"/>
        </w:rPr>
        <w:t>一般公共预算财政拨款支出表</w:t>
      </w:r>
      <w:bookmarkEnd w:id="24"/>
    </w:p>
    <w:p/>
    <w:p>
      <w:pPr>
        <w:jc w:val="center"/>
      </w:pPr>
    </w:p>
    <w:p>
      <w:r>
        <w:drawing>
          <wp:inline distT="0" distB="0" distL="114300" distR="114300">
            <wp:extent cx="5271135" cy="1448435"/>
            <wp:effectExtent l="0" t="0" r="5715" b="18415"/>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1"/>
                    <a:stretch>
                      <a:fillRect/>
                    </a:stretch>
                  </pic:blipFill>
                  <pic:spPr>
                    <a:xfrm>
                      <a:off x="0" y="0"/>
                      <a:ext cx="5271135" cy="1448435"/>
                    </a:xfrm>
                    <a:prstGeom prst="rect">
                      <a:avLst/>
                    </a:prstGeom>
                    <a:noFill/>
                    <a:ln>
                      <a:noFill/>
                    </a:ln>
                  </pic:spPr>
                </pic:pic>
              </a:graphicData>
            </a:graphic>
          </wp:inline>
        </w:drawing>
      </w:r>
    </w:p>
    <w:p/>
    <w:p/>
    <w:p>
      <w:pPr>
        <w:pStyle w:val="3"/>
        <w:ind w:firstLine="0" w:firstLineChars="0"/>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5" w:name="_Toc31795"/>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07表 </w:t>
      </w:r>
      <w:r>
        <w:rPr>
          <w:rFonts w:hint="eastAsia" w:ascii="黑体" w:hAnsi="黑体" w:eastAsia="黑体" w:cs="黑体"/>
          <w:b w:val="0"/>
          <w:bCs/>
          <w:lang w:eastAsia="zh-CN"/>
        </w:rPr>
        <w:t>一般公共预算财政拨款基本支出表</w:t>
      </w:r>
      <w:bookmarkEnd w:id="25"/>
    </w:p>
    <w:p>
      <w:pPr>
        <w:pStyle w:val="4"/>
        <w:ind w:firstLine="0" w:firstLineChars="0"/>
        <w:jc w:val="center"/>
        <w:rPr>
          <w:rFonts w:hint="eastAsia" w:ascii="黑体" w:hAnsi="黑体" w:eastAsia="黑体" w:cs="黑体"/>
          <w:b w:val="0"/>
          <w:bCs/>
          <w:lang w:eastAsia="zh-CN"/>
        </w:rPr>
      </w:pPr>
      <w:r>
        <w:drawing>
          <wp:anchor distT="0" distB="0" distL="114300" distR="114300" simplePos="0" relativeHeight="251662336" behindDoc="0" locked="0" layoutInCell="1" allowOverlap="1">
            <wp:simplePos x="0" y="0"/>
            <wp:positionH relativeFrom="column">
              <wp:posOffset>-151765</wp:posOffset>
            </wp:positionH>
            <wp:positionV relativeFrom="paragraph">
              <wp:posOffset>234950</wp:posOffset>
            </wp:positionV>
            <wp:extent cx="5691505" cy="3488055"/>
            <wp:effectExtent l="0" t="0" r="4445" b="17145"/>
            <wp:wrapSquare wrapText="bothSides"/>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2"/>
                    <a:stretch>
                      <a:fillRect/>
                    </a:stretch>
                  </pic:blipFill>
                  <pic:spPr>
                    <a:xfrm>
                      <a:off x="0" y="0"/>
                      <a:ext cx="5691505" cy="3488055"/>
                    </a:xfrm>
                    <a:prstGeom prst="rect">
                      <a:avLst/>
                    </a:prstGeom>
                    <a:noFill/>
                    <a:ln>
                      <a:noFill/>
                    </a:ln>
                  </pic:spPr>
                </pic:pic>
              </a:graphicData>
            </a:graphic>
          </wp:anchor>
        </w:drawing>
      </w:r>
    </w:p>
    <w:p>
      <w:pPr>
        <w:rPr>
          <w:rFonts w:hint="eastAsia"/>
          <w:lang w:eastAsia="zh-CN"/>
        </w:rPr>
        <w:sectPr>
          <w:pgSz w:w="11906" w:h="16838"/>
          <w:pgMar w:top="1440" w:right="1797" w:bottom="1440" w:left="1797" w:header="851" w:footer="992" w:gutter="0"/>
          <w:cols w:space="0" w:num="1"/>
          <w:rtlGutter w:val="0"/>
          <w:docGrid w:type="lines" w:linePitch="319" w:charSpace="0"/>
        </w:sectPr>
      </w:pPr>
    </w:p>
    <w:p/>
    <w:p>
      <w:pPr>
        <w:pStyle w:val="4"/>
        <w:ind w:firstLine="0" w:firstLineChars="0"/>
        <w:jc w:val="center"/>
        <w:rPr>
          <w:rFonts w:hint="eastAsia" w:ascii="黑体" w:hAnsi="黑体" w:eastAsia="黑体" w:cs="黑体"/>
          <w:b w:val="0"/>
          <w:bCs/>
          <w:lang w:eastAsia="zh-CN"/>
        </w:rPr>
      </w:pPr>
      <w:bookmarkStart w:id="26" w:name="_Toc1050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08表 </w:t>
      </w:r>
      <w:r>
        <w:rPr>
          <w:rFonts w:hint="eastAsia" w:ascii="黑体" w:hAnsi="黑体" w:eastAsia="黑体" w:cs="黑体"/>
          <w:b w:val="0"/>
          <w:bCs/>
          <w:lang w:eastAsia="zh-CN"/>
        </w:rPr>
        <w:t>一般公共预算“三公”经费支出情况表</w:t>
      </w:r>
      <w:bookmarkEnd w:id="26"/>
    </w:p>
    <w:p/>
    <w:p/>
    <w:p>
      <w:r>
        <w:drawing>
          <wp:inline distT="0" distB="0" distL="114300" distR="114300">
            <wp:extent cx="5275580" cy="2508250"/>
            <wp:effectExtent l="0" t="0" r="1270" b="635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13"/>
                    <a:stretch>
                      <a:fillRect/>
                    </a:stretch>
                  </pic:blipFill>
                  <pic:spPr>
                    <a:xfrm>
                      <a:off x="0" y="0"/>
                      <a:ext cx="5275580" cy="2508250"/>
                    </a:xfrm>
                    <a:prstGeom prst="rect">
                      <a:avLst/>
                    </a:prstGeom>
                    <a:noFill/>
                    <a:ln>
                      <a:noFill/>
                    </a:ln>
                  </pic:spPr>
                </pic:pic>
              </a:graphicData>
            </a:graphic>
          </wp:inline>
        </w:drawing>
      </w:r>
    </w:p>
    <w:p/>
    <w:p/>
    <w:p/>
    <w:p>
      <w:pPr>
        <w:pStyle w:val="4"/>
        <w:ind w:firstLine="0" w:firstLineChars="0"/>
        <w:jc w:val="center"/>
        <w:rPr>
          <w:rFonts w:hint="eastAsia" w:ascii="黑体" w:hAnsi="黑体" w:eastAsia="黑体" w:cs="黑体"/>
          <w:b w:val="0"/>
          <w:bCs/>
          <w:lang w:eastAsia="zh-CN"/>
        </w:rPr>
      </w:pPr>
      <w:bookmarkStart w:id="27" w:name="_Toc1180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09表 </w:t>
      </w:r>
      <w:r>
        <w:rPr>
          <w:rFonts w:hint="eastAsia" w:ascii="黑体" w:hAnsi="黑体" w:eastAsia="黑体" w:cs="黑体"/>
          <w:b w:val="0"/>
          <w:bCs/>
          <w:lang w:eastAsia="zh-CN"/>
        </w:rPr>
        <w:t>政府性基金预算财政拨款支出表</w:t>
      </w:r>
      <w:bookmarkEnd w:id="27"/>
    </w:p>
    <w:tbl>
      <w:tblPr>
        <w:tblStyle w:val="11"/>
        <w:tblpPr w:leftFromText="180" w:rightFromText="180" w:vertAnchor="text" w:horzAnchor="page" w:tblpX="1792" w:tblpY="305"/>
        <w:tblOverlap w:val="never"/>
        <w:tblW w:w="8342" w:type="dxa"/>
        <w:tblInd w:w="0" w:type="dxa"/>
        <w:tblLayout w:type="fixed"/>
        <w:tblCellMar>
          <w:top w:w="0" w:type="dxa"/>
          <w:left w:w="0" w:type="dxa"/>
          <w:bottom w:w="0" w:type="dxa"/>
          <w:right w:w="0" w:type="dxa"/>
        </w:tblCellMar>
      </w:tblPr>
      <w:tblGrid>
        <w:gridCol w:w="2736"/>
        <w:gridCol w:w="1401"/>
        <w:gridCol w:w="1402"/>
        <w:gridCol w:w="1401"/>
        <w:gridCol w:w="1402"/>
      </w:tblGrid>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 目 名 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  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注：本单位无此类资金预算</w:t>
            </w: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
    <w:p/>
    <w:p/>
    <w:p/>
    <w:p/>
    <w:p/>
    <w:p/>
    <w:p/>
    <w:p>
      <w:pPr>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28" w:name="_Toc22969"/>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10表 </w:t>
      </w:r>
      <w:r>
        <w:rPr>
          <w:rFonts w:hint="eastAsia" w:ascii="黑体" w:hAnsi="黑体" w:eastAsia="黑体" w:cs="黑体"/>
          <w:b w:val="0"/>
          <w:bCs/>
          <w:lang w:eastAsia="zh-CN"/>
        </w:rPr>
        <w:t xml:space="preserve"> 国有资本经营预算财政拨款支出表</w:t>
      </w:r>
      <w:bookmarkEnd w:id="28"/>
    </w:p>
    <w:p/>
    <w:tbl>
      <w:tblPr>
        <w:tblStyle w:val="11"/>
        <w:tblpPr w:leftFromText="180" w:rightFromText="180" w:vertAnchor="text" w:horzAnchor="page" w:tblpXSpec="center" w:tblpY="304"/>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37"/>
        <w:gridCol w:w="2038"/>
        <w:gridCol w:w="2038"/>
        <w:gridCol w:w="503"/>
        <w:gridCol w:w="83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262"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87" w:type="pct"/>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737" w:type="pct"/>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7" w:type="pct"/>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79" w:type="pc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7" w:type="pct"/>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9" w:type="pct"/>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本单位无此类预算</w:t>
            </w: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7"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9" w:type="pct"/>
            <w:tcBorders>
              <w:top w:val="nil"/>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
    <w:p/>
    <w:p/>
    <w:p>
      <w:pPr>
        <w:pStyle w:val="4"/>
        <w:ind w:firstLine="0" w:firstLineChars="0"/>
        <w:jc w:val="center"/>
        <w:rPr>
          <w:rFonts w:hint="eastAsia" w:ascii="黑体" w:hAnsi="黑体" w:eastAsia="黑体" w:cs="黑体"/>
          <w:b w:val="0"/>
          <w:bCs/>
          <w:lang w:eastAsia="zh-CN"/>
        </w:rPr>
      </w:pPr>
      <w:bookmarkStart w:id="29" w:name="_Toc19784"/>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11表 </w:t>
      </w:r>
      <w:r>
        <w:rPr>
          <w:rFonts w:hint="eastAsia" w:ascii="黑体" w:hAnsi="黑体" w:eastAsia="黑体" w:cs="黑体"/>
          <w:b w:val="0"/>
          <w:bCs/>
          <w:lang w:eastAsia="zh-CN"/>
        </w:rPr>
        <w:t>政府购买服务预算财政拨款明细表</w:t>
      </w:r>
      <w:bookmarkEnd w:id="29"/>
    </w:p>
    <w:p/>
    <w:p/>
    <w:tbl>
      <w:tblPr>
        <w:tblStyle w:val="11"/>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7"/>
        <w:gridCol w:w="2949"/>
        <w:gridCol w:w="18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编码(代码)</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政府购买服务目录及项目名称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注：本单位无此类资金预算</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pPr>
    </w:p>
    <w:p>
      <w:pPr>
        <w:rPr>
          <w:rFonts w:hint="eastAsia"/>
        </w:rPr>
      </w:pPr>
      <w:r>
        <w:rPr>
          <w:rFonts w:hint="eastAsia" w:ascii="黑体" w:hAnsi="黑体" w:eastAsia="黑体" w:cs="黑体"/>
          <w:b w:val="0"/>
          <w:bCs/>
          <w:lang w:eastAsia="zh-CN"/>
        </w:rPr>
        <w:pict>
          <v:shape id="_x0000_s1031" o:spid="_x0000_s1031" o:spt="75" type="#_x0000_t75" style="position:absolute;left:0pt;margin-left:0.8pt;margin-top:98.3pt;height:76.5pt;width:415.6pt;mso-wrap-distance-bottom:0pt;mso-wrap-distance-left:9pt;mso-wrap-distance-right:9pt;mso-wrap-distance-top:0pt;z-index:251659264;mso-width-relative:page;mso-height-relative:page;" o:ole="t" filled="f" o:preferrelative="t" stroked="f" coordsize="21600,21600">
            <v:path/>
            <v:fill on="f" focussize="0,0"/>
            <v:stroke on="f"/>
            <v:imagedata r:id="rId15" o:title=""/>
            <o:lock v:ext="edit" aspectratio="f"/>
            <w10:wrap type="square"/>
          </v:shape>
          <o:OLEObject Type="Embed" ProgID="Excel.Sheet.12" ShapeID="_x0000_s1031" DrawAspect="Content" ObjectID="_1468075725" r:id="rId14">
            <o:LockedField>false</o:LockedField>
          </o:OLEObject>
        </w:pict>
      </w:r>
    </w:p>
    <w:p>
      <w:pPr>
        <w:rPr>
          <w:rFonts w:hint="eastAsia"/>
        </w:rPr>
      </w:pPr>
    </w:p>
    <w:p>
      <w:pPr>
        <w:pStyle w:val="4"/>
        <w:ind w:firstLine="0" w:firstLineChars="0"/>
        <w:jc w:val="center"/>
        <w:rPr>
          <w:rFonts w:hint="eastAsia" w:ascii="黑体" w:hAnsi="黑体" w:eastAsia="黑体" w:cs="黑体"/>
          <w:b w:val="0"/>
          <w:bCs/>
          <w:lang w:val="en-US" w:eastAsia="zh-CN"/>
        </w:rPr>
      </w:pPr>
      <w:bookmarkStart w:id="30" w:name="_Toc23233"/>
      <w:r>
        <w:rPr>
          <w:rFonts w:hint="eastAsia" w:ascii="黑体" w:hAnsi="黑体" w:eastAsia="黑体" w:cs="黑体"/>
          <w:b w:val="0"/>
          <w:bCs/>
          <w:lang w:eastAsia="zh-CN"/>
        </w:rPr>
        <w:t>预算</w:t>
      </w:r>
      <w:r>
        <w:rPr>
          <w:rFonts w:hint="eastAsia" w:ascii="黑体" w:hAnsi="黑体" w:eastAsia="黑体" w:cs="黑体"/>
          <w:b w:val="0"/>
          <w:bCs/>
          <w:lang w:val="en-US" w:eastAsia="zh-CN"/>
        </w:rPr>
        <w:t>12表 上级转移支付细化明细表</w:t>
      </w:r>
      <w:bookmarkEnd w:id="30"/>
    </w:p>
    <w:p>
      <w:pPr>
        <w:pStyle w:val="4"/>
        <w:ind w:firstLine="0" w:firstLineChars="0"/>
        <w:jc w:val="center"/>
        <w:rPr>
          <w:rFonts w:hint="eastAsia" w:ascii="黑体" w:hAnsi="黑体" w:eastAsia="黑体" w:cs="黑体"/>
          <w:b w:val="0"/>
          <w:bCs/>
          <w:lang w:eastAsia="zh-CN"/>
        </w:rPr>
      </w:pPr>
      <w:r>
        <w:rPr>
          <w:rFonts w:hint="eastAsia" w:ascii="黑体" w:hAnsi="黑体" w:eastAsia="黑体" w:cs="黑体"/>
          <w:b w:val="0"/>
          <w:bCs/>
          <w:lang w:eastAsia="zh-CN"/>
        </w:rPr>
        <w:br w:type="page"/>
      </w:r>
    </w:p>
    <w:p>
      <w:pPr>
        <w:pStyle w:val="4"/>
        <w:ind w:firstLine="0" w:firstLineChars="0"/>
        <w:jc w:val="center"/>
        <w:rPr>
          <w:rFonts w:hint="eastAsia" w:ascii="黑体" w:hAnsi="黑体" w:eastAsia="黑体" w:cs="黑体"/>
          <w:b w:val="0"/>
          <w:bCs/>
          <w:lang w:eastAsia="zh-CN"/>
        </w:rPr>
        <w:sectPr>
          <w:pgSz w:w="11906" w:h="16838"/>
          <w:pgMar w:top="1440" w:right="1797" w:bottom="1440" w:left="1797" w:header="851" w:footer="992" w:gutter="0"/>
          <w:cols w:space="0" w:num="1"/>
          <w:rtlGutter w:val="0"/>
          <w:docGrid w:type="lines" w:linePitch="319" w:charSpace="0"/>
        </w:sectPr>
      </w:pPr>
    </w:p>
    <w:p>
      <w:pPr>
        <w:pStyle w:val="4"/>
        <w:ind w:firstLine="0" w:firstLineChars="0"/>
        <w:jc w:val="center"/>
        <w:rPr>
          <w:rFonts w:hint="eastAsia" w:ascii="黑体" w:hAnsi="黑体" w:eastAsia="黑体" w:cs="黑体"/>
          <w:b w:val="0"/>
          <w:bCs/>
          <w:lang w:eastAsia="zh-CN"/>
        </w:rPr>
      </w:pPr>
      <w:bookmarkStart w:id="31" w:name="_Toc2261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13表 </w:t>
      </w:r>
      <w:r>
        <w:rPr>
          <w:rFonts w:hint="eastAsia" w:ascii="黑体" w:hAnsi="黑体" w:eastAsia="黑体" w:cs="黑体"/>
          <w:b w:val="0"/>
          <w:bCs/>
          <w:lang w:eastAsia="zh-CN"/>
        </w:rPr>
        <w:t>部门整体支出绩效目标申报表</w:t>
      </w:r>
      <w:bookmarkEnd w:id="31"/>
    </w:p>
    <w:p>
      <w:pPr>
        <w:pStyle w:val="4"/>
        <w:ind w:firstLine="0" w:firstLineChars="0"/>
        <w:jc w:val="center"/>
        <w:rPr>
          <w:rFonts w:hint="eastAsia"/>
          <w:b/>
          <w:bCs w:val="0"/>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3"/>
        <w:gridCol w:w="755"/>
        <w:gridCol w:w="753"/>
        <w:gridCol w:w="753"/>
        <w:gridCol w:w="756"/>
        <w:gridCol w:w="756"/>
        <w:gridCol w:w="766"/>
        <w:gridCol w:w="756"/>
        <w:gridCol w:w="756"/>
        <w:gridCol w:w="756"/>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1817"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总体资金情况（万元）</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885.98</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727.64</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727.64</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158.34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158.34</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门</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情</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况</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1.全年至少召开一次全区红十字理事会、监事会。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进一步加强组织建设，加大与会员单位的联系力度，指导会员单位结合自身资源优势与特点开展红十字工作和特色活动；加大对全区各级红十字组织专兼职干部、常务理事、监事、志愿者、信息员培训力度，提高红十字工作人员的职业化水平和创新能力、自律能力、服务能力，建设一支热爱事业、乐于奉献，精通业务、廉洁奉公的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3.充分发挥红十字组织作为党和政府在人道领域联系群众的桥梁和纽带作用，联系、组织社会各界慈善力量做好募捐工作，协助政府做好人道主义社会救助工作。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4.大力普及自救互救知识，全面提高辖区公众自救互救意识和知识技能，重点提高全区机关、企事业单位、社区居民，特别是学校和特殊行业从业人员应对灾害和突发事件的能力。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5.开展红十字青少年活动，在青少年中传播“人道、博爱、奉献”的红十字精神。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6.通过举办讲座、街头宣传等形式宣传无偿献血和造血干细胞捐献，招募造血干细胞捐献志愿者，对在库志愿者进行跟踪回访，努力扩充并保持中华造血干细胞捐献者资料库容量。做好配型成功的捐献志愿者的服务工作，为造血干细胞捐献和运送工作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7.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8.充分利用各种活动和纪念日，应用多种媒体，广泛宣传红十字运动、人道理念和红十字文化，营造良好舆论氛围，争取更多的社会爱心力量理解、支持、参与红十字事业。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7" w:type="pct"/>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04-红十字宣传传播/03-综合宣传</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订阅红十字一报一刊</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订《中国红十字报》《博爱》份数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5.8宣传活动</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开展活动次数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05-红十字组织建设/03-培训工作</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培训区各级红十字组织专兼职干部、常务理事、监事、志愿者、信息员</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对我区32名常务理事、5名监事、基层红十字专兼职干部和骨干志愿者举办培训班</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次</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08-应急救护知识普及/01-应急救护培训</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大力宣传普及应急救护知识</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全区红十字系统普及急救知识人数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10.11</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万人次</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全区红十字系统开展应急救护取证培训参与人数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取得各类红十字急救培训证书人数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提高区域内干部、群众、师生应对突发事件的综合能力。</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参训单位或人员满意度</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08-应急救护知识普及/04-应急救护能力建设</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为各级红十字组织、学校、重点行业、人群配备急救包</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配发急救用品、急救宣传品数量</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急救包质量</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11-志愿服务/01-红十字志愿服务</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干细胞捐献志愿者资料入库</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干细胞捐献志愿者资料入库人数</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开展红十字志愿服务活动</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全年志愿服务保障经费</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9.84</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全年志愿服务活动经费</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4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其他说明</w:t>
            </w:r>
          </w:p>
        </w:tc>
        <w:tc>
          <w:tcPr>
            <w:tcW w:w="4547" w:type="pct"/>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rPr>
        <w:sectPr>
          <w:pgSz w:w="11906" w:h="16838"/>
          <w:pgMar w:top="1440" w:right="1797" w:bottom="1440" w:left="1797" w:header="851" w:footer="992" w:gutter="0"/>
          <w:cols w:space="0" w:num="1"/>
          <w:rtlGutter w:val="0"/>
          <w:docGrid w:type="lines" w:linePitch="319" w:charSpace="0"/>
        </w:sectPr>
      </w:pPr>
      <w:bookmarkStart w:id="33" w:name="_GoBack"/>
      <w:bookmarkEnd w:id="33"/>
    </w:p>
    <w:p>
      <w:pPr>
        <w:pStyle w:val="4"/>
        <w:ind w:firstLine="0" w:firstLineChars="0"/>
        <w:jc w:val="center"/>
        <w:rPr>
          <w:rFonts w:hint="eastAsia" w:ascii="黑体" w:hAnsi="黑体" w:eastAsia="黑体" w:cs="黑体"/>
          <w:b w:val="0"/>
          <w:bCs/>
          <w:lang w:eastAsia="zh-CN"/>
        </w:rPr>
      </w:pPr>
      <w:bookmarkStart w:id="32" w:name="_Toc467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14表 </w:t>
      </w:r>
      <w:r>
        <w:rPr>
          <w:rFonts w:hint="eastAsia" w:ascii="黑体" w:hAnsi="黑体" w:eastAsia="黑体" w:cs="黑体"/>
          <w:b w:val="0"/>
          <w:bCs/>
          <w:lang w:eastAsia="zh-CN"/>
        </w:rPr>
        <w:t>项目支出绩效表</w:t>
      </w:r>
      <w:bookmarkEnd w:id="32"/>
    </w:p>
    <w:p>
      <w:r>
        <w:drawing>
          <wp:inline distT="0" distB="0" distL="114300" distR="114300">
            <wp:extent cx="5177155" cy="8273415"/>
            <wp:effectExtent l="0" t="0" r="4445" b="13335"/>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6"/>
                    <a:stretch>
                      <a:fillRect/>
                    </a:stretch>
                  </pic:blipFill>
                  <pic:spPr>
                    <a:xfrm>
                      <a:off x="0" y="0"/>
                      <a:ext cx="5177155" cy="8273415"/>
                    </a:xfrm>
                    <a:prstGeom prst="rect">
                      <a:avLst/>
                    </a:prstGeom>
                    <a:noFill/>
                    <a:ln>
                      <a:noFill/>
                    </a:ln>
                  </pic:spPr>
                </pic:pic>
              </a:graphicData>
            </a:graphic>
          </wp:inline>
        </w:drawing>
      </w:r>
    </w:p>
    <w:sectPr>
      <w:pgSz w:w="11906" w:h="16838"/>
      <w:pgMar w:top="1440" w:right="1797" w:bottom="1440" w:left="17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p>
    </w:sdtContent>
  </w:sdt>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Zjg3Njc5NWNhYTBjODNhNzA1ZGUwMDEzMGViMTkifQ=="/>
  </w:docVars>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27630"/>
    <w:rsid w:val="004347E1"/>
    <w:rsid w:val="00434976"/>
    <w:rsid w:val="004408BC"/>
    <w:rsid w:val="00440DAA"/>
    <w:rsid w:val="0044441D"/>
    <w:rsid w:val="004533F4"/>
    <w:rsid w:val="00454A1A"/>
    <w:rsid w:val="00457ADB"/>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330"/>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07794"/>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3778"/>
    <w:rsid w:val="00CD6432"/>
    <w:rsid w:val="00CD7338"/>
    <w:rsid w:val="00CE0739"/>
    <w:rsid w:val="00CE08FB"/>
    <w:rsid w:val="00CE65AC"/>
    <w:rsid w:val="00CE7035"/>
    <w:rsid w:val="00CF72E6"/>
    <w:rsid w:val="00CF764B"/>
    <w:rsid w:val="00D04366"/>
    <w:rsid w:val="00D07B2A"/>
    <w:rsid w:val="00D11755"/>
    <w:rsid w:val="00D26C51"/>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2C65"/>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200EC8"/>
    <w:rsid w:val="014203D1"/>
    <w:rsid w:val="018A6381"/>
    <w:rsid w:val="01A30CA6"/>
    <w:rsid w:val="01F61121"/>
    <w:rsid w:val="01F85CDC"/>
    <w:rsid w:val="01FD1236"/>
    <w:rsid w:val="024F12FE"/>
    <w:rsid w:val="03050704"/>
    <w:rsid w:val="043C5F8E"/>
    <w:rsid w:val="04911436"/>
    <w:rsid w:val="05390931"/>
    <w:rsid w:val="057552D3"/>
    <w:rsid w:val="06374623"/>
    <w:rsid w:val="06EA1515"/>
    <w:rsid w:val="06FA19CE"/>
    <w:rsid w:val="073D15CC"/>
    <w:rsid w:val="074439C8"/>
    <w:rsid w:val="07A105D1"/>
    <w:rsid w:val="07D14A60"/>
    <w:rsid w:val="08313BA4"/>
    <w:rsid w:val="083919CE"/>
    <w:rsid w:val="09134173"/>
    <w:rsid w:val="091B505B"/>
    <w:rsid w:val="0C5F3BAA"/>
    <w:rsid w:val="0C9E5B83"/>
    <w:rsid w:val="0CA152BE"/>
    <w:rsid w:val="0CDE4668"/>
    <w:rsid w:val="0CE61018"/>
    <w:rsid w:val="0D6675EE"/>
    <w:rsid w:val="0D700D5F"/>
    <w:rsid w:val="0D935DA9"/>
    <w:rsid w:val="0DAF2AF6"/>
    <w:rsid w:val="0DE44C68"/>
    <w:rsid w:val="0DE76893"/>
    <w:rsid w:val="0E033729"/>
    <w:rsid w:val="0E08358A"/>
    <w:rsid w:val="0E10315C"/>
    <w:rsid w:val="0E760CAD"/>
    <w:rsid w:val="0EA01593"/>
    <w:rsid w:val="0F342C25"/>
    <w:rsid w:val="0F3C1EB4"/>
    <w:rsid w:val="0F6D3415"/>
    <w:rsid w:val="0F847388"/>
    <w:rsid w:val="0FAF3EB9"/>
    <w:rsid w:val="0FB75AD9"/>
    <w:rsid w:val="0FEC13FA"/>
    <w:rsid w:val="11450A36"/>
    <w:rsid w:val="11497474"/>
    <w:rsid w:val="11720C6C"/>
    <w:rsid w:val="11804DAB"/>
    <w:rsid w:val="11CD0378"/>
    <w:rsid w:val="12144465"/>
    <w:rsid w:val="13686657"/>
    <w:rsid w:val="14915B9D"/>
    <w:rsid w:val="14A443BC"/>
    <w:rsid w:val="16B006DE"/>
    <w:rsid w:val="16F93AC7"/>
    <w:rsid w:val="182F0174"/>
    <w:rsid w:val="184C6FDF"/>
    <w:rsid w:val="187E5FEC"/>
    <w:rsid w:val="18851DD9"/>
    <w:rsid w:val="18C5372C"/>
    <w:rsid w:val="19753563"/>
    <w:rsid w:val="19D34174"/>
    <w:rsid w:val="19F92940"/>
    <w:rsid w:val="1A7F1B78"/>
    <w:rsid w:val="1AA621A8"/>
    <w:rsid w:val="1B281149"/>
    <w:rsid w:val="1B766E81"/>
    <w:rsid w:val="1B87224B"/>
    <w:rsid w:val="1B933A8D"/>
    <w:rsid w:val="1BB11AF5"/>
    <w:rsid w:val="1BB33460"/>
    <w:rsid w:val="1C397ACE"/>
    <w:rsid w:val="1C716FE3"/>
    <w:rsid w:val="1D000E79"/>
    <w:rsid w:val="1D6A471D"/>
    <w:rsid w:val="1EA81B10"/>
    <w:rsid w:val="1EB274F9"/>
    <w:rsid w:val="1F1A3617"/>
    <w:rsid w:val="1F4B68CC"/>
    <w:rsid w:val="20340B62"/>
    <w:rsid w:val="2074045F"/>
    <w:rsid w:val="210C6A10"/>
    <w:rsid w:val="21986266"/>
    <w:rsid w:val="22803E07"/>
    <w:rsid w:val="231C4773"/>
    <w:rsid w:val="236A6D03"/>
    <w:rsid w:val="23946814"/>
    <w:rsid w:val="245A7ECD"/>
    <w:rsid w:val="2463755B"/>
    <w:rsid w:val="24BF77D1"/>
    <w:rsid w:val="255E721C"/>
    <w:rsid w:val="258C2605"/>
    <w:rsid w:val="25B252C4"/>
    <w:rsid w:val="25C81C55"/>
    <w:rsid w:val="26D73716"/>
    <w:rsid w:val="271A0E36"/>
    <w:rsid w:val="274517C9"/>
    <w:rsid w:val="277C00F3"/>
    <w:rsid w:val="28277BD3"/>
    <w:rsid w:val="29612622"/>
    <w:rsid w:val="2A1A5F20"/>
    <w:rsid w:val="2A8703DF"/>
    <w:rsid w:val="2AB84B24"/>
    <w:rsid w:val="2ACD6E5A"/>
    <w:rsid w:val="2ACF4C27"/>
    <w:rsid w:val="2B2F299C"/>
    <w:rsid w:val="2BD12855"/>
    <w:rsid w:val="2C197BFF"/>
    <w:rsid w:val="2C565711"/>
    <w:rsid w:val="2C892158"/>
    <w:rsid w:val="2CFC5D5A"/>
    <w:rsid w:val="2CFE0A73"/>
    <w:rsid w:val="2E1D3973"/>
    <w:rsid w:val="2EBE0643"/>
    <w:rsid w:val="2EF52125"/>
    <w:rsid w:val="2F636810"/>
    <w:rsid w:val="2FFC4408"/>
    <w:rsid w:val="310D63FE"/>
    <w:rsid w:val="31E768BB"/>
    <w:rsid w:val="321C437D"/>
    <w:rsid w:val="328D12A4"/>
    <w:rsid w:val="336729C5"/>
    <w:rsid w:val="33D2699B"/>
    <w:rsid w:val="34413016"/>
    <w:rsid w:val="347F5D6D"/>
    <w:rsid w:val="3490464D"/>
    <w:rsid w:val="354F70FE"/>
    <w:rsid w:val="37023232"/>
    <w:rsid w:val="372F4799"/>
    <w:rsid w:val="37781BA5"/>
    <w:rsid w:val="37FF7772"/>
    <w:rsid w:val="381F0131"/>
    <w:rsid w:val="390025E6"/>
    <w:rsid w:val="391579FB"/>
    <w:rsid w:val="39AB6A48"/>
    <w:rsid w:val="39D00128"/>
    <w:rsid w:val="39DB5F83"/>
    <w:rsid w:val="3A2B1E1D"/>
    <w:rsid w:val="3A6F6283"/>
    <w:rsid w:val="3AE823CE"/>
    <w:rsid w:val="3B2A30E4"/>
    <w:rsid w:val="3B551709"/>
    <w:rsid w:val="3BD21F70"/>
    <w:rsid w:val="3C3D3176"/>
    <w:rsid w:val="3C5D06AA"/>
    <w:rsid w:val="3C6B59D1"/>
    <w:rsid w:val="3CE16CE8"/>
    <w:rsid w:val="3D257C7B"/>
    <w:rsid w:val="3D534B43"/>
    <w:rsid w:val="3D7E79F1"/>
    <w:rsid w:val="3DCB03A7"/>
    <w:rsid w:val="3E3100AD"/>
    <w:rsid w:val="3E447408"/>
    <w:rsid w:val="3E4D0AE9"/>
    <w:rsid w:val="3EAA4AF9"/>
    <w:rsid w:val="3FDA6FFF"/>
    <w:rsid w:val="40480434"/>
    <w:rsid w:val="4094677F"/>
    <w:rsid w:val="41A36E3C"/>
    <w:rsid w:val="41D63063"/>
    <w:rsid w:val="41E72ACE"/>
    <w:rsid w:val="41EA0DC1"/>
    <w:rsid w:val="42F4560B"/>
    <w:rsid w:val="43222685"/>
    <w:rsid w:val="43772091"/>
    <w:rsid w:val="437D26DC"/>
    <w:rsid w:val="43A8563D"/>
    <w:rsid w:val="45451747"/>
    <w:rsid w:val="45464746"/>
    <w:rsid w:val="45B47DEE"/>
    <w:rsid w:val="45D251D8"/>
    <w:rsid w:val="45F8448C"/>
    <w:rsid w:val="46224AC9"/>
    <w:rsid w:val="46BF5A68"/>
    <w:rsid w:val="46DA091D"/>
    <w:rsid w:val="46FF216D"/>
    <w:rsid w:val="473014C4"/>
    <w:rsid w:val="47312FB0"/>
    <w:rsid w:val="474F38BC"/>
    <w:rsid w:val="476615BC"/>
    <w:rsid w:val="47842E74"/>
    <w:rsid w:val="47AE6F47"/>
    <w:rsid w:val="482E3EC8"/>
    <w:rsid w:val="486929ED"/>
    <w:rsid w:val="48A26623"/>
    <w:rsid w:val="49F42A9C"/>
    <w:rsid w:val="4A7E79D7"/>
    <w:rsid w:val="4AA63258"/>
    <w:rsid w:val="4B7A2A12"/>
    <w:rsid w:val="4B9E4ED4"/>
    <w:rsid w:val="4C1B2975"/>
    <w:rsid w:val="4C88763C"/>
    <w:rsid w:val="4D0E689A"/>
    <w:rsid w:val="4DC61B7E"/>
    <w:rsid w:val="4E733DF7"/>
    <w:rsid w:val="4EE82CDC"/>
    <w:rsid w:val="4EFB6F56"/>
    <w:rsid w:val="4F2A16D3"/>
    <w:rsid w:val="4F84386E"/>
    <w:rsid w:val="4FC12FCD"/>
    <w:rsid w:val="51081827"/>
    <w:rsid w:val="51675575"/>
    <w:rsid w:val="517B61BE"/>
    <w:rsid w:val="51FF0FAF"/>
    <w:rsid w:val="52030277"/>
    <w:rsid w:val="52666914"/>
    <w:rsid w:val="53464968"/>
    <w:rsid w:val="543023F3"/>
    <w:rsid w:val="547E6F5D"/>
    <w:rsid w:val="54CA05A6"/>
    <w:rsid w:val="54F55E12"/>
    <w:rsid w:val="54FA12B7"/>
    <w:rsid w:val="55492752"/>
    <w:rsid w:val="55F71D73"/>
    <w:rsid w:val="561B14EA"/>
    <w:rsid w:val="566E5F5F"/>
    <w:rsid w:val="56D72F63"/>
    <w:rsid w:val="56F21649"/>
    <w:rsid w:val="573E7E5F"/>
    <w:rsid w:val="578930D5"/>
    <w:rsid w:val="58223CA7"/>
    <w:rsid w:val="58705404"/>
    <w:rsid w:val="5889654F"/>
    <w:rsid w:val="588A1E3D"/>
    <w:rsid w:val="58C92538"/>
    <w:rsid w:val="58FF36F2"/>
    <w:rsid w:val="59C7415A"/>
    <w:rsid w:val="59D17B27"/>
    <w:rsid w:val="5BB206AB"/>
    <w:rsid w:val="5C994203"/>
    <w:rsid w:val="5DC46EA1"/>
    <w:rsid w:val="5DEE1399"/>
    <w:rsid w:val="5EB662D8"/>
    <w:rsid w:val="5F3F57FD"/>
    <w:rsid w:val="5FFA29D6"/>
    <w:rsid w:val="602A3154"/>
    <w:rsid w:val="605C51B8"/>
    <w:rsid w:val="606B349E"/>
    <w:rsid w:val="610A2898"/>
    <w:rsid w:val="61994561"/>
    <w:rsid w:val="621E412A"/>
    <w:rsid w:val="62771E80"/>
    <w:rsid w:val="62B2513E"/>
    <w:rsid w:val="62B252F4"/>
    <w:rsid w:val="62F331E2"/>
    <w:rsid w:val="63A74535"/>
    <w:rsid w:val="646C13AF"/>
    <w:rsid w:val="64B91578"/>
    <w:rsid w:val="64D577B1"/>
    <w:rsid w:val="65017861"/>
    <w:rsid w:val="65303AB3"/>
    <w:rsid w:val="657B13F8"/>
    <w:rsid w:val="65972B56"/>
    <w:rsid w:val="659A2793"/>
    <w:rsid w:val="65B84FD6"/>
    <w:rsid w:val="65BC7198"/>
    <w:rsid w:val="65F30EB7"/>
    <w:rsid w:val="662F5CA4"/>
    <w:rsid w:val="66527633"/>
    <w:rsid w:val="66692AC0"/>
    <w:rsid w:val="66C40DA9"/>
    <w:rsid w:val="66E45853"/>
    <w:rsid w:val="673E54E3"/>
    <w:rsid w:val="673E64B2"/>
    <w:rsid w:val="675E40E0"/>
    <w:rsid w:val="677B1BBD"/>
    <w:rsid w:val="677D7010"/>
    <w:rsid w:val="697E09D0"/>
    <w:rsid w:val="69D308BF"/>
    <w:rsid w:val="69E106C4"/>
    <w:rsid w:val="6A6D6F89"/>
    <w:rsid w:val="6AA642EE"/>
    <w:rsid w:val="6AF34387"/>
    <w:rsid w:val="6B625A72"/>
    <w:rsid w:val="6BFB7C75"/>
    <w:rsid w:val="6C156F89"/>
    <w:rsid w:val="6D023046"/>
    <w:rsid w:val="6D232AE3"/>
    <w:rsid w:val="6D454CC3"/>
    <w:rsid w:val="6DB05231"/>
    <w:rsid w:val="6E424E76"/>
    <w:rsid w:val="6E6C224E"/>
    <w:rsid w:val="6ECD24F2"/>
    <w:rsid w:val="6EDA1ADE"/>
    <w:rsid w:val="6FC91F0C"/>
    <w:rsid w:val="70754723"/>
    <w:rsid w:val="70A52CD7"/>
    <w:rsid w:val="70B145D0"/>
    <w:rsid w:val="70DE2439"/>
    <w:rsid w:val="719C547C"/>
    <w:rsid w:val="71FA64F2"/>
    <w:rsid w:val="72383E87"/>
    <w:rsid w:val="725B79F5"/>
    <w:rsid w:val="72BA3E75"/>
    <w:rsid w:val="73D77352"/>
    <w:rsid w:val="74807ECA"/>
    <w:rsid w:val="749566D1"/>
    <w:rsid w:val="75542A4A"/>
    <w:rsid w:val="756B1EDB"/>
    <w:rsid w:val="7598417C"/>
    <w:rsid w:val="76182881"/>
    <w:rsid w:val="78C531CA"/>
    <w:rsid w:val="796E3EA9"/>
    <w:rsid w:val="79D030E6"/>
    <w:rsid w:val="79D044EF"/>
    <w:rsid w:val="7A8F1EF5"/>
    <w:rsid w:val="7A9479AC"/>
    <w:rsid w:val="7AE71ED8"/>
    <w:rsid w:val="7B0363E5"/>
    <w:rsid w:val="7B3311D9"/>
    <w:rsid w:val="7BE57490"/>
    <w:rsid w:val="7C222D79"/>
    <w:rsid w:val="7C324A7E"/>
    <w:rsid w:val="7C487629"/>
    <w:rsid w:val="7D2D0A25"/>
    <w:rsid w:val="7D830F78"/>
    <w:rsid w:val="7E1532BF"/>
    <w:rsid w:val="7E6028D7"/>
    <w:rsid w:val="7ED11769"/>
    <w:rsid w:val="7ED14D22"/>
    <w:rsid w:val="7F754BC9"/>
    <w:rsid w:val="7F8D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qFormat/>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eastAsia" w:ascii="宋体" w:hAnsi="宋体" w:eastAsia="宋体" w:cs="宋体"/>
      <w:color w:val="000000"/>
      <w:sz w:val="18"/>
      <w:szCs w:val="18"/>
      <w:u w:val="none"/>
    </w:rPr>
  </w:style>
  <w:style w:type="character" w:customStyle="1" w:styleId="25">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oleObject" Target="embeddings/oleObject1.bin"/><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43144-A659-495C-AB10-C38AD38AE2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2684</Words>
  <Characters>15299</Characters>
  <Lines>127</Lines>
  <Paragraphs>35</Paragraphs>
  <TotalTime>847</TotalTime>
  <ScaleCrop>false</ScaleCrop>
  <LinksUpToDate>false</LinksUpToDate>
  <CharactersWithSpaces>17948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陌上花开</cp:lastModifiedBy>
  <cp:lastPrinted>2024-02-02T01:38:01Z</cp:lastPrinted>
  <dcterms:modified xsi:type="dcterms:W3CDTF">2024-02-02T01:39:37Z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EDCD7145A76742829F6931734C9FF77D_12</vt:lpwstr>
  </property>
</Properties>
</file>