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北京市西城人力资源和社会保障局（本级）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2024</w:t>
      </w:r>
      <w:r>
        <w:rPr>
          <w:rFonts w:hint="eastAsia" w:ascii="宋体" w:hAnsi="宋体" w:cs="宋体"/>
          <w:b/>
          <w:bCs/>
          <w:sz w:val="44"/>
          <w:szCs w:val="44"/>
        </w:rPr>
        <w:t>年部门预算</w:t>
      </w: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公开目录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一、部门主要职责及机构设置情况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（二）人员构成情况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（三）本预算年度的主要工作任务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年部门预算收支及增减变化情况说明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（一）收入预算说明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（二）支出预算说明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四、部门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经费财政拨款预算说明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经费的单位范围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经费预算财政拨款情况说明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五、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年政府基金政府性基金预算财政拨款收入支出说明</w:t>
      </w:r>
    </w:p>
    <w:p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六、其他情况说明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（一）机关运行经费说明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（二）政府采购预算说明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（三）政府购买服务预算说明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（五）国有资本经营预算财政拨款情况说明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（六）国有资产占用情况说明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（七）重点行政事业性收费情况说明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七、名称解释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第二部分、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年部门预算表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表十四、部门整体支出绩效目标申报表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pStyle w:val="2"/>
      </w:pPr>
    </w:p>
    <w:p>
      <w:pPr>
        <w:rPr>
          <w:rFonts w:ascii="仿宋_GB2312" w:hAnsi="楷体" w:eastAsia="仿宋_GB2312"/>
          <w:sz w:val="32"/>
          <w:szCs w:val="32"/>
        </w:rPr>
      </w:pPr>
    </w:p>
    <w:p>
      <w:pPr>
        <w:rPr>
          <w:rFonts w:ascii="仿宋_GB2312" w:hAnsi="楷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7753"/>
    <w:rsid w:val="53761531"/>
    <w:rsid w:val="585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2024-01-31T03:07:00Z</dcterms:created>
  <dc:creator>于冬梅</dc:creator>
  <cp:lastModifiedBy>于冬梅</cp:lastModifiedBy>
  <dcterms:modified xsi:type="dcterms:W3CDTF">2024-02-01T07:22:58Z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