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44"/>
          <w:szCs w:val="44"/>
        </w:rPr>
      </w:pPr>
      <w:r>
        <w:rPr>
          <w:rFonts w:hint="eastAsia" w:ascii="宋体" w:hAnsi="宋体" w:cs="宋体"/>
          <w:b/>
          <w:bCs/>
          <w:sz w:val="44"/>
          <w:szCs w:val="44"/>
        </w:rPr>
        <w:t>北京市西城人力资源和社会保障局（本级）</w:t>
      </w:r>
    </w:p>
    <w:p>
      <w:pPr>
        <w:jc w:val="center"/>
        <w:rPr>
          <w:rFonts w:ascii="仿宋_GB2312" w:hAnsi="楷体" w:eastAsia="仿宋_GB2312"/>
          <w:sz w:val="32"/>
          <w:szCs w:val="32"/>
        </w:rPr>
      </w:pPr>
      <w:r>
        <w:rPr>
          <w:rFonts w:hint="eastAsia" w:ascii="宋体" w:hAnsi="宋体" w:cs="宋体"/>
          <w:b/>
          <w:bCs/>
          <w:sz w:val="44"/>
          <w:szCs w:val="44"/>
          <w:lang w:eastAsia="zh-CN"/>
        </w:rPr>
        <w:t>2024</w:t>
      </w:r>
      <w:r>
        <w:rPr>
          <w:rFonts w:hint="eastAsia" w:ascii="宋体" w:hAnsi="宋体" w:cs="宋体"/>
          <w:b/>
          <w:bCs/>
          <w:sz w:val="44"/>
          <w:szCs w:val="44"/>
        </w:rPr>
        <w:t>年部门预算</w:t>
      </w:r>
    </w:p>
    <w:p>
      <w:pPr>
        <w:rPr>
          <w:rFonts w:ascii="宋体"/>
          <w:b/>
          <w:bCs/>
          <w:sz w:val="36"/>
          <w:szCs w:val="36"/>
        </w:rPr>
      </w:pPr>
    </w:p>
    <w:p>
      <w:pPr>
        <w:jc w:val="center"/>
        <w:rPr>
          <w:rFonts w:ascii="楷体" w:hAnsi="楷体" w:eastAsia="楷体"/>
          <w:b/>
          <w:bCs/>
          <w:sz w:val="36"/>
          <w:szCs w:val="36"/>
        </w:rPr>
      </w:pPr>
      <w:r>
        <w:rPr>
          <w:rFonts w:hint="eastAsia" w:ascii="楷体" w:hAnsi="楷体" w:eastAsia="楷体" w:cs="楷体"/>
          <w:b/>
          <w:bCs/>
          <w:sz w:val="36"/>
          <w:szCs w:val="36"/>
        </w:rPr>
        <w:t>第一部分</w:t>
      </w:r>
      <w:r>
        <w:rPr>
          <w:rFonts w:ascii="楷体" w:hAnsi="楷体" w:eastAsia="楷体" w:cs="楷体"/>
          <w:b/>
          <w:bCs/>
          <w:sz w:val="36"/>
          <w:szCs w:val="36"/>
        </w:rPr>
        <w:t xml:space="preserve">  </w:t>
      </w:r>
      <w:r>
        <w:rPr>
          <w:rFonts w:hint="eastAsia" w:ascii="楷体" w:hAnsi="楷体" w:eastAsia="楷体" w:cs="楷体"/>
          <w:b/>
          <w:bCs/>
          <w:sz w:val="36"/>
          <w:szCs w:val="36"/>
          <w:lang w:eastAsia="zh-CN"/>
        </w:rPr>
        <w:t>2024</w:t>
      </w:r>
      <w:r>
        <w:rPr>
          <w:rFonts w:hint="eastAsia" w:ascii="楷体" w:hAnsi="楷体" w:eastAsia="楷体" w:cs="楷体"/>
          <w:b/>
          <w:bCs/>
          <w:sz w:val="36"/>
          <w:szCs w:val="36"/>
        </w:rPr>
        <w:t>年部门预算情况说明</w:t>
      </w:r>
    </w:p>
    <w:p>
      <w:pPr>
        <w:rPr>
          <w:rFonts w:ascii="仿宋_GB2312" w:eastAsia="仿宋_GB2312"/>
          <w:b/>
          <w:bCs/>
          <w:sz w:val="32"/>
          <w:szCs w:val="32"/>
        </w:rPr>
      </w:pPr>
    </w:p>
    <w:p>
      <w:pPr>
        <w:spacing w:line="560" w:lineRule="exact"/>
        <w:ind w:firstLine="602" w:firstLineChars="200"/>
        <w:rPr>
          <w:rFonts w:ascii="黑体" w:hAnsi="黑体" w:eastAsia="黑体"/>
          <w:b/>
          <w:bCs/>
          <w:color w:val="000000"/>
          <w:sz w:val="30"/>
          <w:szCs w:val="30"/>
        </w:rPr>
      </w:pPr>
      <w:r>
        <w:rPr>
          <w:rFonts w:hint="eastAsia" w:ascii="黑体" w:hAnsi="黑体" w:eastAsia="黑体" w:cs="黑体"/>
          <w:b/>
          <w:bCs/>
          <w:sz w:val="30"/>
          <w:szCs w:val="30"/>
        </w:rPr>
        <w:t>一、</w:t>
      </w:r>
      <w:r>
        <w:rPr>
          <w:rFonts w:hint="eastAsia" w:ascii="黑体" w:hAnsi="黑体" w:eastAsia="黑体" w:cs="黑体"/>
          <w:b/>
          <w:bCs/>
          <w:color w:val="000000"/>
          <w:sz w:val="30"/>
          <w:szCs w:val="30"/>
        </w:rPr>
        <w:t>部门主要职责及机构设置情况</w:t>
      </w:r>
    </w:p>
    <w:p>
      <w:pPr>
        <w:spacing w:line="360" w:lineRule="auto"/>
        <w:ind w:firstLine="640" w:firstLineChars="200"/>
        <w:rPr>
          <w:rFonts w:ascii="仿宋" w:hAnsi="仿宋" w:eastAsia="仿宋"/>
          <w:sz w:val="32"/>
          <w:szCs w:val="32"/>
        </w:rPr>
      </w:pPr>
      <w:r>
        <w:rPr>
          <w:rFonts w:hint="eastAsia" w:ascii="仿宋" w:hAnsi="仿宋" w:eastAsia="仿宋" w:cs="仿宋"/>
          <w:sz w:val="32"/>
          <w:szCs w:val="32"/>
        </w:rPr>
        <w:t>（一）部门机构设置、职责</w:t>
      </w:r>
    </w:p>
    <w:p>
      <w:pPr>
        <w:spacing w:line="360" w:lineRule="auto"/>
        <w:ind w:firstLine="640" w:firstLineChars="200"/>
        <w:rPr>
          <w:rFonts w:ascii="仿宋" w:hAnsi="仿宋" w:eastAsia="仿宋"/>
          <w:sz w:val="32"/>
          <w:szCs w:val="32"/>
        </w:rPr>
      </w:pPr>
      <w:r>
        <w:rPr>
          <w:rFonts w:ascii="仿宋" w:hAnsi="仿宋" w:eastAsia="仿宋" w:cs="仿宋"/>
          <w:sz w:val="32"/>
          <w:szCs w:val="32"/>
        </w:rPr>
        <w:t xml:space="preserve">1. </w:t>
      </w:r>
      <w:r>
        <w:rPr>
          <w:rFonts w:hint="eastAsia" w:ascii="仿宋" w:hAnsi="仿宋" w:eastAsia="仿宋" w:cs="仿宋"/>
          <w:sz w:val="32"/>
          <w:szCs w:val="32"/>
        </w:rPr>
        <w:t>机构设置</w:t>
      </w:r>
    </w:p>
    <w:p>
      <w:pPr>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内设机构：区人力社保局设20个内设机构。</w:t>
      </w:r>
    </w:p>
    <w:p>
      <w:pPr>
        <w:spacing w:line="360" w:lineRule="auto"/>
        <w:ind w:firstLine="640" w:firstLineChars="200"/>
        <w:rPr>
          <w:rFonts w:ascii="仿宋" w:hAnsi="仿宋" w:eastAsia="仿宋"/>
          <w:sz w:val="32"/>
          <w:szCs w:val="32"/>
        </w:rPr>
      </w:pPr>
      <w:r>
        <w:rPr>
          <w:rFonts w:ascii="仿宋" w:hAnsi="仿宋" w:eastAsia="仿宋" w:cs="仿宋"/>
          <w:sz w:val="32"/>
          <w:szCs w:val="32"/>
        </w:rPr>
        <w:t xml:space="preserve">2. </w:t>
      </w:r>
      <w:r>
        <w:rPr>
          <w:rFonts w:hint="eastAsia" w:ascii="仿宋" w:hAnsi="仿宋" w:eastAsia="仿宋" w:cs="仿宋"/>
          <w:sz w:val="32"/>
          <w:szCs w:val="32"/>
        </w:rPr>
        <w:t>职责：</w:t>
      </w:r>
    </w:p>
    <w:p>
      <w:pPr>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贯彻国家关于人力资源和社会保障方面的法律法规、规章、政策和北京市的相关规定。研究制定本区人力资源和社会保障管理方面的管理措施。拟订本区人力资源和社会保障事业发展规划，并组织实施和监督检查。</w:t>
      </w:r>
    </w:p>
    <w:p>
      <w:pPr>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（2）负责拟订并组织实施本区人力资源市场发展规划，依法管理人力资源市场，促进人力资源合理流动、有效配置。</w:t>
      </w:r>
    </w:p>
    <w:p>
      <w:pPr>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负责本区促进就业工作，完善公共就业服务体系，落实就业创业及就业援助政策。实行职业资格证书制度相关政策，实施面向劳动者的职业培训制度。贯彻高校毕业生就业政策以及技能人才的培养和激励政策。</w:t>
      </w:r>
    </w:p>
    <w:p>
      <w:pPr>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（4）负责管理辖区养老、失业、工伤保险工作。贯彻社会保险规定。指导本区社会保险经办机构依法开展社会保险具体工作。负责对社会保险基金的收支、管理情况进行监督检查。</w:t>
      </w:r>
    </w:p>
    <w:p>
      <w:pPr>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负责本区机关事业单位人员工资、福利和分配制度改革工作。贯彻机关事业单位工作人员工资、福利、津贴和补贴政策。落实机关企事业单位工作人员工资增长和支付保障机制。执行机关事业单位工作人员离退休政策。</w:t>
      </w:r>
    </w:p>
    <w:p>
      <w:pPr>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负责会同有关部门指导本区事业单位人事制度改革。管理本区专业技术职称工作。贯彻专业技术人员管理和继续教育政策。落实本区事业单位人员和机关工勤人员管理政策。落实博士后管理制度。负责积分落户工作。</w:t>
      </w:r>
    </w:p>
    <w:p>
      <w:pPr>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（7）负责高层次人才选拔、培养和管理服务。负责引进国外智力工作。参与本区人才管理工作。</w:t>
      </w:r>
    </w:p>
    <w:p>
      <w:pPr>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（8）负责承担以区委、区政府名义及各系统表彰、奖励的管理工作。负责中央和北京市级表彰、奖励或授予荣誉称号的区级人选推荐管理工作。负责承办区政府授权管理的人事任免相关事项。</w:t>
      </w:r>
    </w:p>
    <w:p>
      <w:pPr>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(9）负责贯彻劳动关系政策。完善劳动关系协调机制。负责落实企业工资政策。指导本区劳动人事争议调解仲裁工作。组织实施劳动保障监察，依法纠正和查处违反劳动保障法律、法规或者规章的行为，落实各项童工、未成年工和女职工劳动保护政策。</w:t>
      </w:r>
    </w:p>
    <w:p>
      <w:pPr>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（10）按照“管行业必须管安全、管业务必须管安全、管生产经营必须管安全”的要求，承担相关安全生产工作职责。</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（11）完成区委、区政府交办的其他任务。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（二）人员构成情况</w:t>
      </w:r>
    </w:p>
    <w:p>
      <w:pPr>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北京市西城区人力资源和社会保障局本级编制208人，其中：行政（含工勤、参公）编制193人；事业编制15人；实际174人，其中：行政（含工勤、参公）165人、事业9人。离退休162人，其中：离休5人；退休157人。长期聘用临时工59人。</w:t>
      </w:r>
    </w:p>
    <w:p>
      <w:pPr>
        <w:pStyle w:val="5"/>
        <w:numPr>
          <w:numId w:val="0"/>
        </w:numPr>
        <w:spacing w:line="360" w:lineRule="auto"/>
        <w:ind w:left="640" w:leftChars="0"/>
        <w:rPr>
          <w:rFonts w:ascii="仿宋" w:hAnsi="仿宋" w:eastAsia="仿宋" w:cs="仿宋"/>
          <w:sz w:val="32"/>
          <w:szCs w:val="32"/>
        </w:rPr>
      </w:pPr>
      <w:r>
        <w:rPr>
          <w:rFonts w:hint="eastAsia" w:ascii="仿宋" w:hAnsi="仿宋" w:eastAsia="仿宋" w:cs="仿宋"/>
          <w:sz w:val="32"/>
          <w:szCs w:val="32"/>
          <w:lang w:val="en-US" w:eastAsia="zh-CN"/>
        </w:rPr>
        <w:t>(三）</w:t>
      </w:r>
      <w:bookmarkStart w:id="6" w:name="_GoBack"/>
      <w:bookmarkEnd w:id="6"/>
      <w:r>
        <w:rPr>
          <w:rFonts w:hint="eastAsia" w:ascii="仿宋" w:hAnsi="仿宋" w:eastAsia="仿宋" w:cs="仿宋"/>
          <w:sz w:val="32"/>
          <w:szCs w:val="32"/>
        </w:rPr>
        <w:t>本预算年度的主要工作任务</w:t>
      </w:r>
    </w:p>
    <w:p>
      <w:pPr>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2024 年是新中国成立 75 周年，是习近平总书记对北京发表“2.26”重要讲话十周年，是实施“十四五”规划的关键一年。人力社保工作坚持以习近平新时代中国特色社会主义思想为指导，求实创新、砥砺奋进，以服务区域经济社会高质量发展、服务百姓生活幸福为主线，以“红墙先锋”新作为守护群众“红墙边”的幸福，以“首善之首”高标准打造业美就在西城新篇章，持续锻造“活力人社、品质人社、创新人社”，为中国式现代化西城实践贡献更大的人社力量。</w:t>
      </w:r>
    </w:p>
    <w:p>
      <w:pPr>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坚持旗帜鲜明讲政治，强化思想建设和政治建设。严格落实民主集中制、重大事项请示报告、“三重一大”制度，严明政治纪律和政治规矩，坚决防止“七个有之”。全面贯彻落实党的二十大精神，深化主题教育成果，推动学习贯彻习近平新时代中国特色社会主义思想常态化，组织党员干部深入学、系统学，切实在学懂弄通做实上下功夫。</w:t>
      </w:r>
    </w:p>
    <w:p>
      <w:pPr>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2、更加突出就业优先导向，促进高质量充分就业。持续争创北京市充分就业区，登记失业率控制在 3.5%以内。稳保重点群体就业，帮扶不少于 1.1 万名登记失业人员就业，对高校毕业生分类指导、精准施策，确保帮扶率 100%。试点打造“一刻钟”就业服务圈，构建“家门口”“楼门口”就业模式，探索“市场化+公共服务”融合机制，持续优化就业环境。完善“红黄蓝”服务系统，实现人岗精准匹配、校企信息精准对接、政策精准触达。打造“双创服务综合体”，助推符合西城产业导向的优质项目落地转化。</w:t>
      </w:r>
    </w:p>
    <w:p>
      <w:pPr>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完善多层次社会保障体系，深化社保制度改革。健全多支柱养老保险制度，稳步推动养老保险重大改革任务落实落地。探索建立“办事咨询+材料受理+业务经办”一体化窗口，力争实现社保业务“一窗通办”。加快推进民生卡“多卡合一”改革试点，拓展金融服务功能，提升社保服务智能化、便捷化水平。巩固社保基金治理成果，保障基金安全平稳运行。</w:t>
      </w:r>
    </w:p>
    <w:p>
      <w:pPr>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强化人才“培优育强”，提升人才人事工作质效。深化职称制度改革，积极承接金融、金融科技、数字经济等高级职称评审权。强化高层次人才平台建设，支持重点领域企业申报博士后工作站。抓好高技能人才培养体系、培育载体建设，强化以赛代训、以赛育才，技能人才总量增速不低于 5%。组织开展事业单位“选培生”招聘，重点招聘符合区域战略定位和发展需要的专业人才。</w:t>
      </w:r>
    </w:p>
    <w:p>
      <w:pPr>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多元维护合法权益，构建和谐劳动关系。实施构建和谐劳动关系微循环工程，打造符合区域特色特点的三方工作服务站。丰富劳动关系公共服务供给，对重点企业开展用工体检、问诊服务，规范企业用工。深化“243”机制成果，在用工复杂、争议高发的保安和劳务派遣行业探索建立欠薪问题协调机制。加快基层调解组织建设，实现劳动争议就近调解、矛盾纠纷就地解决。</w:t>
      </w:r>
    </w:p>
    <w:p>
      <w:pPr>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打造优质服务样板，持续优化营商环境。围绕“4+N”产业发展方向，着力推动人社服务向重点行业、重点园区和重点商圈扩面覆盖，依托政务服务站、“业美就在西城”人力资源服务团、行业调解组织等，就近为企业提供社保经办、政策指导、多元调解服务。</w:t>
      </w:r>
    </w:p>
    <w:p>
      <w:pPr>
        <w:spacing w:line="360" w:lineRule="auto"/>
        <w:ind w:firstLine="640" w:firstLineChars="200"/>
        <w:rPr>
          <w:rFonts w:ascii="仿宋" w:hAnsi="仿宋" w:eastAsia="仿宋" w:cs="仿宋"/>
          <w:sz w:val="32"/>
          <w:szCs w:val="32"/>
        </w:rPr>
      </w:pPr>
      <w:r>
        <w:rPr>
          <w:rFonts w:hint="eastAsia" w:ascii="仿宋_GB2312" w:hAnsi="仿宋" w:eastAsia="仿宋_GB2312"/>
          <w:sz w:val="32"/>
          <w:szCs w:val="32"/>
          <w:lang w:val="en-US" w:eastAsia="zh-CN"/>
        </w:rPr>
        <w:t>7、切实压紧压实责任，纵深推进全面从严治党。持续抓好全程纪实制度、约谈制度的落实，督促各级认真落实谈心谈话制度，用好“第一种形态”，让批评与自我批评，咬耳扯袖、红脸出汗成为常态。加强常态化的执纪监督，坚持抓实抓小，严肃查处违纪违规问题。</w:t>
      </w:r>
    </w:p>
    <w:p>
      <w:pPr>
        <w:spacing w:line="360" w:lineRule="auto"/>
        <w:ind w:firstLine="600" w:firstLineChars="200"/>
        <w:outlineLvl w:val="0"/>
        <w:rPr>
          <w:rFonts w:ascii="黑体" w:hAnsi="黑体" w:eastAsia="黑体"/>
          <w:sz w:val="30"/>
          <w:szCs w:val="30"/>
        </w:rPr>
      </w:pPr>
      <w:r>
        <w:rPr>
          <w:rFonts w:hint="eastAsia" w:ascii="黑体" w:hAnsi="黑体" w:eastAsia="黑体" w:cs="黑体"/>
          <w:sz w:val="30"/>
          <w:szCs w:val="30"/>
        </w:rPr>
        <w:t>二、</w:t>
      </w:r>
      <w:r>
        <w:rPr>
          <w:rFonts w:hint="eastAsia" w:ascii="黑体" w:hAnsi="黑体" w:eastAsia="黑体" w:cs="黑体"/>
          <w:sz w:val="30"/>
          <w:szCs w:val="30"/>
          <w:lang w:eastAsia="zh-CN"/>
        </w:rPr>
        <w:t>2024</w:t>
      </w:r>
      <w:r>
        <w:rPr>
          <w:rFonts w:hint="eastAsia" w:ascii="黑体" w:hAnsi="黑体" w:eastAsia="黑体" w:cs="黑体"/>
          <w:sz w:val="30"/>
          <w:szCs w:val="30"/>
        </w:rPr>
        <w:t>年部门预算收支及增减变化情况说明</w:t>
      </w:r>
    </w:p>
    <w:p>
      <w:pPr>
        <w:spacing w:line="360" w:lineRule="auto"/>
        <w:ind w:firstLine="640" w:firstLineChars="200"/>
        <w:outlineLvl w:val="0"/>
        <w:rPr>
          <w:rFonts w:ascii="仿宋" w:hAnsi="仿宋" w:eastAsia="仿宋"/>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收入预算说明</w:t>
      </w:r>
    </w:p>
    <w:p>
      <w:pPr>
        <w:spacing w:line="360" w:lineRule="auto"/>
        <w:ind w:firstLine="640" w:firstLineChars="200"/>
        <w:outlineLvl w:val="0"/>
        <w:rPr>
          <w:rFonts w:ascii="仿宋" w:hAnsi="仿宋" w:eastAsia="仿宋" w:cs="仿宋"/>
          <w:sz w:val="32"/>
          <w:szCs w:val="32"/>
        </w:rPr>
      </w:pPr>
      <w:r>
        <w:rPr>
          <w:rFonts w:hint="eastAsia" w:ascii="仿宋" w:hAnsi="仿宋" w:eastAsia="仿宋" w:cs="仿宋"/>
          <w:sz w:val="32"/>
          <w:szCs w:val="32"/>
        </w:rPr>
        <w:t>2024年收入预算9,583.53万元，其中:一般公共预算财政拨款9,583.53万元，市级提前下达专项转移支付项目资金0万元。比2023年收入预算10,122.38万元减少了538.85万元,减幅5.32%</w:t>
      </w:r>
      <w:r>
        <w:rPr>
          <w:rFonts w:hint="eastAsia" w:ascii="仿宋" w:hAnsi="仿宋" w:eastAsia="仿宋" w:cs="仿宋"/>
          <w:sz w:val="32"/>
          <w:szCs w:val="32"/>
          <w:lang w:eastAsia="zh-CN"/>
        </w:rPr>
        <w:t>，</w:t>
      </w:r>
      <w:r>
        <w:rPr>
          <w:rFonts w:hint="eastAsia" w:ascii="仿宋" w:hAnsi="仿宋" w:eastAsia="仿宋" w:cs="仿宋"/>
          <w:sz w:val="32"/>
          <w:szCs w:val="32"/>
        </w:rPr>
        <w:t>主要原因是职业技能培训补贴</w:t>
      </w:r>
      <w:r>
        <w:rPr>
          <w:rFonts w:hint="eastAsia" w:ascii="仿宋" w:hAnsi="仿宋" w:eastAsia="仿宋" w:cs="仿宋"/>
          <w:sz w:val="32"/>
          <w:szCs w:val="32"/>
          <w:lang w:eastAsia="zh-CN"/>
        </w:rPr>
        <w:t>项目经费减少</w:t>
      </w:r>
      <w:r>
        <w:rPr>
          <w:rFonts w:hint="eastAsia" w:ascii="仿宋" w:hAnsi="仿宋" w:eastAsia="仿宋" w:cs="仿宋"/>
          <w:sz w:val="32"/>
          <w:szCs w:val="32"/>
        </w:rPr>
        <w:t>、就业大厦装修二期项目</w:t>
      </w:r>
      <w:r>
        <w:rPr>
          <w:rFonts w:hint="eastAsia" w:ascii="仿宋" w:hAnsi="仿宋" w:eastAsia="仿宋" w:cs="仿宋"/>
          <w:sz w:val="32"/>
          <w:szCs w:val="32"/>
          <w:lang w:eastAsia="zh-CN"/>
        </w:rPr>
        <w:t>完工</w:t>
      </w:r>
      <w:r>
        <w:rPr>
          <w:rFonts w:hint="eastAsia" w:ascii="仿宋" w:hAnsi="仿宋" w:eastAsia="仿宋" w:cs="仿宋"/>
          <w:sz w:val="32"/>
          <w:szCs w:val="32"/>
        </w:rPr>
        <w:t>。</w:t>
      </w:r>
    </w:p>
    <w:p>
      <w:pPr>
        <w:spacing w:line="360" w:lineRule="auto"/>
        <w:ind w:firstLine="640" w:firstLineChars="200"/>
        <w:outlineLvl w:val="0"/>
        <w:rPr>
          <w:rFonts w:ascii="仿宋" w:hAnsi="仿宋" w:eastAsia="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支出预算说明</w:t>
      </w:r>
    </w:p>
    <w:p>
      <w:pPr>
        <w:ind w:firstLine="640" w:firstLineChars="200"/>
        <w:rPr>
          <w:rFonts w:ascii="仿宋" w:hAnsi="仿宋" w:eastAsia="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年支出预算按用途划分：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1、基本支出预算7,066.85万元，占总支出预算的73.74%，比2023年6,982.48万元增加84.37万元，增加 1.</w:t>
      </w:r>
      <w:r>
        <w:rPr>
          <w:rFonts w:hint="eastAsia" w:ascii="仿宋" w:hAnsi="仿宋" w:eastAsia="仿宋" w:cs="仿宋"/>
          <w:sz w:val="32"/>
          <w:szCs w:val="32"/>
          <w:lang w:val="en-US" w:eastAsia="zh-CN"/>
        </w:rPr>
        <w:t>21</w:t>
      </w:r>
      <w:r>
        <w:rPr>
          <w:rFonts w:hint="eastAsia" w:ascii="仿宋" w:hAnsi="仿宋" w:eastAsia="仿宋" w:cs="仿宋"/>
          <w:sz w:val="32"/>
          <w:szCs w:val="32"/>
        </w:rPr>
        <w:t>%，增加的主要原因为：人员经费增加。</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2、项目支出预算2,516.6</w:t>
      </w:r>
      <w:r>
        <w:rPr>
          <w:rFonts w:hint="eastAsia" w:ascii="仿宋" w:hAnsi="仿宋" w:eastAsia="仿宋" w:cs="仿宋"/>
          <w:sz w:val="32"/>
          <w:szCs w:val="32"/>
          <w:lang w:val="en-US" w:eastAsia="zh-CN"/>
        </w:rPr>
        <w:t>9</w:t>
      </w:r>
      <w:r>
        <w:rPr>
          <w:rFonts w:hint="eastAsia" w:ascii="仿宋" w:hAnsi="仿宋" w:eastAsia="仿宋" w:cs="仿宋"/>
          <w:sz w:val="32"/>
          <w:szCs w:val="32"/>
        </w:rPr>
        <w:t>万元，占总支出预算的</w:t>
      </w:r>
      <w:r>
        <w:rPr>
          <w:rFonts w:hint="eastAsia" w:ascii="仿宋" w:hAnsi="仿宋" w:eastAsia="仿宋" w:cs="仿宋"/>
          <w:sz w:val="32"/>
          <w:szCs w:val="32"/>
          <w:lang w:val="en-US" w:eastAsia="zh-CN"/>
        </w:rPr>
        <w:t>26.26</w:t>
      </w:r>
      <w:r>
        <w:rPr>
          <w:rFonts w:hint="eastAsia" w:ascii="仿宋" w:hAnsi="仿宋" w:eastAsia="仿宋" w:cs="仿宋"/>
          <w:sz w:val="32"/>
          <w:szCs w:val="32"/>
        </w:rPr>
        <w:t>%，比202</w:t>
      </w:r>
      <w:r>
        <w:rPr>
          <w:rFonts w:hint="eastAsia" w:ascii="仿宋" w:hAnsi="仿宋" w:eastAsia="仿宋" w:cs="仿宋"/>
          <w:sz w:val="32"/>
          <w:szCs w:val="32"/>
          <w:lang w:val="en-US" w:eastAsia="zh-CN"/>
        </w:rPr>
        <w:t>3</w:t>
      </w:r>
      <w:r>
        <w:rPr>
          <w:rFonts w:hint="eastAsia" w:ascii="仿宋" w:hAnsi="仿宋" w:eastAsia="仿宋" w:cs="仿宋"/>
          <w:sz w:val="32"/>
          <w:szCs w:val="32"/>
        </w:rPr>
        <w:t>年3,139.90万元减少6</w:t>
      </w:r>
      <w:r>
        <w:rPr>
          <w:rFonts w:hint="eastAsia" w:ascii="仿宋" w:hAnsi="仿宋" w:eastAsia="仿宋" w:cs="仿宋"/>
          <w:sz w:val="32"/>
          <w:szCs w:val="32"/>
          <w:lang w:val="en-US" w:eastAsia="zh-CN"/>
        </w:rPr>
        <w:t>23.21</w:t>
      </w:r>
      <w:r>
        <w:rPr>
          <w:rFonts w:hint="eastAsia" w:ascii="仿宋" w:hAnsi="仿宋" w:eastAsia="仿宋" w:cs="仿宋"/>
          <w:sz w:val="32"/>
          <w:szCs w:val="32"/>
        </w:rPr>
        <w:t>万元，减少</w:t>
      </w:r>
      <w:r>
        <w:rPr>
          <w:rFonts w:hint="eastAsia" w:ascii="仿宋" w:hAnsi="仿宋" w:eastAsia="仿宋" w:cs="仿宋"/>
          <w:sz w:val="32"/>
          <w:szCs w:val="32"/>
          <w:lang w:val="en-US" w:eastAsia="zh-CN"/>
        </w:rPr>
        <w:t>19.85</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主要原因是职业技能培训补贴</w:t>
      </w:r>
      <w:r>
        <w:rPr>
          <w:rFonts w:hint="eastAsia" w:ascii="仿宋" w:hAnsi="仿宋" w:eastAsia="仿宋" w:cs="仿宋"/>
          <w:sz w:val="32"/>
          <w:szCs w:val="32"/>
          <w:lang w:eastAsia="zh-CN"/>
        </w:rPr>
        <w:t>项目经费减少</w:t>
      </w:r>
      <w:r>
        <w:rPr>
          <w:rFonts w:hint="eastAsia" w:ascii="仿宋" w:hAnsi="仿宋" w:eastAsia="仿宋" w:cs="仿宋"/>
          <w:sz w:val="32"/>
          <w:szCs w:val="32"/>
        </w:rPr>
        <w:t>、就业大厦装修二期</w:t>
      </w:r>
      <w:r>
        <w:rPr>
          <w:rFonts w:hint="eastAsia" w:ascii="仿宋" w:hAnsi="仿宋" w:eastAsia="仿宋" w:cs="仿宋"/>
          <w:sz w:val="32"/>
          <w:szCs w:val="32"/>
          <w:lang w:eastAsia="zh-CN"/>
        </w:rPr>
        <w:t>项目完工</w:t>
      </w:r>
      <w:r>
        <w:rPr>
          <w:rFonts w:hint="eastAsia" w:ascii="仿宋" w:hAnsi="仿宋" w:eastAsia="仿宋" w:cs="仿宋"/>
          <w:sz w:val="32"/>
          <w:szCs w:val="32"/>
        </w:rPr>
        <w:t>。</w:t>
      </w:r>
    </w:p>
    <w:p>
      <w:pPr>
        <w:widowControl/>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、市级提前下达专项转移支付项目资金0万元。</w:t>
      </w:r>
    </w:p>
    <w:p>
      <w:pPr>
        <w:spacing w:line="360" w:lineRule="auto"/>
        <w:ind w:firstLine="600" w:firstLineChars="200"/>
        <w:rPr>
          <w:rFonts w:ascii="黑体" w:hAnsi="黑体" w:eastAsia="黑体"/>
          <w:kern w:val="0"/>
          <w:sz w:val="30"/>
          <w:szCs w:val="30"/>
        </w:rPr>
      </w:pPr>
      <w:r>
        <w:rPr>
          <w:rFonts w:hint="eastAsia" w:ascii="黑体" w:hAnsi="黑体" w:eastAsia="黑体" w:cs="黑体"/>
          <w:kern w:val="0"/>
          <w:sz w:val="30"/>
          <w:szCs w:val="30"/>
        </w:rPr>
        <w:t>三、主要支出情况</w:t>
      </w:r>
    </w:p>
    <w:p>
      <w:pPr>
        <w:snapToGrid w:val="0"/>
        <w:spacing w:line="360" w:lineRule="auto"/>
        <w:ind w:firstLine="640" w:firstLineChars="200"/>
        <w:rPr>
          <w:rFonts w:ascii="仿宋" w:hAnsi="仿宋" w:eastAsia="仿宋"/>
          <w:sz w:val="32"/>
          <w:szCs w:val="32"/>
        </w:rPr>
      </w:pPr>
      <w:bookmarkStart w:id="0" w:name="_Toc25448"/>
      <w:bookmarkStart w:id="1" w:name="_Toc17531"/>
      <w:r>
        <w:rPr>
          <w:rFonts w:hint="eastAsia" w:ascii="仿宋" w:hAnsi="仿宋" w:eastAsia="仿宋" w:cs="仿宋"/>
          <w:sz w:val="32"/>
          <w:szCs w:val="32"/>
        </w:rPr>
        <w:t>（一）基本支出主要包括</w:t>
      </w:r>
      <w:bookmarkEnd w:id="0"/>
      <w:bookmarkEnd w:id="1"/>
      <w:r>
        <w:rPr>
          <w:rFonts w:hint="eastAsia" w:ascii="仿宋" w:hAnsi="仿宋" w:eastAsia="仿宋" w:cs="仿宋"/>
          <w:sz w:val="32"/>
          <w:szCs w:val="32"/>
        </w:rPr>
        <w:t>在职、离退休人员支出、个人</w:t>
      </w:r>
    </w:p>
    <w:p>
      <w:pPr>
        <w:snapToGrid w:val="0"/>
        <w:spacing w:line="360" w:lineRule="auto"/>
        <w:rPr>
          <w:rFonts w:ascii="仿宋" w:hAnsi="仿宋" w:eastAsia="仿宋"/>
          <w:sz w:val="32"/>
          <w:szCs w:val="32"/>
        </w:rPr>
      </w:pPr>
      <w:r>
        <w:rPr>
          <w:rFonts w:hint="eastAsia" w:ascii="仿宋" w:hAnsi="仿宋" w:eastAsia="仿宋" w:cs="仿宋"/>
          <w:sz w:val="32"/>
          <w:szCs w:val="32"/>
        </w:rPr>
        <w:t>和家庭补助支出、公用支出</w:t>
      </w:r>
      <w:bookmarkStart w:id="2" w:name="_Toc7025"/>
      <w:bookmarkStart w:id="3" w:name="_Toc3237"/>
      <w:r>
        <w:rPr>
          <w:rFonts w:hint="eastAsia" w:ascii="仿宋" w:hAnsi="仿宋" w:eastAsia="仿宋" w:cs="仿宋"/>
          <w:sz w:val="32"/>
          <w:szCs w:val="32"/>
        </w:rPr>
        <w:t>。</w:t>
      </w:r>
    </w:p>
    <w:p>
      <w:pPr>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（二）项目支出主要</w:t>
      </w:r>
      <w:bookmarkEnd w:id="2"/>
      <w:bookmarkEnd w:id="3"/>
      <w:r>
        <w:rPr>
          <w:rFonts w:hint="eastAsia" w:ascii="仿宋" w:hAnsi="仿宋" w:eastAsia="仿宋" w:cs="仿宋"/>
          <w:color w:val="auto"/>
          <w:sz w:val="32"/>
          <w:szCs w:val="32"/>
        </w:rPr>
        <w:t>项目是</w:t>
      </w:r>
      <w:r>
        <w:rPr>
          <w:rFonts w:ascii="仿宋" w:hAnsi="仿宋" w:eastAsia="仿宋" w:cs="仿宋"/>
          <w:color w:val="auto"/>
          <w:sz w:val="32"/>
          <w:szCs w:val="32"/>
        </w:rPr>
        <w:fldChar w:fldCharType="begin"/>
      </w:r>
      <w:r>
        <w:rPr>
          <w:rFonts w:ascii="仿宋" w:hAnsi="仿宋" w:eastAsia="仿宋" w:cs="仿宋"/>
          <w:color w:val="auto"/>
          <w:sz w:val="32"/>
          <w:szCs w:val="32"/>
        </w:rPr>
        <w:instrText xml:space="preserve"> = 1 \* GB3 </w:instrText>
      </w:r>
      <w:r>
        <w:rPr>
          <w:rFonts w:ascii="仿宋" w:hAnsi="仿宋" w:eastAsia="仿宋" w:cs="仿宋"/>
          <w:color w:val="auto"/>
          <w:sz w:val="32"/>
          <w:szCs w:val="32"/>
        </w:rPr>
        <w:fldChar w:fldCharType="separate"/>
      </w:r>
      <w:r>
        <w:rPr>
          <w:rFonts w:hint="eastAsia" w:ascii="仿宋" w:hAnsi="仿宋" w:eastAsia="仿宋" w:cs="仿宋"/>
          <w:color w:val="auto"/>
          <w:sz w:val="32"/>
          <w:szCs w:val="32"/>
        </w:rPr>
        <w:t>①</w:t>
      </w:r>
      <w:r>
        <w:rPr>
          <w:rFonts w:ascii="仿宋" w:hAnsi="仿宋" w:eastAsia="仿宋" w:cs="仿宋"/>
          <w:color w:val="auto"/>
          <w:sz w:val="32"/>
          <w:szCs w:val="32"/>
        </w:rPr>
        <w:fldChar w:fldCharType="end"/>
      </w:r>
      <w:r>
        <w:rPr>
          <w:rFonts w:hint="eastAsia" w:ascii="仿宋" w:hAnsi="仿宋" w:eastAsia="仿宋" w:cs="仿宋"/>
          <w:color w:val="auto"/>
          <w:sz w:val="32"/>
          <w:szCs w:val="32"/>
        </w:rPr>
        <w:t>人力社保局物业服务</w:t>
      </w:r>
      <w:r>
        <w:rPr>
          <w:rFonts w:ascii="仿宋" w:hAnsi="仿宋" w:eastAsia="仿宋" w:cs="仿宋"/>
          <w:color w:val="auto"/>
          <w:sz w:val="32"/>
          <w:szCs w:val="32"/>
        </w:rPr>
        <w:fldChar w:fldCharType="begin"/>
      </w:r>
      <w:r>
        <w:rPr>
          <w:rFonts w:ascii="仿宋" w:hAnsi="仿宋" w:eastAsia="仿宋" w:cs="仿宋"/>
          <w:color w:val="auto"/>
          <w:sz w:val="32"/>
          <w:szCs w:val="32"/>
        </w:rPr>
        <w:instrText xml:space="preserve"> = 2 \* GB3 </w:instrText>
      </w:r>
      <w:r>
        <w:rPr>
          <w:rFonts w:ascii="仿宋" w:hAnsi="仿宋" w:eastAsia="仿宋" w:cs="仿宋"/>
          <w:color w:val="auto"/>
          <w:sz w:val="32"/>
          <w:szCs w:val="32"/>
        </w:rPr>
        <w:fldChar w:fldCharType="separate"/>
      </w:r>
      <w:r>
        <w:rPr>
          <w:rFonts w:hint="eastAsia" w:ascii="仿宋" w:hAnsi="仿宋" w:eastAsia="仿宋" w:cs="仿宋"/>
          <w:color w:val="auto"/>
          <w:sz w:val="32"/>
          <w:szCs w:val="32"/>
        </w:rPr>
        <w:t>②</w:t>
      </w:r>
      <w:r>
        <w:rPr>
          <w:rFonts w:ascii="仿宋" w:hAnsi="仿宋" w:eastAsia="仿宋" w:cs="仿宋"/>
          <w:color w:val="auto"/>
          <w:sz w:val="32"/>
          <w:szCs w:val="32"/>
        </w:rPr>
        <w:fldChar w:fldCharType="end"/>
      </w:r>
      <w:r>
        <w:rPr>
          <w:rFonts w:hint="eastAsia" w:ascii="仿宋" w:hAnsi="仿宋" w:eastAsia="仿宋" w:cs="仿宋"/>
          <w:color w:val="auto"/>
          <w:sz w:val="32"/>
          <w:szCs w:val="32"/>
        </w:rPr>
        <w:t>职业技能培训补贴等。</w:t>
      </w:r>
    </w:p>
    <w:p>
      <w:pPr>
        <w:snapToGrid w:val="0"/>
        <w:spacing w:line="360" w:lineRule="auto"/>
        <w:ind w:firstLine="600" w:firstLineChars="200"/>
        <w:rPr>
          <w:rFonts w:ascii="黑体" w:hAnsi="黑体" w:eastAsia="黑体"/>
          <w:sz w:val="30"/>
          <w:szCs w:val="30"/>
        </w:rPr>
      </w:pPr>
      <w:r>
        <w:rPr>
          <w:rFonts w:hint="eastAsia" w:ascii="黑体" w:hAnsi="黑体" w:eastAsia="黑体" w:cs="黑体"/>
          <w:sz w:val="30"/>
          <w:szCs w:val="30"/>
        </w:rPr>
        <w:t>四、</w:t>
      </w:r>
      <w:r>
        <w:rPr>
          <w:rFonts w:hint="eastAsia" w:ascii="黑体" w:hAnsi="黑体" w:eastAsia="黑体" w:cs="黑体"/>
          <w:sz w:val="30"/>
          <w:szCs w:val="30"/>
          <w:lang w:eastAsia="zh-CN"/>
        </w:rPr>
        <w:t>2024</w:t>
      </w:r>
      <w:r>
        <w:rPr>
          <w:rFonts w:hint="eastAsia" w:ascii="黑体" w:hAnsi="黑体" w:eastAsia="黑体" w:cs="黑体"/>
          <w:sz w:val="30"/>
          <w:szCs w:val="30"/>
        </w:rPr>
        <w:t>年“三公”经费财政拨款预算情况</w:t>
      </w:r>
    </w:p>
    <w:p>
      <w:pPr>
        <w:spacing w:line="360" w:lineRule="auto"/>
        <w:ind w:firstLine="640" w:firstLineChars="200"/>
        <w:rPr>
          <w:rFonts w:ascii="仿宋" w:hAnsi="仿宋" w:eastAsia="仿宋"/>
          <w:sz w:val="32"/>
          <w:szCs w:val="32"/>
        </w:rPr>
      </w:pPr>
      <w:r>
        <w:rPr>
          <w:rFonts w:hint="eastAsia" w:ascii="仿宋" w:hAnsi="仿宋" w:eastAsia="仿宋" w:cs="仿宋"/>
          <w:sz w:val="32"/>
          <w:szCs w:val="32"/>
        </w:rPr>
        <w:t>（一）预算单位范围</w:t>
      </w:r>
    </w:p>
    <w:p>
      <w:pPr>
        <w:spacing w:line="360" w:lineRule="auto"/>
        <w:ind w:firstLine="640" w:firstLineChars="200"/>
        <w:rPr>
          <w:rFonts w:ascii="仿宋" w:hAnsi="仿宋" w:eastAsia="仿宋"/>
          <w:sz w:val="32"/>
          <w:szCs w:val="32"/>
        </w:rPr>
      </w:pPr>
      <w:r>
        <w:rPr>
          <w:rFonts w:hint="eastAsia" w:ascii="仿宋" w:hAnsi="仿宋" w:eastAsia="仿宋" w:cs="仿宋"/>
          <w:sz w:val="32"/>
          <w:szCs w:val="32"/>
        </w:rPr>
        <w:t>北京市西城区人力资源和社会保障局预算中因公出国（境）费、公务接待费、公务用车购置及运行维护费的支出单位包括北京市西城区人力资源和社会保障局(本级)。</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关于</w:t>
      </w:r>
      <w:r>
        <w:rPr>
          <w:rFonts w:hint="eastAsia" w:ascii="仿宋" w:hAnsi="仿宋" w:eastAsia="仿宋" w:cs="仿宋"/>
          <w:sz w:val="32"/>
          <w:szCs w:val="32"/>
          <w:lang w:eastAsia="zh-CN"/>
        </w:rPr>
        <w:t>2024</w:t>
      </w:r>
      <w:r>
        <w:rPr>
          <w:rFonts w:hint="eastAsia" w:ascii="仿宋" w:hAnsi="仿宋" w:eastAsia="仿宋" w:cs="仿宋"/>
          <w:sz w:val="32"/>
          <w:szCs w:val="32"/>
        </w:rPr>
        <w:t>年部门预算中“三公”经费财政拨款预算情况及与上年对比原因说明</w:t>
      </w:r>
      <w:r>
        <w:rPr>
          <w:rFonts w:ascii="仿宋" w:hAnsi="仿宋" w:eastAsia="仿宋" w:cs="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年部门预算“三公”经费财政预算10,000.00元，比</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rPr>
        <w:t>年部门预算“三公”经费财政预算10,000.00元增加</w:t>
      </w:r>
      <w:r>
        <w:rPr>
          <w:rFonts w:hint="eastAsia" w:ascii="仿宋" w:hAnsi="仿宋" w:eastAsia="仿宋" w:cs="仿宋"/>
          <w:sz w:val="32"/>
          <w:szCs w:val="32"/>
          <w:lang w:val="en-US" w:eastAsia="zh-CN"/>
        </w:rPr>
        <w:t>0</w:t>
      </w:r>
      <w:r>
        <w:rPr>
          <w:rFonts w:hint="eastAsia" w:ascii="仿宋" w:hAnsi="仿宋" w:eastAsia="仿宋" w:cs="仿宋"/>
          <w:sz w:val="32"/>
          <w:szCs w:val="32"/>
        </w:rPr>
        <w:t>元，系统自动生成公务接待费预算数。其中：</w:t>
      </w:r>
    </w:p>
    <w:p>
      <w:pPr>
        <w:spacing w:line="360" w:lineRule="auto"/>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、因公出国（境）费</w:t>
      </w:r>
    </w:p>
    <w:p>
      <w:pPr>
        <w:spacing w:line="360" w:lineRule="auto"/>
        <w:ind w:firstLine="640" w:firstLineChars="200"/>
        <w:rPr>
          <w:rFonts w:ascii="仿宋" w:hAnsi="仿宋" w:eastAsia="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年财政预算数</w:t>
      </w:r>
      <w:r>
        <w:rPr>
          <w:rFonts w:ascii="仿宋" w:hAnsi="仿宋" w:eastAsia="仿宋" w:cs="仿宋"/>
          <w:sz w:val="32"/>
          <w:szCs w:val="32"/>
        </w:rPr>
        <w:t>0</w:t>
      </w:r>
      <w:r>
        <w:rPr>
          <w:rFonts w:hint="eastAsia" w:ascii="仿宋" w:hAnsi="仿宋" w:eastAsia="仿宋" w:cs="仿宋"/>
          <w:sz w:val="32"/>
          <w:szCs w:val="32"/>
        </w:rPr>
        <w:t>元，与</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rPr>
        <w:t>年财政预算数一致。</w:t>
      </w:r>
    </w:p>
    <w:p>
      <w:pPr>
        <w:spacing w:line="360" w:lineRule="auto"/>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、公务接待费</w:t>
      </w:r>
    </w:p>
    <w:p>
      <w:pPr>
        <w:spacing w:line="360" w:lineRule="auto"/>
        <w:ind w:firstLine="640" w:firstLineChars="200"/>
        <w:rPr>
          <w:rFonts w:ascii="仿宋" w:hAnsi="仿宋" w:eastAsia="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年财政预算数10,000.00元，</w:t>
      </w:r>
      <w:r>
        <w:rPr>
          <w:rFonts w:hint="eastAsia" w:ascii="仿宋" w:hAnsi="仿宋" w:eastAsia="仿宋" w:cs="仿宋"/>
          <w:sz w:val="32"/>
          <w:szCs w:val="32"/>
          <w:lang w:eastAsia="zh-CN"/>
        </w:rPr>
        <w:t>与</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rPr>
        <w:t>年财政预算数</w:t>
      </w:r>
      <w:r>
        <w:rPr>
          <w:rFonts w:hint="eastAsia" w:ascii="仿宋" w:hAnsi="仿宋" w:eastAsia="仿宋" w:cs="仿宋"/>
          <w:sz w:val="32"/>
          <w:szCs w:val="32"/>
          <w:lang w:eastAsia="zh-CN"/>
        </w:rPr>
        <w:t>一致</w:t>
      </w:r>
      <w:r>
        <w:rPr>
          <w:rFonts w:hint="eastAsia" w:ascii="仿宋" w:hAnsi="仿宋" w:eastAsia="仿宋" w:cs="仿宋"/>
          <w:sz w:val="32"/>
          <w:szCs w:val="32"/>
        </w:rPr>
        <w:t>。</w:t>
      </w:r>
    </w:p>
    <w:p>
      <w:pPr>
        <w:spacing w:line="360" w:lineRule="auto"/>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、公务用车购置及运行维护费</w:t>
      </w:r>
    </w:p>
    <w:p>
      <w:pPr>
        <w:spacing w:line="360" w:lineRule="auto"/>
        <w:ind w:firstLine="640" w:firstLineChars="200"/>
        <w:rPr>
          <w:rFonts w:hint="eastAsia" w:ascii="仿宋" w:hAnsi="仿宋" w:eastAsia="仿宋"/>
          <w:color w:val="FF0000"/>
          <w:sz w:val="32"/>
          <w:szCs w:val="32"/>
          <w:lang w:val="en-US" w:eastAsia="zh-CN"/>
        </w:rPr>
      </w:pPr>
      <w:r>
        <w:rPr>
          <w:rFonts w:hint="eastAsia" w:ascii="仿宋" w:hAnsi="仿宋" w:eastAsia="仿宋" w:cs="仿宋"/>
          <w:sz w:val="32"/>
          <w:szCs w:val="32"/>
          <w:lang w:eastAsia="zh-CN"/>
        </w:rPr>
        <w:t>2024</w:t>
      </w:r>
      <w:r>
        <w:rPr>
          <w:rFonts w:hint="eastAsia" w:ascii="仿宋" w:hAnsi="仿宋" w:eastAsia="仿宋" w:cs="仿宋"/>
          <w:sz w:val="32"/>
          <w:szCs w:val="32"/>
        </w:rPr>
        <w:t>年公务用车财政预算数量为0辆，</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rPr>
        <w:t>年公务用车数量为0辆。</w:t>
      </w:r>
      <w:r>
        <w:rPr>
          <w:rFonts w:hint="eastAsia" w:ascii="仿宋" w:hAnsi="仿宋" w:eastAsia="仿宋" w:cs="仿宋"/>
          <w:sz w:val="32"/>
          <w:szCs w:val="32"/>
          <w:lang w:eastAsia="zh-CN"/>
        </w:rPr>
        <w:t>2024</w:t>
      </w:r>
      <w:r>
        <w:rPr>
          <w:rFonts w:hint="eastAsia" w:ascii="仿宋" w:hAnsi="仿宋" w:eastAsia="仿宋" w:cs="仿宋"/>
          <w:sz w:val="32"/>
          <w:szCs w:val="32"/>
        </w:rPr>
        <w:t>年比</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rPr>
        <w:t>年公务用车财政预算数减少0辆。</w:t>
      </w:r>
      <w:r>
        <w:rPr>
          <w:rFonts w:hint="eastAsia" w:ascii="仿宋" w:hAnsi="仿宋" w:eastAsia="仿宋" w:cs="仿宋"/>
          <w:sz w:val="32"/>
          <w:szCs w:val="32"/>
          <w:lang w:eastAsia="zh-CN"/>
        </w:rPr>
        <w:t>2024</w:t>
      </w:r>
      <w:r>
        <w:rPr>
          <w:rFonts w:hint="eastAsia" w:ascii="仿宋" w:hAnsi="仿宋" w:eastAsia="仿宋" w:cs="仿宋"/>
          <w:sz w:val="32"/>
          <w:szCs w:val="32"/>
        </w:rPr>
        <w:t>年公务用车购置及运行维护费财政预算数0元，</w:t>
      </w:r>
      <w:r>
        <w:rPr>
          <w:rFonts w:hint="eastAsia" w:ascii="仿宋" w:hAnsi="仿宋" w:eastAsia="仿宋"/>
          <w:sz w:val="32"/>
          <w:szCs w:val="32"/>
        </w:rPr>
        <w:t>与202</w:t>
      </w:r>
      <w:r>
        <w:rPr>
          <w:rFonts w:hint="eastAsia" w:ascii="仿宋" w:hAnsi="仿宋" w:eastAsia="仿宋"/>
          <w:sz w:val="32"/>
          <w:szCs w:val="32"/>
          <w:lang w:val="en-US" w:eastAsia="zh-CN"/>
        </w:rPr>
        <w:t>3</w:t>
      </w:r>
      <w:r>
        <w:rPr>
          <w:rFonts w:hint="eastAsia" w:ascii="仿宋" w:hAnsi="仿宋" w:eastAsia="仿宋"/>
          <w:sz w:val="32"/>
          <w:szCs w:val="32"/>
        </w:rPr>
        <w:t>年公务用车运行维护费一致</w:t>
      </w:r>
      <w:r>
        <w:rPr>
          <w:rFonts w:hint="eastAsia" w:ascii="仿宋" w:hAnsi="仿宋" w:eastAsia="仿宋"/>
          <w:sz w:val="32"/>
          <w:szCs w:val="32"/>
          <w:lang w:eastAsia="zh-CN"/>
        </w:rPr>
        <w:t>。</w:t>
      </w:r>
    </w:p>
    <w:p>
      <w:pPr>
        <w:snapToGrid w:val="0"/>
        <w:spacing w:line="360" w:lineRule="auto"/>
        <w:ind w:firstLine="600" w:firstLineChars="200"/>
        <w:rPr>
          <w:rFonts w:ascii="黑体" w:hAnsi="黑体" w:eastAsia="黑体"/>
          <w:sz w:val="30"/>
          <w:szCs w:val="30"/>
        </w:rPr>
      </w:pPr>
      <w:r>
        <w:rPr>
          <w:rFonts w:hint="eastAsia" w:ascii="黑体" w:hAnsi="黑体" w:eastAsia="黑体" w:cs="黑体"/>
          <w:sz w:val="30"/>
          <w:szCs w:val="30"/>
        </w:rPr>
        <w:t>五、</w:t>
      </w:r>
      <w:r>
        <w:rPr>
          <w:rFonts w:hint="eastAsia" w:ascii="黑体" w:hAnsi="黑体" w:eastAsia="黑体" w:cs="黑体"/>
          <w:sz w:val="30"/>
          <w:szCs w:val="30"/>
          <w:lang w:eastAsia="zh-CN"/>
        </w:rPr>
        <w:t>2024</w:t>
      </w:r>
      <w:r>
        <w:rPr>
          <w:rFonts w:hint="eastAsia" w:ascii="黑体" w:hAnsi="黑体" w:eastAsia="黑体" w:cs="黑体"/>
          <w:sz w:val="30"/>
          <w:szCs w:val="30"/>
        </w:rPr>
        <w:t>年政府基金政府性基金预算财政拨款收入支出说明</w:t>
      </w:r>
    </w:p>
    <w:p>
      <w:pPr>
        <w:spacing w:line="360" w:lineRule="auto"/>
        <w:ind w:firstLine="640" w:firstLineChars="200"/>
        <w:rPr>
          <w:rFonts w:ascii="仿宋" w:hAnsi="仿宋" w:eastAsia="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年政府性基金预算财政拨款收入、支出全为零。</w:t>
      </w:r>
    </w:p>
    <w:p>
      <w:pPr>
        <w:spacing w:line="560" w:lineRule="exact"/>
        <w:ind w:firstLine="643" w:firstLineChars="200"/>
        <w:rPr>
          <w:rFonts w:ascii="仿宋_GB2312" w:eastAsia="仿宋_GB2312"/>
          <w:b/>
          <w:bCs/>
          <w:color w:val="000000"/>
          <w:sz w:val="32"/>
          <w:szCs w:val="32"/>
        </w:rPr>
      </w:pPr>
      <w:r>
        <w:rPr>
          <w:rFonts w:hint="eastAsia" w:ascii="仿宋_GB2312" w:eastAsia="仿宋_GB2312" w:cs="仿宋_GB2312"/>
          <w:b/>
          <w:bCs/>
          <w:color w:val="000000"/>
          <w:sz w:val="32"/>
          <w:szCs w:val="32"/>
        </w:rPr>
        <w:t>六、其他情况说明</w:t>
      </w:r>
    </w:p>
    <w:p>
      <w:pPr>
        <w:spacing w:line="360" w:lineRule="auto"/>
        <w:ind w:firstLine="640" w:firstLineChars="200"/>
        <w:rPr>
          <w:rFonts w:ascii="仿宋" w:hAnsi="仿宋" w:eastAsia="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2024</w:t>
      </w:r>
      <w:r>
        <w:rPr>
          <w:rFonts w:hint="eastAsia" w:ascii="仿宋" w:hAnsi="仿宋" w:eastAsia="仿宋" w:cs="仿宋"/>
          <w:sz w:val="32"/>
          <w:szCs w:val="32"/>
        </w:rPr>
        <w:t>年机关运行经费说明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年本部门（含下属单位）履行一般行政事业管理职能、维持机关运行，用于一般公共预算安排的行政运行经费，合计</w:t>
      </w:r>
      <w:r>
        <w:rPr>
          <w:rFonts w:hint="eastAsia" w:ascii="仿宋" w:hAnsi="仿宋" w:eastAsia="仿宋" w:cs="仿宋"/>
          <w:sz w:val="32"/>
          <w:szCs w:val="32"/>
          <w:lang w:val="en-US" w:eastAsia="zh-CN"/>
        </w:rPr>
        <w:t>1298.37</w:t>
      </w:r>
      <w:r>
        <w:rPr>
          <w:rFonts w:hint="eastAsia" w:ascii="仿宋" w:hAnsi="仿宋" w:eastAsia="仿宋" w:cs="仿宋"/>
          <w:sz w:val="32"/>
          <w:szCs w:val="32"/>
        </w:rPr>
        <w:t>万元。比202</w:t>
      </w:r>
      <w:r>
        <w:rPr>
          <w:rFonts w:hint="eastAsia" w:ascii="仿宋" w:hAnsi="仿宋" w:eastAsia="仿宋" w:cs="仿宋"/>
          <w:sz w:val="32"/>
          <w:szCs w:val="32"/>
          <w:lang w:val="en-US" w:eastAsia="zh-CN"/>
        </w:rPr>
        <w:t>3</w:t>
      </w:r>
      <w:r>
        <w:rPr>
          <w:rFonts w:hint="eastAsia" w:ascii="仿宋" w:hAnsi="仿宋" w:eastAsia="仿宋" w:cs="仿宋"/>
          <w:sz w:val="32"/>
          <w:szCs w:val="32"/>
        </w:rPr>
        <w:t>年机关运行经费1</w:t>
      </w:r>
      <w:r>
        <w:rPr>
          <w:rFonts w:hint="eastAsia" w:ascii="仿宋" w:hAnsi="仿宋" w:eastAsia="仿宋" w:cs="仿宋"/>
          <w:sz w:val="32"/>
          <w:szCs w:val="32"/>
          <w:lang w:val="en-US" w:eastAsia="zh-CN"/>
        </w:rPr>
        <w:t>,</w:t>
      </w:r>
      <w:r>
        <w:rPr>
          <w:rFonts w:hint="eastAsia" w:ascii="仿宋" w:hAnsi="仿宋" w:eastAsia="仿宋" w:cs="仿宋"/>
          <w:sz w:val="32"/>
          <w:szCs w:val="32"/>
        </w:rPr>
        <w:t>2</w:t>
      </w:r>
      <w:r>
        <w:rPr>
          <w:rFonts w:hint="eastAsia" w:ascii="仿宋" w:hAnsi="仿宋" w:eastAsia="仿宋" w:cs="仿宋"/>
          <w:sz w:val="32"/>
          <w:szCs w:val="32"/>
          <w:lang w:val="en-US" w:eastAsia="zh-CN"/>
        </w:rPr>
        <w:t>59.62</w:t>
      </w:r>
      <w:r>
        <w:rPr>
          <w:rFonts w:hint="eastAsia" w:ascii="仿宋" w:hAnsi="仿宋" w:eastAsia="仿宋" w:cs="仿宋"/>
          <w:sz w:val="32"/>
          <w:szCs w:val="32"/>
        </w:rPr>
        <w:t>万元增加</w:t>
      </w:r>
      <w:r>
        <w:rPr>
          <w:rFonts w:hint="eastAsia" w:ascii="仿宋" w:hAnsi="仿宋" w:eastAsia="仿宋" w:cs="仿宋"/>
          <w:sz w:val="32"/>
          <w:szCs w:val="32"/>
          <w:lang w:val="en-US" w:eastAsia="zh-CN"/>
        </w:rPr>
        <w:t>38.75</w:t>
      </w:r>
      <w:r>
        <w:rPr>
          <w:rFonts w:hint="eastAsia" w:ascii="仿宋" w:hAnsi="仿宋" w:eastAsia="仿宋" w:cs="仿宋"/>
          <w:sz w:val="32"/>
          <w:szCs w:val="32"/>
        </w:rPr>
        <w:t>万元,增幅</w:t>
      </w:r>
      <w:r>
        <w:rPr>
          <w:rFonts w:hint="eastAsia" w:ascii="仿宋" w:hAnsi="仿宋" w:eastAsia="仿宋" w:cs="仿宋"/>
          <w:sz w:val="32"/>
          <w:szCs w:val="32"/>
          <w:lang w:val="en-US" w:eastAsia="zh-CN"/>
        </w:rPr>
        <w:t>3.08</w:t>
      </w:r>
      <w:r>
        <w:rPr>
          <w:rFonts w:hint="eastAsia" w:ascii="仿宋" w:hAnsi="仿宋" w:eastAsia="仿宋" w:cs="仿宋"/>
          <w:sz w:val="32"/>
          <w:szCs w:val="32"/>
        </w:rPr>
        <w:t>%，主要原因</w:t>
      </w:r>
      <w:r>
        <w:rPr>
          <w:rFonts w:hint="eastAsia" w:ascii="仿宋" w:hAnsi="仿宋" w:eastAsia="仿宋" w:cs="仿宋"/>
          <w:sz w:val="32"/>
          <w:szCs w:val="32"/>
          <w:lang w:eastAsia="zh-CN"/>
        </w:rPr>
        <w:t>为人员经费</w:t>
      </w:r>
      <w:r>
        <w:rPr>
          <w:rFonts w:hint="eastAsia" w:ascii="仿宋" w:hAnsi="仿宋" w:eastAsia="仿宋" w:cs="仿宋"/>
          <w:sz w:val="32"/>
          <w:szCs w:val="32"/>
        </w:rPr>
        <w:t>增加</w:t>
      </w:r>
      <w:r>
        <w:rPr>
          <w:rFonts w:hint="eastAsia" w:ascii="仿宋" w:hAnsi="仿宋" w:eastAsia="仿宋" w:cs="仿宋"/>
          <w:sz w:val="32"/>
          <w:szCs w:val="32"/>
          <w:lang w:eastAsia="zh-CN"/>
        </w:rPr>
        <w:t>，相应公用经费增加</w:t>
      </w:r>
      <w:r>
        <w:rPr>
          <w:rFonts w:hint="eastAsia" w:ascii="仿宋" w:hAnsi="仿宋" w:eastAsia="仿宋" w:cs="仿宋"/>
          <w:sz w:val="32"/>
          <w:szCs w:val="32"/>
        </w:rPr>
        <w:t>。</w:t>
      </w:r>
    </w:p>
    <w:p>
      <w:pPr>
        <w:ind w:firstLine="640" w:firstLineChars="200"/>
        <w:rPr>
          <w:rFonts w:ascii="仿宋" w:hAnsi="仿宋" w:eastAsia="仿宋"/>
          <w:sz w:val="32"/>
          <w:szCs w:val="32"/>
        </w:rPr>
      </w:pPr>
      <w:r>
        <w:rPr>
          <w:rFonts w:hint="eastAsia" w:ascii="仿宋" w:hAnsi="仿宋" w:eastAsia="仿宋" w:cs="仿宋"/>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spacing w:line="360" w:lineRule="auto"/>
        <w:ind w:firstLine="640" w:firstLineChars="200"/>
        <w:rPr>
          <w:rFonts w:ascii="仿宋" w:hAnsi="仿宋" w:eastAsia="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政府采购预说明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年涉及政府采购项目</w:t>
      </w:r>
      <w:r>
        <w:rPr>
          <w:rFonts w:hint="eastAsia" w:ascii="仿宋" w:hAnsi="仿宋" w:eastAsia="仿宋" w:cs="仿宋"/>
          <w:sz w:val="32"/>
          <w:szCs w:val="32"/>
          <w:lang w:val="en-US" w:eastAsia="zh-CN"/>
        </w:rPr>
        <w:t>8</w:t>
      </w:r>
      <w:r>
        <w:rPr>
          <w:rFonts w:hint="eastAsia" w:ascii="仿宋" w:hAnsi="仿宋" w:eastAsia="仿宋" w:cs="仿宋"/>
          <w:sz w:val="32"/>
          <w:szCs w:val="32"/>
        </w:rPr>
        <w:t>个，预算资金</w:t>
      </w:r>
      <w:r>
        <w:rPr>
          <w:rFonts w:hint="eastAsia" w:ascii="仿宋" w:hAnsi="仿宋" w:eastAsia="仿宋" w:cs="仿宋"/>
          <w:sz w:val="32"/>
          <w:szCs w:val="32"/>
          <w:lang w:val="en-US" w:eastAsia="zh-CN"/>
        </w:rPr>
        <w:t>554.61512</w:t>
      </w:r>
      <w:r>
        <w:rPr>
          <w:rFonts w:hint="eastAsia" w:ascii="仿宋" w:hAnsi="仿宋" w:eastAsia="仿宋" w:cs="仿宋"/>
          <w:sz w:val="32"/>
          <w:szCs w:val="32"/>
        </w:rPr>
        <w:t>万元。</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（三）政府购买服务预算说明</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年涉及政府购买服务项目</w:t>
      </w:r>
      <w:r>
        <w:rPr>
          <w:rFonts w:hint="eastAsia" w:ascii="仿宋" w:hAnsi="仿宋" w:eastAsia="仿宋" w:cs="仿宋"/>
          <w:sz w:val="32"/>
          <w:szCs w:val="32"/>
          <w:lang w:val="en-US" w:eastAsia="zh-CN"/>
        </w:rPr>
        <w:t>2</w:t>
      </w:r>
      <w:r>
        <w:rPr>
          <w:rFonts w:hint="eastAsia" w:ascii="仿宋" w:hAnsi="仿宋" w:eastAsia="仿宋" w:cs="仿宋"/>
          <w:sz w:val="32"/>
          <w:szCs w:val="32"/>
        </w:rPr>
        <w:t>个，预算资金81.13</w:t>
      </w:r>
      <w:r>
        <w:rPr>
          <w:rFonts w:ascii="仿宋" w:hAnsi="仿宋" w:eastAsia="仿宋" w:cs="仿宋"/>
          <w:sz w:val="32"/>
          <w:szCs w:val="32"/>
        </w:rPr>
        <w:t>万</w:t>
      </w:r>
      <w:r>
        <w:rPr>
          <w:rFonts w:hint="eastAsia" w:ascii="仿宋" w:hAnsi="仿宋" w:eastAsia="仿宋" w:cs="仿宋"/>
          <w:sz w:val="32"/>
          <w:szCs w:val="32"/>
        </w:rPr>
        <w:t>元。</w:t>
      </w:r>
    </w:p>
    <w:p>
      <w:pPr>
        <w:ind w:firstLine="640" w:firstLineChars="200"/>
        <w:rPr>
          <w:rFonts w:ascii="仿宋" w:hAnsi="仿宋" w:eastAsia="仿宋"/>
          <w:sz w:val="32"/>
          <w:szCs w:val="32"/>
        </w:rPr>
      </w:pPr>
      <w:r>
        <w:rPr>
          <w:rFonts w:hint="eastAsia" w:ascii="仿宋" w:hAnsi="仿宋" w:eastAsia="仿宋" w:cs="仿宋"/>
          <w:sz w:val="32"/>
          <w:szCs w:val="32"/>
        </w:rPr>
        <w:t>（四）绩效目标情况及绩效评价结果说明</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年填报绩效目标的预算项目3</w:t>
      </w:r>
      <w:r>
        <w:rPr>
          <w:rFonts w:hint="eastAsia" w:ascii="仿宋" w:hAnsi="仿宋" w:eastAsia="仿宋" w:cs="仿宋"/>
          <w:sz w:val="32"/>
          <w:szCs w:val="32"/>
          <w:lang w:val="en-US" w:eastAsia="zh-CN"/>
        </w:rPr>
        <w:t>1</w:t>
      </w:r>
      <w:r>
        <w:rPr>
          <w:rFonts w:hint="eastAsia" w:ascii="仿宋" w:hAnsi="仿宋" w:eastAsia="仿宋" w:cs="仿宋"/>
          <w:sz w:val="32"/>
          <w:szCs w:val="32"/>
        </w:rPr>
        <w:t>个。（详见表十三）</w:t>
      </w:r>
    </w:p>
    <w:p>
      <w:pPr>
        <w:ind w:firstLine="640" w:firstLineChars="200"/>
        <w:rPr>
          <w:rFonts w:ascii="仿宋" w:hAnsi="仿宋" w:eastAsia="仿宋" w:cs="仿宋"/>
          <w:sz w:val="32"/>
          <w:szCs w:val="32"/>
        </w:rPr>
      </w:pPr>
      <w:r>
        <w:rPr>
          <w:rFonts w:hint="eastAsia" w:ascii="仿宋" w:hAnsi="仿宋" w:eastAsia="仿宋" w:cs="仿宋"/>
          <w:sz w:val="32"/>
          <w:szCs w:val="32"/>
        </w:rPr>
        <w:t>1、区财政局202</w:t>
      </w:r>
      <w:r>
        <w:rPr>
          <w:rFonts w:hint="eastAsia" w:ascii="仿宋" w:hAnsi="仿宋" w:eastAsia="仿宋" w:cs="仿宋"/>
          <w:sz w:val="32"/>
          <w:szCs w:val="32"/>
          <w:lang w:val="en-US" w:eastAsia="zh-CN"/>
        </w:rPr>
        <w:t>3</w:t>
      </w:r>
      <w:r>
        <w:rPr>
          <w:rFonts w:hint="eastAsia" w:ascii="仿宋" w:hAnsi="仿宋" w:eastAsia="仿宋" w:cs="仿宋"/>
          <w:sz w:val="32"/>
          <w:szCs w:val="32"/>
        </w:rPr>
        <w:t>年对我局20</w:t>
      </w:r>
      <w:r>
        <w:rPr>
          <w:rFonts w:hint="eastAsia" w:ascii="仿宋" w:hAnsi="仿宋" w:eastAsia="仿宋" w:cs="仿宋"/>
          <w:sz w:val="32"/>
          <w:szCs w:val="32"/>
          <w:lang w:val="en-US" w:eastAsia="zh-CN"/>
        </w:rPr>
        <w:t>22</w:t>
      </w:r>
      <w:r>
        <w:rPr>
          <w:rFonts w:hint="eastAsia" w:ascii="仿宋" w:hAnsi="仿宋" w:eastAsia="仿宋" w:cs="仿宋"/>
          <w:sz w:val="32"/>
          <w:szCs w:val="32"/>
        </w:rPr>
        <w:t>年喀喇沁旗劳务协作项目、鄂伦春自治旗劳务协作项目开展绩效评价的财评工作,评价得分为91.18分，绩效评价等级为</w:t>
      </w:r>
      <w:r>
        <w:rPr>
          <w:rFonts w:hint="eastAsia" w:ascii="仿宋" w:hAnsi="仿宋" w:eastAsia="仿宋" w:cs="仿宋"/>
          <w:sz w:val="32"/>
          <w:szCs w:val="32"/>
          <w:lang w:eastAsia="zh-CN"/>
        </w:rPr>
        <w:t>“优”</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项目主要绩效为：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1.喀喇沁旗就业扶贫项目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（1）总体目标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是通过帮扶对口地区扶贫车间带动农村劳动力及脱贫人员实现就地就业。二是通过对当地致富带头人实训基地进行奖励补贴，提升其带贫益贫能力。三是通过交通补贴形式，鼓励当地农村劳动力及脱贫人员实现来京就业。四是通过支持当地“就业援助服务站”，开展摸底调查、政策宣传、举办招聘活动等促进就业举措。</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（2）项目绩效指标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数量指标：2022年建立致富带头人实训基地4个，吸纳20名以上脱贫劳动力就业3个月以上。通过提供奖励补贴、助力90名以上脱贫劳动力在扶贫车间内实现稳定就业3个月以上。通过支持当地“就业援助服务站”建设，依托其开展招聘会、政策宣传等各项工作。通过实施来京就业人员交通补贴政策，帮助农村劳动力及脱贫人员在京稳定就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质量指标：帮助受帮扶地区农村劳动力及脱贫人员实现来京就业、就地就业和省外就业。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进度指标：每季度按照工作进程均有农村劳动力及脱贫人员实现就业。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成本指标：致富带头人实训基地补贴12万元；就业援助服务站补贴5万元；扶贫车间稳岗补贴13.5万元；进京就业交通补贴7.5万元。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效益指标：提高农村劳动力及脱贫人口就业机会，促进稳定就业，促进区域经济社会持续发展。通过扶贫车间，提供稳岗补贴助力贫困人员稳定就业，促进社会和谐。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服务对象满意度指标：帮助受帮扶地区提升就业水平，提高人岗匹配效率，力争服务对象满意率达90%。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2.鄂伦春旗就业扶贫项目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（1）总体目标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是通过帮扶对口地区扶贫车间带动农村劳动力及脱贫人员实现就地就业。二是通过对当地乡村振兴带头人开展来京培训，提升其带贫益贫能力。三是通过一次性补贴形式，鼓励当地农村劳动力及脱贫人员实现转移就业。四是通过支持当地“就业援助服务站”，开展摸底调查、政策宣传、举办招聘活动等促进就业举措。五是通过对当地农村劳动力及脱贫人员开展技能培训，提升其就业能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（2）项目绩效指标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数量指标：选派30名乡村振兴带头人赴京参加培训为期7天。就业扶贫车间吸纳农村劳动力及脱贫人口3人以上就业，且月工资不低于当地最低工资标准的，每个帮扶车间补贴2万元，共认定8个扶贫车间。通过支持当地“就业援助服务站”建设，依托其开展招聘会、政策宣传等各项工作。转移农村劳动力及脱贫人口就业730人，实现在京、就地或省外稳定就业6个月以上，按照每人一次性1800元标准发放就业补贴。培训农村劳动力及脱贫人员100人，培训7天，按照每人每天100元的标准给予农村劳动力及脱贫人员技能培训补贴；按照每人700元的标准给予当地培训机构技能培训项目补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质量指标：帮助受帮扶地区农村劳动力及脱贫人员实现来京就业、就地就业和省外就业。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进度指标：每季度按照工作进程均有农村劳动力及脱贫人员实现就业。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成本指标：乡村振兴带头人来京培训经费3.5万元；农村劳动力及脱贫人口一次性转移就业补贴730人，补贴金额131.4万元；就业扶贫车间8个，补贴金额16万元；就业援助站工作经费10万元；技能培训补贴14万元。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效益指标：提高农村劳动力及脱贫人口就业机会，促进稳定就业，促进区域经济社会持续发展。通过扶贫车间，提供稳岗补贴助力贫困人员稳定就业，促进社会和谐。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服务对象满意度指标：帮助受帮扶地区提升就业水平，提高人岗匹配效率，力争服务对象满意率达90%。</w:t>
      </w:r>
    </w:p>
    <w:p>
      <w:pPr>
        <w:ind w:firstLine="640" w:firstLineChars="200"/>
        <w:rPr>
          <w:rFonts w:ascii="仿宋" w:hAnsi="仿宋" w:eastAsia="仿宋"/>
          <w:sz w:val="32"/>
          <w:szCs w:val="32"/>
        </w:rPr>
      </w:pPr>
      <w:r>
        <w:rPr>
          <w:rFonts w:hint="eastAsia" w:ascii="仿宋" w:hAnsi="仿宋" w:eastAsia="仿宋" w:cs="仿宋"/>
          <w:sz w:val="32"/>
          <w:szCs w:val="32"/>
        </w:rPr>
        <w:t>（五）</w:t>
      </w:r>
      <w:bookmarkStart w:id="4" w:name="_Toc3895"/>
      <w:bookmarkStart w:id="5" w:name="_Toc2489"/>
      <w:r>
        <w:rPr>
          <w:rFonts w:hint="eastAsia" w:ascii="仿宋" w:hAnsi="仿宋" w:eastAsia="仿宋" w:cs="仿宋"/>
          <w:sz w:val="32"/>
          <w:szCs w:val="32"/>
        </w:rPr>
        <w:t>国</w:t>
      </w:r>
      <w:r>
        <w:rPr>
          <w:rFonts w:hint="eastAsia" w:ascii="仿宋" w:hAnsi="仿宋" w:eastAsia="仿宋" w:cs="仿宋"/>
          <w:color w:val="000000"/>
          <w:sz w:val="32"/>
          <w:szCs w:val="32"/>
        </w:rPr>
        <w:t>有资本经营预算财政拨款情况说明</w:t>
      </w:r>
      <w:bookmarkEnd w:id="4"/>
      <w:bookmarkEnd w:id="5"/>
    </w:p>
    <w:p>
      <w:pPr>
        <w:spacing w:line="560" w:lineRule="exact"/>
        <w:ind w:firstLine="640" w:firstLineChars="200"/>
        <w:rPr>
          <w:rFonts w:ascii="仿宋" w:hAnsi="仿宋" w:eastAsia="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年北京市西城区人力资源和社会保障局无国有资本经营预算财政拨款。</w:t>
      </w:r>
    </w:p>
    <w:p>
      <w:pPr>
        <w:spacing w:line="560" w:lineRule="exact"/>
        <w:ind w:firstLine="640" w:firstLineChars="200"/>
        <w:rPr>
          <w:rFonts w:ascii="仿宋" w:hAnsi="仿宋" w:eastAsia="仿宋"/>
          <w:sz w:val="32"/>
          <w:szCs w:val="32"/>
        </w:rPr>
      </w:pPr>
      <w:r>
        <w:rPr>
          <w:rFonts w:hint="eastAsia" w:ascii="仿宋_GB2312" w:eastAsia="仿宋_GB2312" w:cs="仿宋_GB2312"/>
          <w:sz w:val="32"/>
          <w:szCs w:val="32"/>
        </w:rPr>
        <w:t>（</w:t>
      </w:r>
      <w:r>
        <w:rPr>
          <w:rFonts w:hint="eastAsia" w:ascii="仿宋" w:hAnsi="仿宋" w:eastAsia="仿宋" w:cs="仿宋"/>
          <w:sz w:val="32"/>
          <w:szCs w:val="32"/>
        </w:rPr>
        <w:t>六）国有资产占用情况说明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截止202</w:t>
      </w:r>
      <w:r>
        <w:rPr>
          <w:rFonts w:hint="eastAsia" w:ascii="仿宋" w:hAnsi="仿宋" w:eastAsia="仿宋" w:cs="仿宋"/>
          <w:sz w:val="32"/>
          <w:szCs w:val="32"/>
          <w:lang w:val="en-US" w:eastAsia="zh-CN"/>
        </w:rPr>
        <w:t>3</w:t>
      </w:r>
      <w:r>
        <w:rPr>
          <w:rFonts w:hint="eastAsia" w:ascii="仿宋" w:hAnsi="仿宋" w:eastAsia="仿宋" w:cs="仿宋"/>
          <w:sz w:val="32"/>
          <w:szCs w:val="32"/>
        </w:rPr>
        <w:t>年12月31日，本部门固定资产原值40,866.37 万元，固定资产累计折旧13,063.27 万元,固定资产净值27,803.10 万元，其中：车辆0台，0万元；单位价值50万元以上的通用设备0套、0万元，单位价值100万元以上的专用设备0台（套）。</w:t>
      </w:r>
    </w:p>
    <w:p>
      <w:pPr>
        <w:ind w:firstLine="640" w:firstLineChars="200"/>
        <w:rPr>
          <w:rFonts w:ascii="仿宋" w:hAnsi="仿宋" w:eastAsia="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年部门预算</w:t>
      </w:r>
      <w:r>
        <w:rPr>
          <w:rFonts w:ascii="仿宋" w:hAnsi="仿宋" w:eastAsia="仿宋" w:cs="仿宋"/>
          <w:sz w:val="32"/>
          <w:szCs w:val="32"/>
        </w:rPr>
        <w:t>:</w:t>
      </w:r>
      <w:r>
        <w:rPr>
          <w:rFonts w:hint="eastAsia" w:ascii="仿宋" w:hAnsi="仿宋" w:eastAsia="仿宋" w:cs="仿宋"/>
          <w:sz w:val="32"/>
          <w:szCs w:val="32"/>
        </w:rPr>
        <w:t>安排购置车辆</w:t>
      </w:r>
      <w:r>
        <w:rPr>
          <w:rFonts w:ascii="仿宋" w:hAnsi="仿宋" w:eastAsia="仿宋" w:cs="仿宋"/>
          <w:sz w:val="32"/>
          <w:szCs w:val="32"/>
        </w:rPr>
        <w:t>0</w:t>
      </w:r>
      <w:r>
        <w:rPr>
          <w:rFonts w:hint="eastAsia" w:ascii="仿宋" w:hAnsi="仿宋" w:eastAsia="仿宋" w:cs="仿宋"/>
          <w:sz w:val="32"/>
          <w:szCs w:val="32"/>
        </w:rPr>
        <w:t>台</w:t>
      </w:r>
      <w:r>
        <w:rPr>
          <w:rFonts w:ascii="仿宋" w:hAnsi="仿宋" w:eastAsia="仿宋" w:cs="仿宋"/>
          <w:sz w:val="32"/>
          <w:szCs w:val="32"/>
        </w:rPr>
        <w:t>,0</w:t>
      </w:r>
      <w:r>
        <w:rPr>
          <w:rFonts w:hint="eastAsia" w:ascii="仿宋" w:hAnsi="仿宋" w:eastAsia="仿宋" w:cs="仿宋"/>
          <w:sz w:val="32"/>
          <w:szCs w:val="32"/>
        </w:rPr>
        <w:t>元</w:t>
      </w:r>
      <w:r>
        <w:rPr>
          <w:rFonts w:ascii="仿宋" w:hAnsi="仿宋" w:eastAsia="仿宋" w:cs="仿宋"/>
          <w:sz w:val="32"/>
          <w:szCs w:val="32"/>
        </w:rPr>
        <w:t xml:space="preserve">, </w:t>
      </w:r>
      <w:r>
        <w:rPr>
          <w:rFonts w:hint="eastAsia" w:ascii="仿宋" w:hAnsi="仿宋" w:eastAsia="仿宋" w:cs="仿宋"/>
          <w:sz w:val="32"/>
          <w:szCs w:val="32"/>
        </w:rPr>
        <w:t>安排购置单位价值</w:t>
      </w:r>
      <w:r>
        <w:rPr>
          <w:rFonts w:ascii="仿宋" w:hAnsi="仿宋" w:eastAsia="仿宋" w:cs="仿宋"/>
          <w:sz w:val="32"/>
          <w:szCs w:val="32"/>
        </w:rPr>
        <w:t>50</w:t>
      </w:r>
      <w:r>
        <w:rPr>
          <w:rFonts w:hint="eastAsia" w:ascii="仿宋" w:hAnsi="仿宋" w:eastAsia="仿宋" w:cs="仿宋"/>
          <w:sz w:val="32"/>
          <w:szCs w:val="32"/>
        </w:rPr>
        <w:t>万元以上的通用设备</w:t>
      </w:r>
      <w:r>
        <w:rPr>
          <w:rFonts w:ascii="仿宋" w:hAnsi="仿宋" w:eastAsia="仿宋" w:cs="仿宋"/>
          <w:sz w:val="32"/>
          <w:szCs w:val="32"/>
        </w:rPr>
        <w:t>0</w:t>
      </w:r>
      <w:r>
        <w:rPr>
          <w:rFonts w:hint="eastAsia" w:ascii="仿宋" w:hAnsi="仿宋" w:eastAsia="仿宋" w:cs="仿宋"/>
          <w:sz w:val="32"/>
          <w:szCs w:val="32"/>
        </w:rPr>
        <w:t>台</w:t>
      </w:r>
      <w:r>
        <w:rPr>
          <w:rFonts w:ascii="仿宋" w:hAnsi="仿宋" w:eastAsia="仿宋" w:cs="仿宋"/>
          <w:sz w:val="32"/>
          <w:szCs w:val="32"/>
        </w:rPr>
        <w:t>(</w:t>
      </w:r>
      <w:r>
        <w:rPr>
          <w:rFonts w:hint="eastAsia" w:ascii="仿宋" w:hAnsi="仿宋" w:eastAsia="仿宋" w:cs="仿宋"/>
          <w:sz w:val="32"/>
          <w:szCs w:val="32"/>
        </w:rPr>
        <w:t>套</w:t>
      </w:r>
      <w:r>
        <w:rPr>
          <w:rFonts w:ascii="仿宋" w:hAnsi="仿宋" w:eastAsia="仿宋" w:cs="仿宋"/>
          <w:sz w:val="32"/>
          <w:szCs w:val="32"/>
        </w:rPr>
        <w:t>),0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单位价值</w:t>
      </w:r>
      <w:r>
        <w:rPr>
          <w:rFonts w:ascii="仿宋" w:hAnsi="仿宋" w:eastAsia="仿宋" w:cs="仿宋"/>
          <w:sz w:val="32"/>
          <w:szCs w:val="32"/>
        </w:rPr>
        <w:t>100</w:t>
      </w:r>
      <w:r>
        <w:rPr>
          <w:rFonts w:hint="eastAsia" w:ascii="仿宋" w:hAnsi="仿宋" w:eastAsia="仿宋" w:cs="仿宋"/>
          <w:sz w:val="32"/>
          <w:szCs w:val="32"/>
        </w:rPr>
        <w:t>万元以上的专用设备</w:t>
      </w:r>
      <w:r>
        <w:rPr>
          <w:rFonts w:ascii="仿宋" w:hAnsi="仿宋" w:eastAsia="仿宋" w:cs="仿宋"/>
          <w:sz w:val="32"/>
          <w:szCs w:val="32"/>
        </w:rPr>
        <w:t>0</w:t>
      </w:r>
      <w:r>
        <w:rPr>
          <w:rFonts w:hint="eastAsia" w:ascii="仿宋" w:hAnsi="仿宋" w:eastAsia="仿宋" w:cs="仿宋"/>
          <w:sz w:val="32"/>
          <w:szCs w:val="32"/>
        </w:rPr>
        <w:t>台</w:t>
      </w:r>
      <w:r>
        <w:rPr>
          <w:rFonts w:ascii="仿宋" w:hAnsi="仿宋" w:eastAsia="仿宋" w:cs="仿宋"/>
          <w:sz w:val="32"/>
          <w:szCs w:val="32"/>
        </w:rPr>
        <w:t>(</w:t>
      </w:r>
      <w:r>
        <w:rPr>
          <w:rFonts w:hint="eastAsia" w:ascii="仿宋" w:hAnsi="仿宋" w:eastAsia="仿宋" w:cs="仿宋"/>
          <w:sz w:val="32"/>
          <w:szCs w:val="32"/>
        </w:rPr>
        <w:t>套</w:t>
      </w:r>
      <w:r>
        <w:rPr>
          <w:rFonts w:ascii="仿宋" w:hAnsi="仿宋" w:eastAsia="仿宋" w:cs="仿宋"/>
          <w:sz w:val="32"/>
          <w:szCs w:val="32"/>
        </w:rPr>
        <w:t>),0</w:t>
      </w:r>
      <w:r>
        <w:rPr>
          <w:rFonts w:hint="eastAsia" w:ascii="仿宋" w:hAnsi="仿宋" w:eastAsia="仿宋" w:cs="仿宋"/>
          <w:sz w:val="32"/>
          <w:szCs w:val="32"/>
        </w:rPr>
        <w:t>元。</w:t>
      </w:r>
    </w:p>
    <w:p>
      <w:pPr>
        <w:spacing w:line="360" w:lineRule="auto"/>
        <w:ind w:firstLine="640" w:firstLineChars="200"/>
        <w:rPr>
          <w:rFonts w:ascii="仿宋" w:hAnsi="仿宋" w:eastAsia="仿宋"/>
          <w:sz w:val="32"/>
          <w:szCs w:val="32"/>
        </w:rPr>
      </w:pPr>
      <w:r>
        <w:rPr>
          <w:rFonts w:hint="eastAsia" w:ascii="仿宋" w:hAnsi="仿宋" w:eastAsia="仿宋" w:cs="仿宋"/>
          <w:sz w:val="32"/>
          <w:szCs w:val="32"/>
        </w:rPr>
        <w:t>（七）重点行政事业性收费情况说明</w:t>
      </w:r>
    </w:p>
    <w:p>
      <w:pPr>
        <w:spacing w:line="360" w:lineRule="auto"/>
        <w:ind w:firstLine="640" w:firstLineChars="200"/>
        <w:rPr>
          <w:rFonts w:ascii="仿宋" w:hAnsi="仿宋" w:eastAsia="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年北京市西城区人力资源和社会保障局无行政事业性收费重点项目。</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八、名称解释</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、基本支出：指为保障机构正常运转、完成日常工作任务而发生的人员支出和公用支出。</w:t>
      </w:r>
    </w:p>
    <w:p>
      <w:pPr>
        <w:ind w:firstLine="640" w:firstLineChars="200"/>
        <w:rPr>
          <w:rFonts w:ascii="仿宋" w:hAnsi="仿宋" w:eastAsia="仿宋" w:cs="仿宋"/>
          <w:sz w:val="32"/>
          <w:szCs w:val="32"/>
        </w:rPr>
      </w:pPr>
      <w:r>
        <w:rPr>
          <w:rFonts w:hint="eastAsia" w:ascii="仿宋" w:hAnsi="仿宋" w:eastAsia="仿宋" w:cs="仿宋"/>
          <w:sz w:val="32"/>
          <w:szCs w:val="32"/>
        </w:rPr>
        <w:t>2、项目支出：指在基本支出之外为完成特定行政任务或事业发展目标所发生的支出。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rPr>
        <w:t>3、“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ind w:firstLine="640" w:firstLineChars="200"/>
        <w:rPr>
          <w:rFonts w:ascii="仿宋" w:hAnsi="仿宋" w:eastAsia="仿宋" w:cs="仿宋"/>
          <w:sz w:val="32"/>
          <w:szCs w:val="32"/>
        </w:rPr>
      </w:pPr>
      <w:r>
        <w:rPr>
          <w:rFonts w:hint="eastAsia" w:ascii="仿宋" w:hAnsi="仿宋" w:eastAsia="仿宋" w:cs="仿宋"/>
          <w:sz w:val="32"/>
          <w:szCs w:val="32"/>
        </w:rPr>
        <w:t>4、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cs="仿宋"/>
          <w:sz w:val="32"/>
          <w:szCs w:val="32"/>
        </w:rPr>
      </w:pPr>
      <w:r>
        <w:rPr>
          <w:rFonts w:hint="eastAsia" w:ascii="仿宋" w:hAnsi="仿宋" w:eastAsia="仿宋" w:cs="仿宋"/>
          <w:sz w:val="32"/>
          <w:szCs w:val="32"/>
        </w:rPr>
        <w:t>5、政府采购：各级国家机关、事业单位和团体组织，使用财政性资金采购依法制定的集中采购目录以内的或者采购限额标准以上的货物、工程和服务的行为，是规范财政支出管理和强化预算约束的有效措施。</w:t>
      </w:r>
    </w:p>
    <w:p>
      <w:pPr>
        <w:ind w:firstLine="640" w:firstLineChars="200"/>
      </w:pPr>
      <w:r>
        <w:rPr>
          <w:rFonts w:hint="eastAsia" w:ascii="仿宋" w:hAnsi="仿宋" w:eastAsia="仿宋" w:cs="仿宋"/>
          <w:sz w:val="32"/>
          <w:szCs w:val="32"/>
        </w:rPr>
        <w:t>6、政府购买服务：通过发挥市场机制作用，把政府直接提供的一部分公共服务事项以及政府履职所需要服务事项，按照一定的方式和程序，交由具备条件的社会力量和事业单位承担，并由政府根据合同约定向其支付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57753"/>
    <w:rsid w:val="19784875"/>
    <w:rsid w:val="28676905"/>
    <w:rsid w:val="287A6F58"/>
    <w:rsid w:val="2C8F3015"/>
    <w:rsid w:val="3DEE2760"/>
    <w:rsid w:val="40EF106B"/>
    <w:rsid w:val="4DE60942"/>
    <w:rsid w:val="50404D99"/>
    <w:rsid w:val="53761531"/>
    <w:rsid w:val="650D4488"/>
    <w:rsid w:val="70996C5B"/>
    <w:rsid w:val="78A0671B"/>
    <w:rsid w:val="795D5DB1"/>
    <w:rsid w:val="797C7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2024-01-31T03:07:00Z</dcterms:created>
  <dc:creator>于冬梅</dc:creator>
  <cp:lastModifiedBy>于冬梅</cp:lastModifiedBy>
  <dcterms:modified xsi:type="dcterms:W3CDTF">2024-02-02T02:57:11Z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