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80" w:lineRule="exact"/>
        <w:jc w:val="center"/>
        <w:rPr>
          <w:rFonts w:ascii="Helvetica" w:hAnsi="Helvetica" w:eastAsia="宋体" w:cs="Arial"/>
          <w:kern w:val="0"/>
          <w:sz w:val="44"/>
          <w:szCs w:val="44"/>
        </w:rPr>
      </w:pPr>
      <w:r>
        <w:rPr>
          <w:rFonts w:hint="eastAsia" w:ascii="方正小标宋简体" w:hAnsi="Helvetica" w:eastAsia="方正小标宋简体" w:cs="Arial"/>
          <w:kern w:val="0"/>
          <w:sz w:val="44"/>
          <w:szCs w:val="44"/>
        </w:rPr>
        <w:t>北京市西城区城市管理委员会</w:t>
      </w:r>
    </w:p>
    <w:p>
      <w:pPr>
        <w:widowControl/>
        <w:spacing w:line="680" w:lineRule="exact"/>
        <w:jc w:val="center"/>
        <w:rPr>
          <w:rFonts w:ascii="Helvetica" w:hAnsi="Helvetica" w:eastAsia="宋体" w:cs="Arial"/>
          <w:kern w:val="0"/>
          <w:sz w:val="44"/>
          <w:szCs w:val="44"/>
        </w:rPr>
      </w:pPr>
      <w:r>
        <w:rPr>
          <w:rFonts w:hint="eastAsia" w:ascii="方正小标宋简体" w:hAnsi="Helvetica" w:eastAsia="方正小标宋简体" w:cs="Arial"/>
          <w:kern w:val="0"/>
          <w:sz w:val="44"/>
          <w:szCs w:val="44"/>
        </w:rPr>
        <w:t>202</w:t>
      </w:r>
      <w:r>
        <w:rPr>
          <w:rFonts w:hint="eastAsia" w:ascii="方正小标宋简体" w:hAnsi="Helvetica" w:eastAsia="方正小标宋简体" w:cs="Arial"/>
          <w:kern w:val="0"/>
          <w:sz w:val="44"/>
          <w:szCs w:val="44"/>
          <w:lang w:val="en-US" w:eastAsia="zh-CN"/>
        </w:rPr>
        <w:t>3</w:t>
      </w:r>
      <w:r>
        <w:rPr>
          <w:rFonts w:hint="eastAsia" w:ascii="方正小标宋简体" w:hAnsi="Helvetica" w:eastAsia="方正小标宋简体" w:cs="Arial"/>
          <w:kern w:val="0"/>
          <w:sz w:val="44"/>
          <w:szCs w:val="44"/>
        </w:rPr>
        <w:t>年政府信息公开工作年度报告</w:t>
      </w:r>
    </w:p>
    <w:p>
      <w:pPr>
        <w:widowControl/>
        <w:spacing w:line="555" w:lineRule="atLeast"/>
        <w:ind w:firstLine="450"/>
        <w:jc w:val="left"/>
        <w:rPr>
          <w:rFonts w:ascii="Helvetica" w:hAnsi="Helvetica" w:eastAsia="宋体" w:cs="Arial"/>
          <w:kern w:val="0"/>
          <w:sz w:val="18"/>
          <w:szCs w:val="18"/>
        </w:rPr>
      </w:pPr>
    </w:p>
    <w:p>
      <w:pPr>
        <w:widowControl/>
        <w:spacing w:line="560" w:lineRule="exact"/>
        <w:ind w:firstLine="450"/>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 依据《中华人民共和国政府信息公开条例》(以下简称《政府信息公开条例》)第五十条规定，编制本报告。</w:t>
      </w:r>
    </w:p>
    <w:p>
      <w:pPr>
        <w:widowControl/>
        <w:spacing w:line="560" w:lineRule="exact"/>
        <w:ind w:firstLine="675"/>
        <w:jc w:val="left"/>
        <w:rPr>
          <w:rFonts w:ascii="黑体" w:hAnsi="黑体" w:eastAsia="黑体" w:cs="黑体"/>
          <w:kern w:val="0"/>
          <w:sz w:val="32"/>
          <w:szCs w:val="32"/>
        </w:rPr>
      </w:pPr>
      <w:r>
        <w:rPr>
          <w:rFonts w:hint="eastAsia" w:ascii="黑体" w:hAnsi="黑体" w:eastAsia="黑体" w:cs="黑体"/>
          <w:spacing w:val="15"/>
          <w:kern w:val="0"/>
          <w:sz w:val="32"/>
          <w:szCs w:val="32"/>
        </w:rPr>
        <w:t>一、总体情况</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1、主动公开</w:t>
      </w:r>
    </w:p>
    <w:p>
      <w:pPr>
        <w:widowControl/>
        <w:spacing w:line="560" w:lineRule="exact"/>
        <w:ind w:firstLine="675"/>
        <w:jc w:val="left"/>
        <w:rPr>
          <w:rFonts w:ascii="仿宋_GB2312" w:hAnsi="仿宋_GB2312" w:eastAsia="仿宋_GB2312" w:cs="仿宋_GB2312"/>
          <w:spacing w:val="15"/>
          <w:kern w:val="0"/>
          <w:sz w:val="32"/>
          <w:szCs w:val="32"/>
          <w:highlight w:val="red"/>
        </w:rPr>
      </w:pPr>
      <w:r>
        <w:rPr>
          <w:rFonts w:hint="eastAsia" w:ascii="仿宋_GB2312" w:hAnsi="仿宋_GB2312" w:eastAsia="仿宋_GB2312" w:cs="仿宋_GB2312"/>
          <w:spacing w:val="15"/>
          <w:kern w:val="0"/>
          <w:sz w:val="32"/>
          <w:szCs w:val="32"/>
          <w:highlight w:val="none"/>
        </w:rPr>
        <w:t>本单位202</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年共主动公开政府信息</w:t>
      </w:r>
      <w:r>
        <w:rPr>
          <w:rFonts w:hint="eastAsia" w:ascii="仿宋_GB2312" w:hAnsi="仿宋_GB2312" w:eastAsia="仿宋_GB2312" w:cs="仿宋_GB2312"/>
          <w:spacing w:val="15"/>
          <w:kern w:val="0"/>
          <w:sz w:val="32"/>
          <w:szCs w:val="32"/>
          <w:highlight w:val="none"/>
          <w:lang w:val="en-US" w:eastAsia="zh-CN"/>
        </w:rPr>
        <w:t>147</w:t>
      </w:r>
      <w:r>
        <w:rPr>
          <w:rFonts w:hint="eastAsia" w:ascii="仿宋_GB2312" w:hAnsi="仿宋_GB2312" w:eastAsia="仿宋_GB2312" w:cs="仿宋_GB2312"/>
          <w:spacing w:val="15"/>
          <w:kern w:val="0"/>
          <w:sz w:val="32"/>
          <w:szCs w:val="32"/>
          <w:highlight w:val="none"/>
        </w:rPr>
        <w:t>条，其中全文电子化率达100%。</w:t>
      </w:r>
      <w:r>
        <w:rPr>
          <w:rFonts w:hint="eastAsia" w:ascii="仿宋_GB2312" w:hAnsi="仿宋_GB2312" w:eastAsia="仿宋_GB2312" w:cs="仿宋_GB2312"/>
          <w:spacing w:val="15"/>
          <w:kern w:val="0"/>
          <w:sz w:val="32"/>
          <w:szCs w:val="32"/>
        </w:rPr>
        <w:t>及时主动公开了我委职能职责、机构设置信息，及时主动公开了我委财政预决算、限额以下采购信息。及时主动公开征求《西城区街道“垃圾分类工作经费”预算定额标准暂行办法（试行）》、《西城区生活垃圾分类以奖代补专项资金管理办法》等涉及西城区发展及民生方面政策意见。主动公开西城区企业警示信息和良好信息等信息，促进了信用西城建设工作。</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rPr>
        <w:t>（1）深入推进预决算公开。详细公开所有财政拨款安排的“三公”经费。政府预决算和部门预决算基本支出全部细化公开到经济分类款级科目。在部门预算公开中增加政府采购预算情况。增加公开内容，增加机关运行经费及政府采购预算信息公开；进一步细化“三公”经费财政拨款预算公开内容，增加单位车辆保有量的预算信息。</w:t>
      </w: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年行政事业性收费</w:t>
      </w:r>
      <w:r>
        <w:rPr>
          <w:rFonts w:hint="eastAsia" w:ascii="仿宋_GB2312" w:hAnsi="仿宋_GB2312" w:eastAsia="仿宋_GB2312" w:cs="仿宋_GB2312"/>
          <w:spacing w:val="15"/>
          <w:kern w:val="0"/>
          <w:sz w:val="32"/>
          <w:szCs w:val="32"/>
          <w:highlight w:val="none"/>
          <w:lang w:val="en-US" w:eastAsia="zh-CN"/>
        </w:rPr>
        <w:t>4</w:t>
      </w:r>
      <w:r>
        <w:rPr>
          <w:rFonts w:hint="eastAsia" w:ascii="仿宋_GB2312" w:hAnsi="仿宋_GB2312" w:eastAsia="仿宋_GB2312" w:cs="仿宋_GB2312"/>
          <w:spacing w:val="15"/>
          <w:kern w:val="0"/>
          <w:sz w:val="32"/>
          <w:szCs w:val="32"/>
          <w:highlight w:val="none"/>
        </w:rPr>
        <w:t>项，政府集中采购</w:t>
      </w:r>
      <w:r>
        <w:rPr>
          <w:rFonts w:hint="eastAsia" w:ascii="仿宋_GB2312" w:hAnsi="仿宋_GB2312" w:eastAsia="仿宋_GB2312" w:cs="仿宋_GB2312"/>
          <w:spacing w:val="15"/>
          <w:kern w:val="0"/>
          <w:sz w:val="32"/>
          <w:szCs w:val="32"/>
          <w:highlight w:val="none"/>
          <w:lang w:val="en-US" w:eastAsia="zh-CN"/>
        </w:rPr>
        <w:t>25</w:t>
      </w:r>
      <w:r>
        <w:rPr>
          <w:rFonts w:hint="eastAsia" w:ascii="仿宋_GB2312" w:hAnsi="仿宋_GB2312" w:eastAsia="仿宋_GB2312" w:cs="仿宋_GB2312"/>
          <w:spacing w:val="15"/>
          <w:kern w:val="0"/>
          <w:sz w:val="32"/>
          <w:szCs w:val="32"/>
          <w:highlight w:val="none"/>
        </w:rPr>
        <w:t>项。</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rPr>
        <w:t>（2）推进权力清单和责任清单公开，并建立动态管理机制。根据市委全面深化改革领导小组转变政府职能改革专项小组《关于推行区政府部门权力清单责任清单制度的指导意见》要求，根据《西城区编制权力清单责任清单工作方案》，编制西城区城市委行政许可、行政处罚、行政强制、行政征收、行政确认等权力事项清单工作，将政府职能、法律依据、实施主体、职责权限等事项以权力清单形式公开。推动行政许可结果、行政处罚结果公开，</w:t>
      </w: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年共计公开行政许可结果</w:t>
      </w:r>
      <w:r>
        <w:rPr>
          <w:rFonts w:hint="eastAsia" w:ascii="仿宋_GB2312" w:hAnsi="仿宋_GB2312" w:eastAsia="仿宋_GB2312" w:cs="仿宋_GB2312"/>
          <w:spacing w:val="15"/>
          <w:kern w:val="0"/>
          <w:sz w:val="32"/>
          <w:szCs w:val="32"/>
          <w:highlight w:val="none"/>
          <w:lang w:val="en-US" w:eastAsia="zh-CN"/>
        </w:rPr>
        <w:t>123</w:t>
      </w:r>
      <w:r>
        <w:rPr>
          <w:rFonts w:hint="eastAsia" w:ascii="仿宋_GB2312" w:hAnsi="仿宋_GB2312" w:eastAsia="仿宋_GB2312" w:cs="仿宋_GB2312"/>
          <w:spacing w:val="15"/>
          <w:kern w:val="0"/>
          <w:sz w:val="32"/>
          <w:szCs w:val="32"/>
          <w:highlight w:val="none"/>
        </w:rPr>
        <w:t>条，行政处罚</w:t>
      </w:r>
      <w:r>
        <w:rPr>
          <w:rFonts w:hint="eastAsia" w:ascii="仿宋_GB2312" w:hAnsi="仿宋_GB2312" w:eastAsia="仿宋_GB2312" w:cs="仿宋_GB2312"/>
          <w:spacing w:val="15"/>
          <w:kern w:val="0"/>
          <w:sz w:val="32"/>
          <w:szCs w:val="32"/>
          <w:highlight w:val="none"/>
          <w:lang w:val="en-US" w:eastAsia="zh-CN"/>
        </w:rPr>
        <w:t>7919</w:t>
      </w:r>
      <w:r>
        <w:rPr>
          <w:rFonts w:hint="eastAsia" w:ascii="仿宋_GB2312" w:hAnsi="仿宋_GB2312" w:eastAsia="仿宋_GB2312" w:cs="仿宋_GB2312"/>
          <w:spacing w:val="15"/>
          <w:kern w:val="0"/>
          <w:sz w:val="32"/>
          <w:szCs w:val="32"/>
          <w:highlight w:val="none"/>
        </w:rPr>
        <w:t>条。</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rPr>
        <w:t>（3）推进安全生产监管信息公开。按要求对安全生产行政许可、日常巡查的信息发布，完善信息公开制度，要求责任部门及时准确公开生产安全事故调查处理情况信息，重点做好社会影响较大、关注度较高的事故信息发布工作。完善生产安全事故应急处置信息公开机制，及时发布突发事故应急处置情况。积极推进安全政务公开工作。</w:t>
      </w: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年安全生产检查</w:t>
      </w:r>
      <w:r>
        <w:rPr>
          <w:rFonts w:hint="eastAsia" w:ascii="仿宋_GB2312" w:hAnsi="仿宋_GB2312" w:eastAsia="仿宋_GB2312" w:cs="仿宋_GB2312"/>
          <w:spacing w:val="15"/>
          <w:kern w:val="0"/>
          <w:sz w:val="32"/>
          <w:szCs w:val="32"/>
          <w:highlight w:val="none"/>
          <w:lang w:val="en-US" w:eastAsia="zh-CN"/>
        </w:rPr>
        <w:t>1256家</w:t>
      </w:r>
      <w:r>
        <w:rPr>
          <w:rFonts w:hint="eastAsia" w:ascii="仿宋_GB2312" w:hAnsi="仿宋_GB2312" w:eastAsia="仿宋_GB2312" w:cs="仿宋_GB2312"/>
          <w:spacing w:val="15"/>
          <w:kern w:val="0"/>
          <w:sz w:val="32"/>
          <w:szCs w:val="32"/>
          <w:highlight w:val="none"/>
        </w:rPr>
        <w:t>次，查找并整改隐患</w:t>
      </w:r>
      <w:r>
        <w:rPr>
          <w:rFonts w:hint="eastAsia" w:ascii="仿宋_GB2312" w:hAnsi="仿宋_GB2312" w:eastAsia="仿宋_GB2312" w:cs="仿宋_GB2312"/>
          <w:spacing w:val="15"/>
          <w:kern w:val="0"/>
          <w:sz w:val="32"/>
          <w:szCs w:val="32"/>
          <w:highlight w:val="none"/>
          <w:lang w:val="en-US" w:eastAsia="zh-CN"/>
        </w:rPr>
        <w:t>469</w:t>
      </w:r>
      <w:r>
        <w:rPr>
          <w:rFonts w:hint="eastAsia" w:ascii="仿宋_GB2312" w:hAnsi="仿宋_GB2312" w:eastAsia="仿宋_GB2312" w:cs="仿宋_GB2312"/>
          <w:spacing w:val="15"/>
          <w:kern w:val="0"/>
          <w:sz w:val="32"/>
          <w:szCs w:val="32"/>
          <w:highlight w:val="none"/>
        </w:rPr>
        <w:t>处。</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highlight w:val="none"/>
        </w:rPr>
        <w:t>2、依申请公开</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highlight w:val="none"/>
        </w:rPr>
        <w:t>针对依申请公开问题和败诉案件中存在的共性问题，梳理汇总申请受理、办理、答复全环节过程中的突出问题，提升自身依申请公开依法规范水平。依据依申请公开第三方专项测评反馈问题清单，查找薄弱环节，切实对照整改。</w:t>
      </w:r>
    </w:p>
    <w:p>
      <w:pPr>
        <w:widowControl/>
        <w:spacing w:line="560" w:lineRule="exact"/>
        <w:ind w:firstLine="675"/>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spacing w:val="15"/>
          <w:kern w:val="0"/>
          <w:sz w:val="32"/>
          <w:szCs w:val="32"/>
          <w:highlight w:val="none"/>
        </w:rPr>
        <w:t>202</w:t>
      </w:r>
      <w:r>
        <w:rPr>
          <w:rFonts w:hint="eastAsia" w:ascii="仿宋_GB2312" w:hAnsi="仿宋_GB2312" w:eastAsia="仿宋_GB2312" w:cs="仿宋_GB2312"/>
          <w:spacing w:val="15"/>
          <w:kern w:val="0"/>
          <w:sz w:val="32"/>
          <w:szCs w:val="32"/>
          <w:highlight w:val="none"/>
          <w:lang w:val="en-US" w:eastAsia="zh-CN"/>
        </w:rPr>
        <w:t>3</w:t>
      </w:r>
      <w:r>
        <w:rPr>
          <w:rFonts w:hint="eastAsia" w:ascii="仿宋_GB2312" w:hAnsi="仿宋_GB2312" w:eastAsia="仿宋_GB2312" w:cs="仿宋_GB2312"/>
          <w:spacing w:val="15"/>
          <w:kern w:val="0"/>
          <w:sz w:val="32"/>
          <w:szCs w:val="32"/>
          <w:highlight w:val="none"/>
        </w:rPr>
        <w:t>年本单位共收到政府信息公开申请</w:t>
      </w:r>
      <w:r>
        <w:rPr>
          <w:rFonts w:hint="eastAsia" w:ascii="仿宋_GB2312" w:hAnsi="仿宋_GB2312" w:eastAsia="仿宋_GB2312" w:cs="仿宋_GB2312"/>
          <w:spacing w:val="15"/>
          <w:kern w:val="0"/>
          <w:sz w:val="32"/>
          <w:szCs w:val="32"/>
          <w:highlight w:val="none"/>
          <w:lang w:val="en-US" w:eastAsia="zh-CN"/>
        </w:rPr>
        <w:t>13</w:t>
      </w:r>
      <w:r>
        <w:rPr>
          <w:rFonts w:hint="eastAsia" w:ascii="仿宋_GB2312" w:hAnsi="仿宋_GB2312" w:eastAsia="仿宋_GB2312" w:cs="仿宋_GB2312"/>
          <w:spacing w:val="15"/>
          <w:kern w:val="0"/>
          <w:sz w:val="32"/>
          <w:szCs w:val="32"/>
          <w:highlight w:val="none"/>
        </w:rPr>
        <w:t>件</w:t>
      </w:r>
      <w:r>
        <w:rPr>
          <w:rFonts w:hint="eastAsia" w:ascii="仿宋_GB2312" w:hAnsi="仿宋_GB2312" w:eastAsia="仿宋_GB2312" w:cs="仿宋_GB2312"/>
          <w:spacing w:val="15"/>
          <w:kern w:val="0"/>
          <w:sz w:val="32"/>
          <w:szCs w:val="32"/>
          <w:highlight w:val="none"/>
          <w:lang w:val="en-US" w:eastAsia="zh-CN"/>
        </w:rPr>
        <w:t>,</w:t>
      </w:r>
      <w:r>
        <w:rPr>
          <w:rFonts w:hint="eastAsia" w:ascii="仿宋_GB2312" w:hAnsi="仿宋_GB2312" w:eastAsia="仿宋_GB2312" w:cs="仿宋_GB2312"/>
          <w:spacing w:val="15"/>
          <w:kern w:val="0"/>
          <w:sz w:val="32"/>
          <w:szCs w:val="32"/>
          <w:highlight w:val="none"/>
        </w:rPr>
        <w:t>相关情况详见附表。</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3、政府信息公开平台建设常态化</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依据第三方检查评估结果对西城区城市委</w:t>
      </w:r>
      <w:r>
        <w:rPr>
          <w:rFonts w:hint="eastAsia" w:ascii="仿宋_GB2312" w:hAnsi="仿宋_GB2312" w:eastAsia="仿宋_GB2312" w:cs="仿宋_GB2312"/>
          <w:spacing w:val="15"/>
          <w:kern w:val="0"/>
          <w:sz w:val="32"/>
          <w:szCs w:val="32"/>
          <w:lang w:eastAsia="zh-CN"/>
        </w:rPr>
        <w:t>市</w:t>
      </w:r>
      <w:bookmarkStart w:id="0" w:name="_GoBack"/>
      <w:bookmarkEnd w:id="0"/>
      <w:r>
        <w:rPr>
          <w:rFonts w:hint="eastAsia" w:ascii="仿宋_GB2312" w:hAnsi="仿宋_GB2312" w:eastAsia="仿宋_GB2312" w:cs="仿宋_GB2312"/>
          <w:spacing w:val="15"/>
          <w:kern w:val="0"/>
          <w:sz w:val="32"/>
          <w:szCs w:val="32"/>
        </w:rPr>
        <w:t>政府网站内容建设情况进行全面检查，深入挖掘问题，使网站管理工作规范化。定期对我委网站信息进行更新，保持我委信息平台内容的时效性，加强我委信息平台建设。</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4、政府信息公开监督保障机制</w:t>
      </w:r>
    </w:p>
    <w:p>
      <w:pPr>
        <w:widowControl/>
        <w:spacing w:line="560" w:lineRule="exact"/>
        <w:ind w:firstLine="675"/>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新的信息公开条例实施以来，我委加大对新条例的宣传贯彻力度，通过组织培训会的形式，学习新的信息公开条例，对政府信息及政务公开业务进行培训，提高工作人员信息公开知晓率，</w:t>
      </w:r>
      <w:r>
        <w:rPr>
          <w:rFonts w:hint="eastAsia" w:ascii="仿宋_GB2312" w:hAnsi="仿宋_GB2312" w:eastAsia="仿宋_GB2312" w:cs="仿宋_GB2312"/>
          <w:spacing w:val="15"/>
          <w:kern w:val="0"/>
          <w:sz w:val="32"/>
          <w:szCs w:val="32"/>
          <w:highlight w:val="none"/>
        </w:rPr>
        <w:t>累计培训2</w:t>
      </w:r>
      <w:r>
        <w:rPr>
          <w:rFonts w:hint="eastAsia" w:ascii="仿宋_GB2312" w:hAnsi="仿宋_GB2312" w:eastAsia="仿宋_GB2312" w:cs="仿宋_GB2312"/>
          <w:spacing w:val="15"/>
          <w:kern w:val="0"/>
          <w:sz w:val="32"/>
          <w:szCs w:val="32"/>
          <w:highlight w:val="none"/>
          <w:lang w:val="en-US" w:eastAsia="zh-CN"/>
        </w:rPr>
        <w:t>00余</w:t>
      </w:r>
      <w:r>
        <w:rPr>
          <w:rFonts w:hint="eastAsia" w:ascii="仿宋_GB2312" w:hAnsi="仿宋_GB2312" w:eastAsia="仿宋_GB2312" w:cs="仿宋_GB2312"/>
          <w:spacing w:val="15"/>
          <w:kern w:val="0"/>
          <w:sz w:val="32"/>
          <w:szCs w:val="32"/>
          <w:highlight w:val="none"/>
        </w:rPr>
        <w:t>人次，</w:t>
      </w:r>
      <w:r>
        <w:rPr>
          <w:rFonts w:hint="eastAsia" w:ascii="仿宋_GB2312" w:hAnsi="仿宋_GB2312" w:eastAsia="仿宋_GB2312" w:cs="仿宋_GB2312"/>
          <w:spacing w:val="15"/>
          <w:kern w:val="0"/>
          <w:sz w:val="32"/>
          <w:szCs w:val="32"/>
        </w:rPr>
        <w:t>实现主管领导、科室负责人和工作人员的业务培训全覆盖。</w:t>
      </w:r>
    </w:p>
    <w:p>
      <w:pPr>
        <w:widowControl/>
        <w:spacing w:line="560" w:lineRule="exact"/>
        <w:ind w:firstLine="675"/>
        <w:jc w:val="left"/>
        <w:rPr>
          <w:rFonts w:ascii="仿宋_GB2312" w:hAnsi="仿宋_GB2312" w:eastAsia="仿宋_GB2312" w:cs="仿宋_GB2312"/>
          <w:spacing w:val="15"/>
          <w:kern w:val="0"/>
          <w:sz w:val="32"/>
          <w:szCs w:val="32"/>
        </w:rPr>
      </w:pPr>
    </w:p>
    <w:p>
      <w:pPr>
        <w:widowControl/>
        <w:spacing w:line="560" w:lineRule="exact"/>
        <w:ind w:firstLine="675"/>
        <w:jc w:val="left"/>
        <w:rPr>
          <w:rFonts w:ascii="仿宋_GB2312" w:hAnsi="仿宋_GB2312" w:eastAsia="仿宋_GB2312" w:cs="仿宋_GB2312"/>
          <w:spacing w:val="15"/>
          <w:kern w:val="0"/>
          <w:sz w:val="32"/>
          <w:szCs w:val="32"/>
        </w:rPr>
      </w:pPr>
    </w:p>
    <w:p>
      <w:pPr>
        <w:widowControl/>
        <w:spacing w:line="555" w:lineRule="atLeas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二、</w:t>
      </w:r>
      <w:r>
        <w:rPr>
          <w:rFonts w:hint="eastAsia" w:ascii="黑体" w:hAnsi="黑体" w:eastAsia="黑体" w:cs="Arial"/>
          <w:kern w:val="0"/>
          <w:sz w:val="32"/>
          <w:szCs w:val="32"/>
          <w:highlight w:val="none"/>
        </w:rPr>
        <w:t>主动公开政府信息情况</w:t>
      </w:r>
    </w:p>
    <w:p>
      <w:pPr>
        <w:widowControl/>
        <w:spacing w:line="555" w:lineRule="atLeast"/>
        <w:jc w:val="left"/>
        <w:rPr>
          <w:rFonts w:ascii="黑体" w:hAnsi="黑体" w:eastAsia="黑体" w:cs="Arial"/>
          <w:kern w:val="0"/>
          <w:sz w:val="32"/>
          <w:szCs w:val="32"/>
        </w:rPr>
      </w:pPr>
    </w:p>
    <w:tbl>
      <w:tblPr>
        <w:tblStyle w:val="6"/>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8"/>
        <w:gridCol w:w="2238"/>
        <w:gridCol w:w="223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本年制发件数</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本年废止件数</w:t>
            </w:r>
          </w:p>
        </w:tc>
        <w:tc>
          <w:tcPr>
            <w:tcW w:w="2251"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规章</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行政规范性文件</w:t>
            </w:r>
          </w:p>
        </w:tc>
        <w:tc>
          <w:tcPr>
            <w:tcW w:w="2238" w:type="dxa"/>
            <w:shd w:val="clear" w:color="auto" w:fill="auto"/>
            <w:tcMar>
              <w:top w:w="0" w:type="dxa"/>
              <w:left w:w="60" w:type="dxa"/>
              <w:bottom w:w="0" w:type="dxa"/>
              <w:right w:w="60" w:type="dxa"/>
            </w:tcMar>
            <w:vAlign w:val="center"/>
          </w:tcPr>
          <w:p>
            <w:pPr>
              <w:widowControl/>
              <w:jc w:val="left"/>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3</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行政许可</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行政处罚</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行政强制</w:t>
            </w:r>
          </w:p>
        </w:tc>
        <w:tc>
          <w:tcPr>
            <w:tcW w:w="6727" w:type="dxa"/>
            <w:gridSpan w:val="3"/>
            <w:shd w:val="clear" w:color="auto" w:fill="auto"/>
            <w:tcMar>
              <w:top w:w="0" w:type="dxa"/>
              <w:left w:w="60" w:type="dxa"/>
              <w:bottom w:w="0" w:type="dxa"/>
              <w:right w:w="60" w:type="dxa"/>
            </w:tcMar>
            <w:vAlign w:val="center"/>
          </w:tcPr>
          <w:p>
            <w:pPr>
              <w:widowControl/>
              <w:jc w:val="left"/>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行政事业性收费</w:t>
            </w:r>
          </w:p>
        </w:tc>
        <w:tc>
          <w:tcPr>
            <w:tcW w:w="6727" w:type="dxa"/>
            <w:gridSpan w:val="3"/>
            <w:shd w:val="clear" w:color="auto" w:fill="auto"/>
            <w:tcMar>
              <w:top w:w="0" w:type="dxa"/>
              <w:left w:w="60" w:type="dxa"/>
              <w:bottom w:w="0" w:type="dxa"/>
              <w:right w:w="60" w:type="dxa"/>
            </w:tcMar>
            <w:vAlign w:val="center"/>
          </w:tcPr>
          <w:p>
            <w:pPr>
              <w:widowControl/>
              <w:jc w:val="left"/>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93.37</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br w:type="page"/>
      </w:r>
    </w:p>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rPr>
      </w:pPr>
      <w:r>
        <w:rPr>
          <w:rFonts w:hint="eastAsia" w:ascii="黑体" w:hAnsi="黑体" w:eastAsia="黑体" w:cs="Arial"/>
          <w:kern w:val="0"/>
          <w:sz w:val="32"/>
          <w:szCs w:val="32"/>
        </w:rPr>
        <w:t>三、收到和处理政府信息公开申请情况</w:t>
      </w:r>
    </w:p>
    <w:p>
      <w:pPr>
        <w:widowControl/>
        <w:shd w:val="clear" w:color="auto" w:fill="FFFFFF"/>
        <w:ind w:firstLine="420"/>
        <w:rPr>
          <w:rFonts w:ascii="Helvetica" w:hAnsi="Helvetica" w:eastAsia="宋体" w:cs="Arial"/>
          <w:kern w:val="0"/>
          <w:szCs w:val="21"/>
        </w:rPr>
      </w:pPr>
      <w:r>
        <w:rPr>
          <w:rFonts w:hint="eastAsia" w:ascii="宋体" w:hAnsi="宋体" w:eastAsia="宋体" w:cs="Arial"/>
          <w:kern w:val="0"/>
          <w:sz w:val="24"/>
          <w:szCs w:val="24"/>
        </w:rPr>
        <w:t> </w:t>
      </w:r>
    </w:p>
    <w:tbl>
      <w:tblPr>
        <w:tblStyle w:val="6"/>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2"/>
        <w:gridCol w:w="915"/>
        <w:gridCol w:w="2870"/>
        <w:gridCol w:w="641"/>
        <w:gridCol w:w="642"/>
        <w:gridCol w:w="642"/>
        <w:gridCol w:w="642"/>
        <w:gridCol w:w="642"/>
        <w:gridCol w:w="64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restart"/>
            <w:shd w:val="clear" w:color="auto" w:fill="9BC2E6"/>
            <w:tcMar>
              <w:top w:w="0" w:type="dxa"/>
              <w:left w:w="105" w:type="dxa"/>
              <w:bottom w:w="0" w:type="dxa"/>
              <w:right w:w="105" w:type="dxa"/>
            </w:tcMar>
            <w:vAlign w:val="center"/>
          </w:tcPr>
          <w:p>
            <w:pPr>
              <w:widowControl/>
              <w:jc w:val="left"/>
              <w:rPr>
                <w:rFonts w:ascii="Helvetica" w:hAnsi="Helvetica" w:eastAsia="宋体" w:cs="宋体"/>
                <w:kern w:val="0"/>
                <w:szCs w:val="21"/>
              </w:rPr>
            </w:pPr>
            <w:r>
              <w:rPr>
                <w:rFonts w:hint="eastAsia" w:ascii="楷体" w:hAnsi="楷体" w:eastAsia="楷体" w:cs="宋体"/>
                <w:kern w:val="0"/>
                <w:sz w:val="20"/>
                <w:szCs w:val="20"/>
              </w:rPr>
              <w:t>（本列数据的勾稽关系为：第一项加第二项之和，等于第三项加第四项之和）</w:t>
            </w:r>
          </w:p>
        </w:tc>
        <w:tc>
          <w:tcPr>
            <w:tcW w:w="4493" w:type="dxa"/>
            <w:gridSpan w:val="7"/>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自然人</w:t>
            </w:r>
          </w:p>
        </w:tc>
        <w:tc>
          <w:tcPr>
            <w:tcW w:w="3210" w:type="dxa"/>
            <w:gridSpan w:val="5"/>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法人或其他组织</w:t>
            </w:r>
          </w:p>
        </w:tc>
        <w:tc>
          <w:tcPr>
            <w:tcW w:w="642"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continue"/>
            <w:shd w:val="clear" w:color="auto" w:fill="auto"/>
            <w:vAlign w:val="center"/>
          </w:tcPr>
          <w:p>
            <w:pPr>
              <w:widowControl/>
              <w:jc w:val="left"/>
              <w:rPr>
                <w:rFonts w:ascii="Helvetica" w:hAnsi="Helvetica" w:eastAsia="宋体" w:cs="宋体"/>
                <w:kern w:val="0"/>
                <w:szCs w:val="21"/>
              </w:rPr>
            </w:pP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商业</w:t>
            </w:r>
          </w:p>
          <w:p>
            <w:pPr>
              <w:widowControl/>
              <w:jc w:val="center"/>
              <w:rPr>
                <w:rFonts w:ascii="Helvetica" w:hAnsi="Helvetica" w:eastAsia="宋体" w:cs="宋体"/>
                <w:kern w:val="0"/>
                <w:szCs w:val="21"/>
              </w:rPr>
            </w:pPr>
            <w:r>
              <w:rPr>
                <w:rFonts w:hint="eastAsia" w:ascii="宋体" w:hAnsi="宋体" w:eastAsia="宋体" w:cs="宋体"/>
                <w:kern w:val="0"/>
                <w:sz w:val="20"/>
                <w:szCs w:val="20"/>
              </w:rPr>
              <w:t>企业</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科研</w:t>
            </w:r>
          </w:p>
          <w:p>
            <w:pPr>
              <w:widowControl/>
              <w:jc w:val="center"/>
              <w:rPr>
                <w:rFonts w:ascii="Helvetica" w:hAnsi="Helvetica" w:eastAsia="宋体" w:cs="宋体"/>
                <w:kern w:val="0"/>
                <w:szCs w:val="21"/>
              </w:rPr>
            </w:pPr>
            <w:r>
              <w:rPr>
                <w:rFonts w:hint="eastAsia" w:ascii="宋体" w:hAnsi="宋体" w:eastAsia="宋体" w:cs="宋体"/>
                <w:kern w:val="0"/>
                <w:sz w:val="20"/>
                <w:szCs w:val="20"/>
              </w:rPr>
              <w:t>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社会公益组织</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法律服务机构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p>
        </w:tc>
        <w:tc>
          <w:tcPr>
            <w:tcW w:w="642" w:type="dxa"/>
            <w:vMerge w:val="continue"/>
            <w:shd w:val="clear" w:color="auto" w:fill="auto"/>
            <w:vAlign w:val="cente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一、本年新收政府信息公开申请数量</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13</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Calibri" w:hAnsi="Calibri" w:eastAsia="宋体" w:cs="宋体"/>
                <w:kern w:val="0"/>
                <w:sz w:val="20"/>
                <w:szCs w:val="2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二、上年结转政府信息公开申请数量</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ascii="Calibri" w:hAnsi="Calibri" w:eastAsia="宋体" w:cs="宋体"/>
                <w:kern w:val="0"/>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restart"/>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三、本年度办理结果</w:t>
            </w: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（一）予以公开</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5</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3</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（三）不予公开</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1.属于国家秘密</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2.其他法律行政法规禁止公开</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3.危及“三安全一稳定”</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4.保护第三方合法权益</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5.属于三类内部事务信息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6.属于四类过程性信息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7.属于行政执法案卷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8.属于行政查询事项</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（四）无法提供</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1.本机关不掌握相关政府信息</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4</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2.没有现成信息需要另行制作</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3.补正后申请内容仍不明确</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（五）不予处理</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1.信访举报投诉类申请</w:t>
            </w:r>
          </w:p>
        </w:tc>
        <w:tc>
          <w:tcPr>
            <w:tcW w:w="641"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3.要求提供公开出版物</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4.无正当理由大量反复申请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5.要求行政机关确认或重新出具已获取信息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（六）其他处理</w:t>
            </w: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1.申请人无正当理由逾期不补正、行政机关不再处理其政府信息公开申请</w:t>
            </w:r>
          </w:p>
        </w:tc>
        <w:tc>
          <w:tcPr>
            <w:tcW w:w="641"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1</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2.申请人逾期未按收费通知要求缴纳费用、行政机关不再处理其政府信息公开申请</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center"/>
              <w:rPr>
                <w:rFonts w:hint="eastAsia"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3.其他</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eastAsia" w:ascii="Helvetica" w:hAnsi="Helvetica" w:eastAsia="宋体"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（七）总计</w:t>
            </w:r>
          </w:p>
        </w:tc>
        <w:tc>
          <w:tcPr>
            <w:tcW w:w="641" w:type="dxa"/>
            <w:shd w:val="clear" w:color="auto" w:fill="auto"/>
            <w:tcMar>
              <w:top w:w="0" w:type="dxa"/>
              <w:left w:w="60" w:type="dxa"/>
              <w:bottom w:w="0" w:type="dxa"/>
              <w:right w:w="60" w:type="dxa"/>
            </w:tcMar>
            <w:vAlign w:val="cente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13</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hint="default" w:ascii="Helvetica" w:hAnsi="Helvetica" w:eastAsia="宋体" w:cs="宋体"/>
                <w:kern w:val="0"/>
                <w:szCs w:val="21"/>
                <w:lang w:val="en-US" w:eastAsia="zh-CN"/>
              </w:rPr>
            </w:pPr>
            <w:r>
              <w:rPr>
                <w:rFonts w:hint="eastAsia" w:ascii="Helvetica" w:hAnsi="Helvetica" w:eastAsia="宋体" w:cs="宋体"/>
                <w:kern w:val="0"/>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四、结转下年度继续办理</w:t>
            </w:r>
          </w:p>
        </w:tc>
        <w:tc>
          <w:tcPr>
            <w:tcW w:w="641"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hint="eastAsia" w:ascii="Helvetica" w:hAnsi="Helvetica" w:eastAsia="宋体" w:cs="宋体"/>
                <w:kern w:val="0"/>
                <w:szCs w:val="21"/>
                <w:lang w:val="en-US" w:eastAsia="zh-CN"/>
              </w:rPr>
            </w:pPr>
          </w:p>
        </w:tc>
        <w:tc>
          <w:tcPr>
            <w:tcW w:w="642" w:type="dxa"/>
            <w:shd w:val="clear" w:color="auto" w:fill="auto"/>
            <w:tcMar>
              <w:top w:w="0" w:type="dxa"/>
              <w:left w:w="0" w:type="dxa"/>
              <w:bottom w:w="0" w:type="dxa"/>
              <w:right w:w="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4"/>
                <w:szCs w:val="24"/>
              </w:rPr>
              <w:t>0</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highlight w:val="none"/>
        </w:rPr>
      </w:pPr>
      <w:r>
        <w:rPr>
          <w:rFonts w:hint="eastAsia" w:ascii="黑体" w:hAnsi="黑体" w:eastAsia="黑体" w:cs="Arial"/>
          <w:kern w:val="0"/>
          <w:sz w:val="32"/>
          <w:szCs w:val="32"/>
          <w:lang w:eastAsia="zh-CN"/>
        </w:rPr>
        <w:t>四</w:t>
      </w:r>
      <w:r>
        <w:rPr>
          <w:rFonts w:hint="eastAsia" w:ascii="黑体" w:hAnsi="黑体" w:eastAsia="黑体" w:cs="Arial"/>
          <w:kern w:val="0"/>
          <w:sz w:val="32"/>
          <w:szCs w:val="32"/>
        </w:rPr>
        <w:t>、</w:t>
      </w:r>
      <w:r>
        <w:rPr>
          <w:rFonts w:hint="eastAsia" w:ascii="黑体" w:hAnsi="黑体" w:eastAsia="黑体" w:cs="Arial"/>
          <w:kern w:val="0"/>
          <w:sz w:val="32"/>
          <w:szCs w:val="32"/>
          <w:highlight w:val="none"/>
        </w:rPr>
        <w:t>政府信息公开行政复议、行政诉讼情况</w:t>
      </w:r>
    </w:p>
    <w:p>
      <w:pPr>
        <w:widowControl/>
        <w:ind w:firstLine="450"/>
        <w:jc w:val="center"/>
        <w:rPr>
          <w:rFonts w:ascii="Helvetica" w:hAnsi="Helvetica" w:eastAsia="宋体" w:cs="Arial"/>
          <w:kern w:val="0"/>
          <w:szCs w:val="21"/>
        </w:rPr>
      </w:pPr>
      <w:r>
        <w:rPr>
          <w:rFonts w:ascii="Times New Roman" w:hAnsi="Times New Roman" w:eastAsia="宋体" w:cs="Times New Roman"/>
          <w:kern w:val="0"/>
          <w:szCs w:val="21"/>
        </w:rPr>
        <w:t> </w:t>
      </w:r>
    </w:p>
    <w:tbl>
      <w:tblPr>
        <w:tblStyle w:val="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645"/>
        <w:gridCol w:w="645"/>
        <w:gridCol w:w="645"/>
        <w:gridCol w:w="660"/>
        <w:gridCol w:w="645"/>
        <w:gridCol w:w="645"/>
        <w:gridCol w:w="645"/>
        <w:gridCol w:w="645"/>
        <w:gridCol w:w="675"/>
        <w:gridCol w:w="645"/>
        <w:gridCol w:w="645"/>
        <w:gridCol w:w="645"/>
        <w:gridCol w:w="64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3240" w:type="dxa"/>
            <w:gridSpan w:val="5"/>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行政复议</w:t>
            </w:r>
          </w:p>
        </w:tc>
        <w:tc>
          <w:tcPr>
            <w:tcW w:w="6510" w:type="dxa"/>
            <w:gridSpan w:val="10"/>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trPr>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结果维持</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60"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未经复议直接起诉</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60" w:type="dxa"/>
            <w:vMerge w:val="continue"/>
            <w:shd w:val="clear" w:color="auto" w:fill="auto"/>
            <w:vAlign w:val="center"/>
          </w:tcPr>
          <w:p>
            <w:pPr>
              <w:widowControl/>
              <w:jc w:val="left"/>
              <w:rPr>
                <w:rFonts w:ascii="Helvetica" w:hAnsi="Helvetica" w:eastAsia="宋体" w:cs="宋体"/>
                <w:kern w:val="0"/>
                <w:szCs w:val="21"/>
              </w:rPr>
            </w:pP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6</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60"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6</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4</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7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4</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lang w:val="en-US" w:eastAsia="zh-CN"/>
              </w:rPr>
              <w:t>0</w:t>
            </w:r>
          </w:p>
        </w:tc>
        <w:tc>
          <w:tcPr>
            <w:tcW w:w="675" w:type="dxa"/>
            <w:shd w:val="clear" w:color="auto" w:fill="auto"/>
            <w:tcMar>
              <w:top w:w="0" w:type="dxa"/>
              <w:left w:w="105" w:type="dxa"/>
              <w:bottom w:w="0" w:type="dxa"/>
              <w:right w:w="105" w:type="dxa"/>
            </w:tcMar>
            <w:vAlign w:val="center"/>
          </w:tcPr>
          <w:p>
            <w:pPr>
              <w:widowControl/>
              <w:jc w:val="center"/>
              <w:rPr>
                <w:rFonts w:hint="eastAsia" w:ascii="Helvetica" w:hAnsi="Helvetica" w:eastAsia="宋体" w:cs="宋体"/>
                <w:kern w:val="0"/>
                <w:szCs w:val="21"/>
                <w:lang w:val="en-US" w:eastAsia="zh-CN"/>
              </w:rPr>
            </w:pPr>
            <w:r>
              <w:rPr>
                <w:rFonts w:hint="eastAsia" w:ascii="Helvetica" w:hAnsi="Helvetica" w:eastAsia="宋体" w:cs="宋体"/>
                <w:kern w:val="0"/>
                <w:szCs w:val="21"/>
                <w:lang w:val="en-US" w:eastAsia="zh-CN"/>
              </w:rPr>
              <w:t>0</w:t>
            </w:r>
          </w:p>
        </w:tc>
      </w:tr>
    </w:tbl>
    <w:p>
      <w:pPr>
        <w:widowControl/>
        <w:ind w:firstLine="450"/>
        <w:jc w:val="left"/>
        <w:rPr>
          <w:rFonts w:ascii="Helvetica" w:hAnsi="Helvetica" w:eastAsia="宋体" w:cs="Arial"/>
          <w:kern w:val="0"/>
          <w:szCs w:val="21"/>
        </w:rPr>
      </w:pPr>
      <w:r>
        <w:rPr>
          <w:rFonts w:ascii="Times New Roman" w:hAnsi="Times New Roman" w:eastAsia="宋体" w:cs="Times New Roman"/>
          <w:kern w:val="0"/>
          <w:szCs w:val="21"/>
        </w:rPr>
        <w:t> </w:t>
      </w:r>
    </w:p>
    <w:p>
      <w:pPr>
        <w:widowControl/>
        <w:spacing w:line="560" w:lineRule="exact"/>
        <w:ind w:firstLine="675"/>
        <w:jc w:val="left"/>
        <w:rPr>
          <w:rFonts w:ascii="Helvetica" w:hAnsi="Helvetica" w:eastAsia="宋体" w:cs="Arial"/>
          <w:kern w:val="0"/>
          <w:szCs w:val="21"/>
        </w:rPr>
      </w:pPr>
      <w:r>
        <w:rPr>
          <w:rFonts w:hint="eastAsia" w:ascii="黑体" w:hAnsi="黑体" w:eastAsia="黑体" w:cs="Arial"/>
          <w:spacing w:val="15"/>
          <w:kern w:val="0"/>
          <w:sz w:val="32"/>
          <w:szCs w:val="32"/>
          <w:lang w:eastAsia="zh-CN"/>
        </w:rPr>
        <w:t>五</w:t>
      </w:r>
      <w:r>
        <w:rPr>
          <w:rFonts w:hint="eastAsia" w:ascii="黑体" w:hAnsi="黑体" w:eastAsia="黑体" w:cs="Arial"/>
          <w:spacing w:val="15"/>
          <w:kern w:val="0"/>
          <w:sz w:val="32"/>
          <w:szCs w:val="32"/>
        </w:rPr>
        <w:t>、存在的主要问题及改进情况</w:t>
      </w:r>
    </w:p>
    <w:p>
      <w:pPr>
        <w:widowControl/>
        <w:spacing w:line="560" w:lineRule="exact"/>
        <w:ind w:firstLine="700" w:firstLineChars="200"/>
        <w:jc w:val="left"/>
        <w:rPr>
          <w:rFonts w:ascii="Helvetica" w:hAnsi="Helvetica" w:eastAsia="宋体" w:cs="Arial"/>
          <w:kern w:val="0"/>
          <w:szCs w:val="21"/>
        </w:rPr>
      </w:pPr>
      <w:r>
        <w:rPr>
          <w:rFonts w:hint="eastAsia" w:ascii="仿宋_GB2312" w:hAnsi="Helvetica" w:eastAsia="仿宋_GB2312" w:cs="Arial"/>
          <w:spacing w:val="15"/>
          <w:kern w:val="0"/>
          <w:sz w:val="32"/>
          <w:szCs w:val="32"/>
        </w:rPr>
        <w:t>一是公开的深度广度仍需进一步深化拓展。政务公开工作涉及行政权力运行中“决策、执行、结果、管理、服务”全过程，也涉及公众参与、会议开放、数据开放等新任务，现有公开工作与社会公众的期望仍有一定差距。二是政府信息和政务公开水平需进一步提升。部分业务部门公开工作力量相对薄弱，服务意识和工作能力有待加强。</w:t>
      </w:r>
    </w:p>
    <w:p>
      <w:pPr>
        <w:widowControl/>
        <w:spacing w:line="560" w:lineRule="exact"/>
        <w:ind w:firstLine="700" w:firstLineChars="200"/>
        <w:jc w:val="left"/>
        <w:rPr>
          <w:rFonts w:hint="eastAsia" w:ascii="Helvetica" w:hAnsi="Helvetica" w:eastAsia="宋体" w:cs="Arial"/>
          <w:kern w:val="0"/>
          <w:szCs w:val="21"/>
        </w:rPr>
      </w:pPr>
      <w:r>
        <w:rPr>
          <w:rFonts w:hint="eastAsia" w:ascii="仿宋_GB2312" w:hAnsi="Helvetica" w:eastAsia="仿宋_GB2312" w:cs="Arial"/>
          <w:spacing w:val="15"/>
          <w:kern w:val="0"/>
          <w:sz w:val="32"/>
          <w:szCs w:val="32"/>
        </w:rPr>
        <w:t>改进情况：严格按照政府信息及政务公开工作实施意见要求建立健全政务公开工作领导机构，加强统筹协调。西城区城市管理委政府信息及政务公开领导小组各成员各司其职、各尽其责，确保形成工作合力。每个信息源都要牢记产生信息的同时就意味着公开义务的开始，把政务公开贯穿到信息产生、执行、存储、发布的全过程。明确牵头科室和公开科室的职责，制定公开目录，加强信息发布。</w:t>
      </w:r>
    </w:p>
    <w:p>
      <w:pPr>
        <w:widowControl/>
        <w:spacing w:line="560" w:lineRule="exact"/>
        <w:ind w:firstLine="420" w:firstLineChars="200"/>
        <w:jc w:val="left"/>
        <w:rPr>
          <w:rFonts w:hint="eastAsia" w:ascii="Helvetica" w:hAnsi="Helvetica" w:eastAsia="宋体" w:cs="Arial"/>
          <w:kern w:val="0"/>
          <w:szCs w:val="21"/>
        </w:rPr>
      </w:pPr>
    </w:p>
    <w:p>
      <w:pPr>
        <w:widowControl/>
        <w:spacing w:line="560" w:lineRule="exact"/>
        <w:ind w:firstLine="420" w:firstLineChars="200"/>
        <w:jc w:val="left"/>
        <w:rPr>
          <w:rFonts w:hint="eastAsia" w:ascii="Helvetica" w:hAnsi="Helvetica" w:eastAsia="宋体" w:cs="Arial"/>
          <w:kern w:val="0"/>
          <w:szCs w:val="21"/>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北京市西城区城市管理委员会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年1月</w:t>
      </w:r>
      <w:r>
        <w:rPr>
          <w:rFonts w:hint="eastAsia" w:ascii="仿宋" w:hAnsi="仿宋" w:eastAsia="仿宋"/>
          <w:sz w:val="32"/>
          <w:szCs w:val="32"/>
          <w:lang w:val="en-US" w:eastAsia="zh-CN"/>
        </w:rPr>
        <w:t>19</w:t>
      </w:r>
      <w:r>
        <w:rPr>
          <w:rFonts w:hint="eastAsia" w:ascii="仿宋" w:hAnsi="仿宋" w:eastAsia="仿宋"/>
          <w:sz w:val="32"/>
          <w:szCs w:val="32"/>
        </w:rPr>
        <w:t>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D3"/>
    <w:rsid w:val="0004617E"/>
    <w:rsid w:val="00150CFA"/>
    <w:rsid w:val="00162966"/>
    <w:rsid w:val="001C432F"/>
    <w:rsid w:val="001C6CD3"/>
    <w:rsid w:val="00246BF5"/>
    <w:rsid w:val="003C253E"/>
    <w:rsid w:val="004A01C9"/>
    <w:rsid w:val="00553E4E"/>
    <w:rsid w:val="0055569F"/>
    <w:rsid w:val="005702BE"/>
    <w:rsid w:val="005E5EF9"/>
    <w:rsid w:val="006A123D"/>
    <w:rsid w:val="007B1E83"/>
    <w:rsid w:val="007D2C28"/>
    <w:rsid w:val="007D4A0C"/>
    <w:rsid w:val="007D74AA"/>
    <w:rsid w:val="007E13CD"/>
    <w:rsid w:val="00954F02"/>
    <w:rsid w:val="00A43B58"/>
    <w:rsid w:val="00BD4821"/>
    <w:rsid w:val="00C364CB"/>
    <w:rsid w:val="00C40873"/>
    <w:rsid w:val="00CF2A6C"/>
    <w:rsid w:val="00DA7981"/>
    <w:rsid w:val="00DC3DD6"/>
    <w:rsid w:val="00E31F6A"/>
    <w:rsid w:val="02321720"/>
    <w:rsid w:val="04397C4A"/>
    <w:rsid w:val="04CF0C69"/>
    <w:rsid w:val="255452AD"/>
    <w:rsid w:val="2A2743AB"/>
    <w:rsid w:val="2F002366"/>
    <w:rsid w:val="31D56611"/>
    <w:rsid w:val="33B909CE"/>
    <w:rsid w:val="39A00028"/>
    <w:rsid w:val="4AD55EA1"/>
    <w:rsid w:val="75327C6E"/>
    <w:rsid w:val="7974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Words>
  <Characters>2523</Characters>
  <Lines>21</Lines>
  <Paragraphs>5</Paragraphs>
  <TotalTime>482</TotalTime>
  <ScaleCrop>false</ScaleCrop>
  <LinksUpToDate>false</LinksUpToDate>
  <CharactersWithSpaces>2960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2023-01-04T08:13:00Z</dcterms:created>
  <dc:creator>季猛</dc:creator>
  <cp:lastModifiedBy>admin</cp:lastModifiedBy>
  <cp:lastPrinted>2024-01-18T08:46:00Z</cp:lastPrinted>
  <dcterms:modified xsi:type="dcterms:W3CDTF">2024-02-04T02:56:17Z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