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方正小标宋简体" w:hAnsi="方正小标宋简体" w:eastAsia="方正小标宋简体" w:cs="方正小标宋简体"/>
          <w:sz w:val="44"/>
          <w:szCs w:val="44"/>
        </w:rPr>
      </w:pPr>
      <w:bookmarkStart w:id="18" w:name="_GoBack"/>
      <w:bookmarkEnd w:id="18"/>
      <w:r>
        <w:rPr>
          <w:rFonts w:hint="eastAsia" w:ascii="方正小标宋简体" w:hAnsi="方正小标宋简体" w:eastAsia="方正小标宋简体" w:cs="方正小标宋简体"/>
          <w:sz w:val="44"/>
          <w:szCs w:val="44"/>
        </w:rPr>
        <w:t>关于西城区2023年国民经济和社会发展</w:t>
      </w:r>
    </w:p>
    <w:p>
      <w:pPr>
        <w:spacing w:line="6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计划执行情况与2024年国民经济和</w:t>
      </w:r>
    </w:p>
    <w:p>
      <w:pPr>
        <w:spacing w:line="6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社会发展计划的报告</w:t>
      </w:r>
    </w:p>
    <w:p>
      <w:pPr>
        <w:snapToGrid w:val="0"/>
        <w:spacing w:line="680" w:lineRule="exact"/>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——2024年1月</w:t>
      </w:r>
      <w:r>
        <w:rPr>
          <w:rFonts w:hint="eastAsia" w:ascii="仿宋_GB2312" w:hAnsi="仿宋_GB2312" w:eastAsia="仿宋_GB2312" w:cs="仿宋_GB2312"/>
          <w:sz w:val="36"/>
          <w:szCs w:val="36"/>
          <w:lang w:val="en-US" w:eastAsia="zh-CN"/>
        </w:rPr>
        <w:t>9</w:t>
      </w:r>
      <w:r>
        <w:rPr>
          <w:rFonts w:hint="eastAsia" w:ascii="仿宋_GB2312" w:hAnsi="仿宋_GB2312" w:eastAsia="仿宋_GB2312" w:cs="仿宋_GB2312"/>
          <w:sz w:val="36"/>
          <w:szCs w:val="36"/>
        </w:rPr>
        <w:t>日在北京市西城区第十七届</w:t>
      </w:r>
    </w:p>
    <w:p>
      <w:pPr>
        <w:snapToGrid w:val="0"/>
        <w:spacing w:line="680" w:lineRule="exact"/>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人民代表大会第四次会议上</w:t>
      </w:r>
    </w:p>
    <w:p>
      <w:pPr>
        <w:snapToGrid w:val="0"/>
        <w:spacing w:line="680" w:lineRule="exact"/>
        <w:jc w:val="center"/>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北京市西城区发展和改革委员会主任  邴  浩</w:t>
      </w:r>
    </w:p>
    <w:p>
      <w:pPr>
        <w:spacing w:line="560" w:lineRule="exact"/>
        <w:rPr>
          <w:rFonts w:hint="eastAsia"/>
        </w:rPr>
      </w:pPr>
    </w:p>
    <w:p>
      <w:pPr>
        <w:snapToGrid w:val="0"/>
        <w:spacing w:line="60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各位代表：</w:t>
      </w:r>
    </w:p>
    <w:p>
      <w:pPr>
        <w:snapToGrid w:val="0"/>
        <w:spacing w:line="60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受西城区人民政府委托，现将西城区2023年国民经济和社会发展计划执行情况与2024年国民经济和社会发展计划草案的报告提请审议，并请区政协委员提出意见。</w:t>
      </w:r>
    </w:p>
    <w:p>
      <w:pPr>
        <w:snapToGrid w:val="0"/>
        <w:spacing w:line="600" w:lineRule="exact"/>
        <w:ind w:firstLine="720" w:firstLineChars="200"/>
        <w:rPr>
          <w:rFonts w:hint="eastAsia" w:ascii="黑体" w:hAnsi="黑体" w:eastAsia="黑体" w:cs="黑体"/>
          <w:sz w:val="36"/>
          <w:szCs w:val="36"/>
        </w:rPr>
      </w:pPr>
      <w:r>
        <w:rPr>
          <w:rFonts w:hint="eastAsia" w:ascii="黑体" w:hAnsi="黑体" w:eastAsia="黑体" w:cs="黑体"/>
          <w:sz w:val="36"/>
          <w:szCs w:val="36"/>
        </w:rPr>
        <w:t>一、202</w:t>
      </w:r>
      <w:r>
        <w:rPr>
          <w:rFonts w:ascii="黑体" w:hAnsi="黑体" w:eastAsia="黑体" w:cs="黑体"/>
          <w:sz w:val="36"/>
          <w:szCs w:val="36"/>
        </w:rPr>
        <w:t>3</w:t>
      </w:r>
      <w:r>
        <w:rPr>
          <w:rFonts w:hint="eastAsia" w:ascii="黑体" w:hAnsi="黑体" w:eastAsia="黑体" w:cs="黑体"/>
          <w:sz w:val="36"/>
          <w:szCs w:val="36"/>
        </w:rPr>
        <w:t>年国民经济和社会发展计划执行情况</w:t>
      </w:r>
    </w:p>
    <w:p>
      <w:pPr>
        <w:snapToGrid w:val="0"/>
        <w:spacing w:line="60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2023年是全面贯彻落实党的二十大精神的开局之年，是三年新冠疫情防控转段后经济恢复发展的一年。在市委、市政府和区委的坚强领导下，在区人大、区政协的监督支持下，我们坚持以习近平新时代中国特色社会主义思想为指导，全面贯彻党的二十大和二十届二中全会精神，深入贯彻落实习近平总书记对北京重要讲话精神，以首善标准扎实开展学习贯彻习近平新时代中国特色社会主义思想主题教育，完整、准确、全面贯彻新发展理念，坚持以新时代首都发展为统领，坚持“五子”联动服务和融入新发展格局，立足首都功能核心区战略定位，全面实施中国式现代化西城实践“2-1-1-5-2”框架体系，扎实推进“红墙先锋工程”和“双提升”工程，认真落实2023年政府工作报告与国民经济和社会发展计划，较好地完成了全年各项目标任务，经济社会保持平稳发展，在政务功能保障、提升市民服务、街容街貌美化、经济发展提质、守牢安全底线等方面取得了一批可视化成果。地区生产总值突破6000亿元大关，同比增长5</w:t>
      </w:r>
      <w:r>
        <w:rPr>
          <w:rFonts w:hint="eastAsia" w:ascii="仿宋_GB2312" w:hAnsi="仿宋_GB2312" w:eastAsia="仿宋_GB2312" w:cs="仿宋_GB2312"/>
          <w:sz w:val="36"/>
          <w:szCs w:val="36"/>
          <w:lang w:val="en-US" w:eastAsia="zh-CN"/>
        </w:rPr>
        <w:t>.8</w:t>
      </w:r>
      <w:r>
        <w:rPr>
          <w:rFonts w:hint="eastAsia" w:ascii="仿宋_GB2312" w:hAnsi="仿宋_GB2312" w:eastAsia="仿宋_GB2312" w:cs="仿宋_GB2312"/>
          <w:sz w:val="36"/>
          <w:szCs w:val="36"/>
        </w:rPr>
        <w:t>%；地方级一般公共预算收入完成1012.9亿元，突破千亿元大关，同比增长10.6%；区级一般公共预算收入实现452.7亿元，达到历史最好水平，同比增长8.8%。居民人均可支配收入、人均地区生产总值、全员劳动生产率、登记失业率均保持全市最优。获评“中国最具幸福感城区”，高质量发展成果更好惠及群众。</w:t>
      </w:r>
    </w:p>
    <w:p>
      <w:pPr>
        <w:snapToGrid w:val="0"/>
        <w:spacing w:line="60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一年来，按照政府工作报告和计划报告的工作部署，主要做了以下工作。</w:t>
      </w:r>
    </w:p>
    <w:p>
      <w:pPr>
        <w:numPr>
          <w:ilvl w:val="0"/>
          <w:numId w:val="1"/>
        </w:numPr>
        <w:spacing w:line="600" w:lineRule="exact"/>
        <w:ind w:firstLine="720" w:firstLineChars="200"/>
        <w:rPr>
          <w:rFonts w:ascii="楷体_GB2312" w:hAnsi="楷体_GB2312" w:eastAsia="楷体_GB2312" w:cs="楷体_GB2312"/>
          <w:sz w:val="36"/>
          <w:szCs w:val="36"/>
        </w:rPr>
      </w:pPr>
      <w:r>
        <w:rPr>
          <w:rFonts w:hint="eastAsia" w:ascii="楷体_GB2312" w:hAnsi="楷体_GB2312" w:eastAsia="楷体_GB2312" w:cs="楷体_GB2312"/>
          <w:sz w:val="36"/>
          <w:szCs w:val="36"/>
        </w:rPr>
        <w:t>突出“政治中心”和“人民群众”，服务保障首都功能更加优化</w:t>
      </w:r>
    </w:p>
    <w:p>
      <w:pPr>
        <w:spacing w:line="60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shd w:val="clear" w:color="auto" w:fill="FFFFFF"/>
        </w:rPr>
        <w:t>中央政务服务保障水平稳步提升。</w:t>
      </w:r>
      <w:r>
        <w:rPr>
          <w:rFonts w:hint="eastAsia" w:ascii="仿宋_GB2312" w:hAnsi="仿宋_GB2312" w:eastAsia="仿宋_GB2312" w:cs="仿宋_GB2312"/>
          <w:sz w:val="36"/>
          <w:szCs w:val="36"/>
        </w:rPr>
        <w:t>完善重大活动服务保障常态化工作机制，圆满完成党的二十届二中全会、全国“两会”、第三届“一带一路”国际合作高峰论坛等保障任务。着力优化中央政务环境，深入推进中南海周边地区综合整治和长安街沿线及纵深品质提升，加快推进力学胡同申请式退租及后续利用，为中央政务解决职住平衡问题。西长安街“急难愁盼”工作提速扩面，以点带面制定</w:t>
      </w:r>
      <w:r>
        <w:rPr>
          <w:rFonts w:hint="eastAsia" w:ascii="仿宋_GB2312" w:hAnsi="仿宋_GB2312" w:eastAsia="仿宋_GB2312" w:cs="仿宋_GB2312"/>
          <w:sz w:val="36"/>
          <w:szCs w:val="36"/>
          <w:shd w:val="clear" w:color="auto" w:fill="FFFFFF"/>
        </w:rPr>
        <w:t>实施三年行动计划，明确56项问题清单，在更大范围内解决好群众身边突出问题。积极推动中央单位和驻京部队重点服务事项落实，专窗累计办结923项。</w:t>
      </w:r>
      <w:r>
        <w:rPr>
          <w:rFonts w:hint="eastAsia" w:ascii="仿宋_GB2312" w:hAnsi="仿宋_GB2312" w:eastAsia="仿宋_GB2312" w:cs="仿宋_GB2312"/>
          <w:sz w:val="36"/>
          <w:szCs w:val="36"/>
        </w:rPr>
        <w:t>全要素构建外事接待资源体系，更好服务国家外交和首都外事需求。</w:t>
      </w:r>
    </w:p>
    <w:p>
      <w:pPr>
        <w:spacing w:line="600" w:lineRule="exact"/>
        <w:ind w:firstLine="723" w:firstLineChars="200"/>
        <w:rPr>
          <w:rFonts w:hint="eastAsia" w:ascii="仿宋_GB2312" w:hAnsi="仿宋_GB2312" w:eastAsia="仿宋_GB2312" w:cs="仿宋_GB2312"/>
          <w:sz w:val="36"/>
          <w:szCs w:val="36"/>
          <w:lang w:val="zh-CN"/>
        </w:rPr>
      </w:pPr>
      <w:r>
        <w:rPr>
          <w:rFonts w:hint="eastAsia" w:ascii="仿宋_GB2312" w:hAnsi="仿宋_GB2312" w:eastAsia="仿宋_GB2312" w:cs="仿宋_GB2312"/>
          <w:b/>
          <w:bCs/>
          <w:sz w:val="36"/>
          <w:szCs w:val="36"/>
          <w:lang w:val="zh-CN"/>
        </w:rPr>
        <w:t>平安西城建设不断深化。</w:t>
      </w:r>
      <w:r>
        <w:rPr>
          <w:rFonts w:hint="eastAsia" w:ascii="仿宋_GB2312" w:hAnsi="仿宋_GB2312" w:eastAsia="仿宋_GB2312" w:cs="仿宋_GB2312"/>
          <w:sz w:val="36"/>
          <w:szCs w:val="36"/>
          <w:lang w:val="zh-CN"/>
        </w:rPr>
        <w:t>全面贯彻落实总体国家安全观，迭代实施长安计划，强化政治中心区一体化防控。常态化推进扫黑除恶，重拳打击治理电信网络诈骗犯罪，获评“全国社会治安防控体系建设示范城市”，群众安全感排名全市城区组第一。“风险地图”正式上线并落地使用，进一步厘清风险发展全过程的管控主体和责任边界。全力服务国防和军队建设，做好与边防哨所“城连共建”。</w:t>
      </w:r>
    </w:p>
    <w:p>
      <w:pPr>
        <w:pStyle w:val="9"/>
        <w:spacing w:line="600" w:lineRule="exact"/>
        <w:ind w:firstLine="723" w:firstLineChars="200"/>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韧性城市建设深入推进。</w:t>
      </w:r>
      <w:r>
        <w:rPr>
          <w:rFonts w:hint="eastAsia" w:ascii="仿宋_GB2312" w:hAnsi="仿宋_GB2312" w:eastAsia="仿宋_GB2312" w:cs="仿宋_GB2312"/>
          <w:sz w:val="36"/>
          <w:szCs w:val="36"/>
        </w:rPr>
        <w:t>落实市级韧性城市规划和应急避难场所规划，新建</w:t>
      </w:r>
      <w:r>
        <w:rPr>
          <w:rFonts w:hint="eastAsia" w:ascii="仿宋_GB2312" w:eastAsia="仿宋_GB2312"/>
          <w:sz w:val="36"/>
          <w:szCs w:val="36"/>
        </w:rPr>
        <w:t>应急避难场所6处、总面积6.61万平方米。</w:t>
      </w:r>
      <w:r>
        <w:rPr>
          <w:rFonts w:hint="eastAsia" w:ascii="仿宋_GB2312" w:hAnsi="仿宋_GB2312" w:eastAsia="仿宋_GB2312" w:cs="仿宋_GB2312"/>
          <w:sz w:val="36"/>
          <w:szCs w:val="36"/>
          <w:lang w:val="zh-CN"/>
        </w:rPr>
        <w:t>扎实开展安全生产和火灾隐患大排查大整治大提升专项行动</w:t>
      </w:r>
      <w:r>
        <w:rPr>
          <w:rFonts w:hint="eastAsia" w:ascii="仿宋_GB2312" w:hAnsi="仿宋_GB2312" w:eastAsia="仿宋_GB2312" w:cs="仿宋_GB2312"/>
          <w:bCs/>
          <w:sz w:val="36"/>
          <w:szCs w:val="36"/>
        </w:rPr>
        <w:t>，探索安全生产领域行刑衔接，进一步筑牢安全防线。合力攻坚违规电动三四轮车综合治理，提前实现全面退出。</w:t>
      </w:r>
      <w:r>
        <w:rPr>
          <w:rFonts w:hint="eastAsia" w:ascii="仿宋_GB2312" w:hAnsi="仿宋_GB2312" w:eastAsia="仿宋_GB2312" w:cs="仿宋_GB2312"/>
          <w:sz w:val="36"/>
          <w:szCs w:val="36"/>
          <w:lang w:val="zh-CN"/>
        </w:rPr>
        <w:t>有效应对“23·7”极端强降雨</w:t>
      </w:r>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lang w:val="zh-CN"/>
        </w:rPr>
        <w:t>多措并举实现安全度汛。</w:t>
      </w:r>
      <w:r>
        <w:rPr>
          <w:rFonts w:hint="eastAsia" w:ascii="仿宋_GB2312" w:hAnsi="仿宋_GB2312" w:eastAsia="仿宋_GB2312" w:cs="仿宋_GB2312"/>
          <w:sz w:val="36"/>
          <w:szCs w:val="36"/>
        </w:rPr>
        <w:t>开展校园体育馆坍塌事件全流程、沉浸式综合应急演练，应急处置能力进一步提升。</w:t>
      </w:r>
      <w:r>
        <w:rPr>
          <w:rFonts w:hint="eastAsia" w:ascii="仿宋_GB2312" w:hAnsi="仿宋_GB2312" w:eastAsia="仿宋_GB2312" w:cs="仿宋_GB2312"/>
          <w:sz w:val="36"/>
          <w:szCs w:val="36"/>
          <w:lang w:val="zh-CN"/>
        </w:rPr>
        <w:t>加强公共消防基础设施建设，新建小型消防站2座、升级改造消防救援站5处，</w:t>
      </w:r>
      <w:r>
        <w:rPr>
          <w:rFonts w:hint="eastAsia" w:ascii="仿宋_GB2312" w:hAnsi="仿宋_GB2312" w:eastAsia="仿宋_GB2312" w:cs="仿宋_GB2312"/>
          <w:sz w:val="36"/>
          <w:szCs w:val="36"/>
        </w:rPr>
        <w:t>白纸坊消防站正式动工，为60</w:t>
      </w:r>
      <w:r>
        <w:rPr>
          <w:rFonts w:hint="eastAsia" w:ascii="仿宋_GB2312" w:hAnsi="仿宋_GB2312" w:eastAsia="仿宋_GB2312" w:cs="仿宋_GB2312"/>
          <w:sz w:val="36"/>
          <w:szCs w:val="36"/>
          <w:lang w:val="zh-CN"/>
        </w:rPr>
        <w:t>处高风险小区安装联网式感烟设施，</w:t>
      </w:r>
      <w:r>
        <w:rPr>
          <w:rFonts w:hint="eastAsia" w:ascii="仿宋_GB2312" w:hAnsi="仿宋_GB2312" w:eastAsia="仿宋_GB2312" w:cs="仿宋_GB2312"/>
          <w:sz w:val="36"/>
          <w:szCs w:val="36"/>
        </w:rPr>
        <w:t>配发1.6万余套逃生自救“四件套”。</w:t>
      </w:r>
      <w:r>
        <w:rPr>
          <w:rFonts w:hint="eastAsia" w:ascii="仿宋_GB2312" w:hAnsi="仿宋_GB2312" w:eastAsia="仿宋_GB2312" w:cs="仿宋_GB2312"/>
          <w:sz w:val="36"/>
          <w:szCs w:val="36"/>
          <w:lang w:val="zh-CN"/>
        </w:rPr>
        <w:t>强化粮食安全及粮油供应保障</w:t>
      </w:r>
      <w:r>
        <w:rPr>
          <w:rFonts w:hint="eastAsia" w:ascii="仿宋_GB2312" w:hAnsi="仿宋_GB2312" w:eastAsia="仿宋_GB2312" w:cs="仿宋_GB2312"/>
          <w:sz w:val="36"/>
          <w:szCs w:val="36"/>
        </w:rPr>
        <w:t>，加强食品药品全链条全过程监管，不断夯实安全根基。</w:t>
      </w:r>
    </w:p>
    <w:p>
      <w:pPr>
        <w:spacing w:line="600" w:lineRule="exact"/>
        <w:ind w:firstLine="723" w:firstLineChars="200"/>
        <w:rPr>
          <w:rFonts w:hint="eastAsia"/>
          <w:sz w:val="36"/>
          <w:szCs w:val="36"/>
        </w:rPr>
      </w:pPr>
      <w:r>
        <w:rPr>
          <w:rFonts w:hint="eastAsia" w:ascii="仿宋_GB2312" w:hAnsi="仿宋_GB2312" w:eastAsia="仿宋_GB2312" w:cs="仿宋_GB2312"/>
          <w:b/>
          <w:bCs/>
          <w:sz w:val="36"/>
          <w:szCs w:val="36"/>
          <w:shd w:val="clear" w:color="auto" w:fill="FFFFFF"/>
        </w:rPr>
        <w:t>疏整促专项</w:t>
      </w:r>
      <w:r>
        <w:rPr>
          <w:rFonts w:hint="eastAsia" w:ascii="仿宋_GB2312" w:hAnsi="仿宋_GB2312" w:eastAsia="仿宋_GB2312" w:cs="仿宋_GB2312"/>
          <w:b/>
          <w:bCs/>
          <w:sz w:val="36"/>
          <w:szCs w:val="36"/>
        </w:rPr>
        <w:t>行动扎实开展。</w:t>
      </w:r>
      <w:r>
        <w:rPr>
          <w:rFonts w:hint="eastAsia" w:ascii="仿宋_GB2312" w:eastAsia="仿宋_GB2312"/>
          <w:sz w:val="36"/>
          <w:szCs w:val="36"/>
        </w:rPr>
        <w:t>持续推动城市减量提质，各专项行动涉及人口变化2.9万人次，拆除违法建设10万余平方米，其中院内拆违914处、2万余平方米，实施住宿业转型提升10家，完成常住人口年度调控目标。坚持疏解与提升并重，累计疏解腾退空间166.2万平方米，推进白塔寺、菜西等4个片区</w:t>
      </w:r>
      <w:r>
        <w:rPr>
          <w:rFonts w:hint="eastAsia" w:ascii="仿宋_GB2312" w:hAnsi="仿宋_GB2312" w:eastAsia="仿宋_GB2312" w:cs="仿宋_GB2312"/>
          <w:sz w:val="36"/>
          <w:szCs w:val="36"/>
        </w:rPr>
        <w:t>腾退空间</w:t>
      </w:r>
      <w:r>
        <w:rPr>
          <w:rFonts w:hint="eastAsia" w:ascii="仿宋_GB2312" w:eastAsia="仿宋_GB2312"/>
          <w:sz w:val="36"/>
          <w:szCs w:val="36"/>
        </w:rPr>
        <w:t>再利用，</w:t>
      </w:r>
      <w:r>
        <w:rPr>
          <w:rFonts w:hint="eastAsia" w:ascii="仿宋_GB2312" w:hAnsi="仿宋_GB2312" w:eastAsia="仿宋_GB2312" w:cs="仿宋_GB2312"/>
          <w:sz w:val="36"/>
          <w:szCs w:val="36"/>
        </w:rPr>
        <w:t>上线“西城小院”平房院落查询系统，有效提高区属国企腾退房屋利用率。</w:t>
      </w:r>
      <w:r>
        <w:rPr>
          <w:rFonts w:hint="eastAsia" w:ascii="仿宋_GB2312" w:eastAsia="仿宋_GB2312"/>
          <w:sz w:val="36"/>
          <w:szCs w:val="36"/>
        </w:rPr>
        <w:t>“以低效楼宇改造提升为抓手 加快推进城市有机更新”入选中国改革2023年度地方全面深化改革典型案例，</w:t>
      </w:r>
      <w:r>
        <w:rPr>
          <w:rFonts w:hint="eastAsia" w:ascii="仿宋_GB2312" w:hAnsi="仿宋_GB2312" w:eastAsia="仿宋_GB2312" w:cs="仿宋_GB2312"/>
          <w:sz w:val="36"/>
          <w:szCs w:val="36"/>
        </w:rPr>
        <w:t>累计</w:t>
      </w:r>
      <w:r>
        <w:rPr>
          <w:rFonts w:hint="eastAsia" w:ascii="仿宋_GB2312" w:eastAsia="仿宋_GB2312"/>
          <w:sz w:val="36"/>
          <w:szCs w:val="36"/>
        </w:rPr>
        <w:t>完成楼宇改造提升23栋，撬动社会投资19.6亿元，为高精尖产业发展提供高品质空间45.1万平方米。新增17个“</w:t>
      </w:r>
      <w:r>
        <w:rPr>
          <w:rFonts w:hint="eastAsia" w:ascii="仿宋_GB2312" w:hAnsi="宋体" w:eastAsia="仿宋_GB2312" w:cs="仿宋_GB2312"/>
          <w:sz w:val="36"/>
          <w:szCs w:val="36"/>
          <w:shd w:val="clear" w:color="auto" w:fill="FFFFFF"/>
        </w:rPr>
        <w:t>一刻钟便</w:t>
      </w:r>
      <w:r>
        <w:rPr>
          <w:rFonts w:hint="eastAsia" w:ascii="仿宋_GB2312" w:eastAsia="仿宋_GB2312"/>
          <w:sz w:val="36"/>
          <w:szCs w:val="36"/>
        </w:rPr>
        <w:t>民生活圈”，率先建成35个“十分钟便民生活圈”，广外茶马便民生活圈、月坛便民生活圈入选商务部典型案例，2家百姓生活服务中心</w:t>
      </w:r>
      <w:r>
        <w:rPr>
          <w:rFonts w:hint="eastAsia" w:ascii="仿宋_GB2312" w:hAnsi="仿宋_GB2312" w:eastAsia="仿宋_GB2312" w:cs="仿宋_GB2312"/>
          <w:sz w:val="36"/>
          <w:szCs w:val="36"/>
        </w:rPr>
        <w:t>完成转型提质</w:t>
      </w:r>
      <w:r>
        <w:rPr>
          <w:rFonts w:hint="eastAsia" w:ascii="仿宋_GB2312" w:eastAsia="仿宋_GB2312"/>
          <w:sz w:val="36"/>
          <w:szCs w:val="36"/>
        </w:rPr>
        <w:t>。</w:t>
      </w:r>
    </w:p>
    <w:p>
      <w:pPr>
        <w:spacing w:line="600" w:lineRule="exact"/>
        <w:ind w:firstLine="723" w:firstLineChars="200"/>
        <w:rPr>
          <w:sz w:val="36"/>
          <w:szCs w:val="36"/>
        </w:rPr>
      </w:pPr>
      <w:r>
        <w:rPr>
          <w:rFonts w:hint="eastAsia" w:ascii="仿宋_GB2312" w:hAnsi="仿宋_GB2312" w:eastAsia="仿宋_GB2312" w:cs="仿宋_GB2312"/>
          <w:b/>
          <w:bCs/>
          <w:sz w:val="36"/>
          <w:szCs w:val="36"/>
          <w:shd w:val="clear" w:color="auto" w:fill="FFFFFF"/>
        </w:rPr>
        <w:t>区域协同发展和支援协作向纵深推进。</w:t>
      </w:r>
      <w:r>
        <w:rPr>
          <w:rFonts w:hint="eastAsia" w:ascii="仿宋_GB2312" w:eastAsia="仿宋_GB2312"/>
          <w:sz w:val="36"/>
          <w:szCs w:val="36"/>
        </w:rPr>
        <w:t>京津冀协同发展重点任务加快落实，雄安北海幼儿园和北京四中雄安校区正式开学，北海幼儿园城市副中心一分园、二分园和黄城根小学副中心校区稳步运营，引导北京黑油数字展览股份有限公司等企业落地通州。深入推进</w:t>
      </w:r>
      <w:r>
        <w:rPr>
          <w:rFonts w:hint="eastAsia" w:ascii="仿宋_GB2312" w:hAnsi="仿宋_GB2312" w:eastAsia="仿宋_GB2312" w:cs="仿宋_GB2312"/>
          <w:sz w:val="36"/>
          <w:szCs w:val="36"/>
        </w:rPr>
        <w:t>友城交往，与河南省安阳市等6地新缔结友好城市，与浙江省绍兴市等4地深化合作。</w:t>
      </w:r>
      <w:r>
        <w:rPr>
          <w:rFonts w:hint="eastAsia" w:ascii="仿宋_GB2312" w:eastAsia="仿宋_GB2312"/>
          <w:sz w:val="36"/>
          <w:szCs w:val="36"/>
        </w:rPr>
        <w:t>探索支援合作西城模式，成立乡村振兴促进会，支持喀喇沁旗、鄂伦春自治旗项目20个、资金4539万余元，促进3</w:t>
      </w:r>
      <w:r>
        <w:rPr>
          <w:rFonts w:ascii="仿宋_GB2312" w:eastAsia="仿宋_GB2312"/>
          <w:sz w:val="36"/>
          <w:szCs w:val="36"/>
        </w:rPr>
        <w:t>929</w:t>
      </w:r>
      <w:r>
        <w:rPr>
          <w:rFonts w:hint="eastAsia" w:ascii="仿宋_GB2312" w:eastAsia="仿宋_GB2312"/>
          <w:sz w:val="36"/>
          <w:szCs w:val="36"/>
        </w:rPr>
        <w:t>人实现就业，协作渠道不断拓宽。加快落实与门头沟区结对协作新一轮框架协议，拨付资金1亿元支持多领域协作。全力支持门头沟区、房山区灾后重建，支援物资、资金总价值1512.3万元，谋划60个项目总投资2703.3万元</w:t>
      </w:r>
      <w:r>
        <w:rPr>
          <w:rFonts w:hint="eastAsia" w:ascii="仿宋_GB2312" w:hAnsi="仿宋_GB2312" w:eastAsia="仿宋_GB2312" w:cs="仿宋_GB2312"/>
          <w:sz w:val="36"/>
          <w:szCs w:val="36"/>
        </w:rPr>
        <w:t>，其中26个建设类项目以“交钥匙”方式全部完工</w:t>
      </w:r>
      <w:r>
        <w:rPr>
          <w:rFonts w:hint="eastAsia" w:ascii="仿宋_GB2312" w:eastAsia="仿宋_GB2312"/>
          <w:sz w:val="36"/>
          <w:szCs w:val="36"/>
        </w:rPr>
        <w:t>。</w:t>
      </w:r>
    </w:p>
    <w:p>
      <w:pPr>
        <w:spacing w:line="600" w:lineRule="exact"/>
        <w:ind w:firstLine="723" w:firstLineChars="200"/>
        <w:rPr>
          <w:sz w:val="36"/>
          <w:szCs w:val="36"/>
        </w:rPr>
      </w:pPr>
      <w:r>
        <w:rPr>
          <w:rFonts w:hint="eastAsia" w:ascii="仿宋_GB2312" w:hAnsi="仿宋_GB2312" w:eastAsia="仿宋_GB2312" w:cs="仿宋_GB2312"/>
          <w:b/>
          <w:bCs/>
          <w:sz w:val="36"/>
          <w:szCs w:val="36"/>
        </w:rPr>
        <w:t>“十四五”规划中期评估圆满完成。</w:t>
      </w:r>
      <w:r>
        <w:rPr>
          <w:rFonts w:hint="eastAsia" w:ascii="仿宋_GB2312" w:eastAsia="仿宋_GB2312"/>
          <w:sz w:val="36"/>
          <w:szCs w:val="36"/>
        </w:rPr>
        <w:t>形成《纲要》和44个专项规划中期评估报告，</w:t>
      </w:r>
      <w:r>
        <w:rPr>
          <w:rFonts w:hint="eastAsia" w:ascii="仿宋_GB2312" w:hAnsi="仿宋_GB2312" w:eastAsia="仿宋_GB2312" w:cs="仿宋_GB2312"/>
          <w:sz w:val="36"/>
          <w:szCs w:val="36"/>
        </w:rPr>
        <w:t>全面、客观评估主要指标完成和重点任务推进情况</w:t>
      </w:r>
      <w:r>
        <w:rPr>
          <w:rFonts w:hint="eastAsia" w:ascii="仿宋_GB2312" w:eastAsia="仿宋_GB2312"/>
          <w:sz w:val="36"/>
          <w:szCs w:val="36"/>
        </w:rPr>
        <w:t>。坚持问题导向，</w:t>
      </w:r>
      <w:r>
        <w:rPr>
          <w:rFonts w:hint="eastAsia" w:ascii="仿宋_GB2312" w:hAnsi="仿宋_GB2312" w:eastAsia="仿宋_GB2312" w:cs="仿宋_GB2312"/>
          <w:sz w:val="36"/>
          <w:szCs w:val="36"/>
        </w:rPr>
        <w:t>同步形成专题调研成果，以评估推发展、促落实</w:t>
      </w:r>
      <w:r>
        <w:rPr>
          <w:rFonts w:hint="eastAsia" w:ascii="仿宋_GB2312" w:eastAsia="仿宋_GB2312"/>
          <w:sz w:val="36"/>
          <w:szCs w:val="36"/>
        </w:rPr>
        <w:t>。</w:t>
      </w:r>
      <w:r>
        <w:rPr>
          <w:rFonts w:hint="eastAsia" w:ascii="仿宋_GB2312" w:hAnsi="仿宋_GB2312" w:eastAsia="仿宋_GB2312" w:cs="仿宋_GB2312"/>
          <w:sz w:val="36"/>
          <w:szCs w:val="36"/>
        </w:rPr>
        <w:t>坚持开门评估，开展多场调研和专家论证，</w:t>
      </w:r>
      <w:r>
        <w:rPr>
          <w:rFonts w:hint="eastAsia" w:ascii="仿宋_GB2312" w:eastAsia="仿宋_GB2312"/>
          <w:sz w:val="36"/>
          <w:szCs w:val="36"/>
        </w:rPr>
        <w:t>不断凝聚多方智慧和共识</w:t>
      </w:r>
      <w:r>
        <w:rPr>
          <w:rFonts w:hint="eastAsia" w:ascii="仿宋_GB2312" w:hAnsi="仿宋_GB2312" w:eastAsia="仿宋_GB2312" w:cs="仿宋_GB2312"/>
          <w:sz w:val="36"/>
          <w:szCs w:val="36"/>
        </w:rPr>
        <w:t>。《纲要》实施符合预期，主要指标进展优于“十三五”同期，5项指标提前完成规划目标。</w:t>
      </w:r>
    </w:p>
    <w:p>
      <w:pPr>
        <w:widowControl/>
        <w:numPr>
          <w:ilvl w:val="0"/>
          <w:numId w:val="1"/>
        </w:numPr>
        <w:spacing w:line="600" w:lineRule="exact"/>
        <w:ind w:firstLine="720" w:firstLineChars="200"/>
        <w:rPr>
          <w:rFonts w:ascii="楷体_GB2312" w:hAnsi="楷体_GB2312" w:eastAsia="楷体_GB2312" w:cs="楷体_GB2312"/>
          <w:sz w:val="36"/>
          <w:szCs w:val="36"/>
        </w:rPr>
      </w:pPr>
      <w:r>
        <w:rPr>
          <w:rFonts w:hint="eastAsia" w:ascii="楷体_GB2312" w:hAnsi="楷体_GB2312" w:eastAsia="楷体_GB2312" w:cs="楷体_GB2312"/>
          <w:sz w:val="36"/>
          <w:szCs w:val="36"/>
        </w:rPr>
        <w:t>加快打造现代化经济体系，经济高质量发展迈出坚实步伐</w:t>
      </w:r>
    </w:p>
    <w:p>
      <w:pPr>
        <w:spacing w:line="60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国家金融管理中心服务能级持续提升。</w:t>
      </w:r>
      <w:r>
        <w:rPr>
          <w:rFonts w:hint="eastAsia" w:ascii="仿宋_GB2312" w:hAnsi="仿宋_GB2312" w:eastAsia="仿宋_GB2312" w:cs="仿宋_GB2312"/>
          <w:sz w:val="36"/>
          <w:szCs w:val="36"/>
        </w:rPr>
        <w:t>全力服务国家金融监管部门和各类金融机构发展，持续保障金融基础设施建设，发布“金服十条”2</w:t>
      </w:r>
      <w:r>
        <w:rPr>
          <w:rFonts w:ascii="仿宋_GB2312" w:hAnsi="仿宋_GB2312" w:eastAsia="仿宋_GB2312" w:cs="仿宋_GB2312"/>
          <w:sz w:val="36"/>
          <w:szCs w:val="36"/>
        </w:rPr>
        <w:t>.0</w:t>
      </w:r>
      <w:r>
        <w:rPr>
          <w:rFonts w:hint="eastAsia" w:ascii="仿宋_GB2312" w:hAnsi="仿宋_GB2312" w:eastAsia="仿宋_GB2312" w:cs="仿宋_GB2312"/>
          <w:sz w:val="36"/>
          <w:szCs w:val="36"/>
        </w:rPr>
        <w:t>版，新引进金融机构50家、注册资本413.2亿元。全方位服务保障北交所提质扩容，助推北交所直接IPO等创新政策落地，全区专精特新企业全部纳入拟上市企业资源储备。举办第五届企业上市主题交流活动，服务4家公司成功上市，其中车车集团顺利登陆纳斯达克。高水平举办2023金融街论坛年会，首发30余项重要成果，论坛国际影响力大幅提升。高效能开展投融资对接服务，举办14场“融享汇”交流活动。加快构筑资产管理高地，资产管理规模超过16万亿元，占全市50%以上。有力维护金融安全稳定，创新开展“守袋行动”，全国首个设在重要行业领域的全国人大常委会法工委基层立法联系点落地金融街，全市首家金融犯罪警示教育基地揭牌启用。</w:t>
      </w:r>
    </w:p>
    <w:p>
      <w:pPr>
        <w:widowControl/>
        <w:spacing w:line="60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国家级金科新区建设取得新进展。</w:t>
      </w:r>
      <w:r>
        <w:rPr>
          <w:rFonts w:hint="eastAsia" w:ascii="仿宋_GB2312" w:hAnsi="仿宋_GB2312" w:eastAsia="仿宋_GB2312" w:cs="仿宋_GB2312"/>
          <w:sz w:val="36"/>
          <w:szCs w:val="36"/>
        </w:rPr>
        <w:t>金科新区建设五周年成果丰硕，第三届全球金融科技大会暨第五届成方金融科技论坛成功举办，“金科十条”2.0版正式出台，37项金融科技类成果及16项国家、行业和团体标准</w:t>
      </w:r>
      <w:r>
        <w:rPr>
          <w:rFonts w:hint="eastAsia" w:ascii="仿宋_GB2312" w:eastAsia="仿宋_GB2312"/>
          <w:sz w:val="36"/>
          <w:szCs w:val="36"/>
          <w:shd w:val="clear" w:color="auto" w:fill="FFFFFF"/>
        </w:rPr>
        <w:t>集中发布</w:t>
      </w:r>
      <w:r>
        <w:rPr>
          <w:rFonts w:hint="eastAsia" w:ascii="仿宋_GB2312" w:hAnsi="仿宋_GB2312" w:eastAsia="仿宋_GB2312" w:cs="仿宋_GB2312"/>
          <w:sz w:val="36"/>
          <w:szCs w:val="36"/>
          <w:shd w:val="clear" w:color="auto" w:fill="FFFFFF"/>
        </w:rPr>
        <w:t>。</w:t>
      </w:r>
      <w:r>
        <w:rPr>
          <w:rFonts w:hint="eastAsia" w:ascii="仿宋_GB2312" w:hAnsi="仿宋_GB2312" w:eastAsia="仿宋_GB2312" w:cs="仿宋_GB2312"/>
          <w:sz w:val="36"/>
          <w:szCs w:val="36"/>
        </w:rPr>
        <w:t>积极培育监管创新先发优势，全国首家国家级专业化金融科技风险防控基础设施——</w:t>
      </w:r>
      <w:r>
        <w:rPr>
          <w:rFonts w:hint="eastAsia" w:ascii="仿宋_GB2312" w:hAnsi="仿宋_GB2312" w:eastAsia="仿宋_GB2312" w:cs="仿宋_GB2312"/>
          <w:sz w:val="36"/>
          <w:szCs w:val="36"/>
          <w:shd w:val="clear" w:color="auto" w:fill="FFFFFF"/>
        </w:rPr>
        <w:t>国家金融科技风险监控中心启动运营。</w:t>
      </w:r>
      <w:r>
        <w:rPr>
          <w:rFonts w:hint="eastAsia" w:ascii="仿宋_GB2312" w:hAnsi="仿宋_GB2312" w:eastAsia="仿宋_GB2312" w:cs="仿宋_GB2312"/>
          <w:sz w:val="36"/>
          <w:szCs w:val="36"/>
        </w:rPr>
        <w:t>发挥产业集聚引导效应，累计引进重点企业177家、注册资本1100亿元。新动力金融科技中心项目被国家发展改革委评为“全国盘活存量资产扩大有效投资”典型案例，金融科技创新发展生态更加优化。</w:t>
      </w:r>
    </w:p>
    <w:p>
      <w:pPr>
        <w:tabs>
          <w:tab w:val="left" w:pos="1440"/>
        </w:tabs>
        <w:overflowPunct w:val="0"/>
        <w:autoSpaceDE w:val="0"/>
        <w:autoSpaceDN w:val="0"/>
        <w:adjustRightInd w:val="0"/>
        <w:snapToGrid w:val="0"/>
        <w:spacing w:line="600" w:lineRule="exact"/>
        <w:ind w:firstLine="723" w:firstLineChars="200"/>
        <w:rPr>
          <w:sz w:val="36"/>
          <w:szCs w:val="36"/>
        </w:rPr>
      </w:pPr>
      <w:r>
        <w:rPr>
          <w:rFonts w:hint="eastAsia" w:ascii="仿宋_GB2312" w:hAnsi="仿宋_GB2312" w:eastAsia="仿宋_GB2312" w:cs="仿宋_GB2312"/>
          <w:b/>
          <w:bCs/>
          <w:sz w:val="36"/>
          <w:szCs w:val="36"/>
        </w:rPr>
        <w:t>数字经济发展基础不断夯实</w:t>
      </w:r>
      <w:r>
        <w:rPr>
          <w:rFonts w:hint="eastAsia" w:ascii="仿宋_GB2312" w:hAnsi="仿宋_GB2312" w:eastAsia="仿宋_GB2312" w:cs="仿宋_GB2312"/>
          <w:b/>
          <w:sz w:val="36"/>
          <w:szCs w:val="36"/>
        </w:rPr>
        <w:t>。</w:t>
      </w:r>
      <w:r>
        <w:rPr>
          <w:rFonts w:hint="eastAsia" w:ascii="仿宋_GB2312" w:hAnsi="仿宋_GB2312" w:eastAsia="仿宋_GB2312" w:cs="仿宋_GB2312"/>
          <w:sz w:val="36"/>
          <w:szCs w:val="36"/>
        </w:rPr>
        <w:t>积极培育数据要素市场，着力打造“马连道·茶·中国数据街”，探索以数据驱动数字经济发展的新路径。</w:t>
      </w:r>
      <w:r>
        <w:rPr>
          <w:rFonts w:hint="eastAsia" w:ascii="仿宋_GB2312" w:eastAsia="仿宋_GB2312"/>
          <w:bCs/>
          <w:sz w:val="36"/>
          <w:szCs w:val="36"/>
        </w:rPr>
        <w:t>举办全球数字经济大会西城分论坛</w:t>
      </w:r>
      <w:r>
        <w:rPr>
          <w:rFonts w:hint="eastAsia" w:ascii="仿宋_GB2312" w:hAnsi="仿宋_GB2312" w:eastAsia="仿宋_GB2312" w:cs="仿宋_GB2312"/>
          <w:sz w:val="36"/>
          <w:szCs w:val="36"/>
        </w:rPr>
        <w:t>，与6家领军企业签订战略合作协议，成立“马连道·数据街”合作发展联盟，广泛汇聚资源合力。拓展数字经济产业空间，培育6家数字经济产业园，吸引中电信人工智能科技等10余家优质企业落户。</w:t>
      </w:r>
      <w:r>
        <w:rPr>
          <w:rFonts w:hint="eastAsia" w:ascii="仿宋_GB2312" w:eastAsia="仿宋_GB2312"/>
          <w:bCs/>
          <w:sz w:val="36"/>
          <w:szCs w:val="36"/>
        </w:rPr>
        <w:t>擦亮“马连连会客厅”服务品牌，开展近百场深度对话，</w:t>
      </w:r>
      <w:r>
        <w:rPr>
          <w:rFonts w:eastAsia="仿宋_GB2312" w:cs="Times New Roman"/>
          <w:sz w:val="36"/>
          <w:szCs w:val="36"/>
        </w:rPr>
        <w:t>惠企服务链条</w:t>
      </w:r>
      <w:r>
        <w:rPr>
          <w:rFonts w:hint="eastAsia" w:eastAsia="仿宋_GB2312" w:cs="Times New Roman"/>
          <w:sz w:val="36"/>
          <w:szCs w:val="36"/>
        </w:rPr>
        <w:t>更加</w:t>
      </w:r>
      <w:r>
        <w:rPr>
          <w:rFonts w:eastAsia="仿宋_GB2312" w:cs="Times New Roman"/>
          <w:sz w:val="36"/>
          <w:szCs w:val="36"/>
        </w:rPr>
        <w:t>完善</w:t>
      </w:r>
      <w:r>
        <w:rPr>
          <w:rFonts w:hint="eastAsia" w:ascii="仿宋_GB2312" w:eastAsia="仿宋_GB2312"/>
          <w:bCs/>
          <w:sz w:val="36"/>
          <w:szCs w:val="36"/>
        </w:rPr>
        <w:t>。信用环境状况监测排名全市第一，获评“全国社会信用体系建设示范区”。5G基站平均站址密度全市领先，</w:t>
      </w:r>
      <w:r>
        <w:rPr>
          <w:rFonts w:hint="eastAsia" w:ascii="仿宋_GB2312" w:hAnsi="仿宋_GB2312" w:eastAsia="仿宋_GB2312" w:cs="仿宋_GB2312"/>
          <w:sz w:val="36"/>
          <w:szCs w:val="36"/>
          <w:lang w:val="zh-CN"/>
        </w:rPr>
        <w:t>全市首个“网络安全运营与指挥中心”建成运行。</w:t>
      </w:r>
    </w:p>
    <w:p>
      <w:pPr>
        <w:spacing w:line="600" w:lineRule="exact"/>
        <w:ind w:firstLine="723" w:firstLineChars="200"/>
        <w:rPr>
          <w:sz w:val="36"/>
          <w:szCs w:val="36"/>
        </w:rPr>
      </w:pPr>
      <w:r>
        <w:rPr>
          <w:rFonts w:hint="eastAsia" w:ascii="仿宋_GB2312" w:hAnsi="Calibri" w:eastAsia="仿宋_GB2312" w:cs="Times New Roman"/>
          <w:b/>
          <w:bCs/>
          <w:sz w:val="36"/>
          <w:szCs w:val="36"/>
        </w:rPr>
        <w:t>“两区”建设规模质量保持领先。</w:t>
      </w:r>
      <w:r>
        <w:rPr>
          <w:rFonts w:hint="eastAsia" w:ascii="仿宋_GB2312" w:hAnsi="Calibri" w:eastAsia="仿宋_GB2312" w:cs="Times New Roman"/>
          <w:sz w:val="36"/>
          <w:szCs w:val="36"/>
        </w:rPr>
        <w:t>高标准推动“4+N”产业开放，高质量运行“一库三清单”机制，新增市“两区”项目</w:t>
      </w:r>
      <w:r>
        <w:rPr>
          <w:rFonts w:hint="eastAsia" w:ascii="仿宋_GB2312" w:hAnsi="Calibri" w:eastAsia="仿宋_GB2312" w:cs="Times New Roman"/>
          <w:sz w:val="36"/>
          <w:szCs w:val="36"/>
          <w:lang w:val="en-US" w:eastAsia="zh-CN"/>
        </w:rPr>
        <w:t>251</w:t>
      </w:r>
      <w:r>
        <w:rPr>
          <w:rFonts w:hint="eastAsia" w:ascii="仿宋_GB2312" w:hAnsi="Calibri" w:eastAsia="仿宋_GB2312" w:cs="Times New Roman"/>
          <w:sz w:val="36"/>
          <w:szCs w:val="36"/>
        </w:rPr>
        <w:t>个，</w:t>
      </w:r>
      <w:r>
        <w:rPr>
          <w:rFonts w:hint="eastAsia" w:ascii="仿宋_GB2312" w:eastAsia="仿宋_GB2312"/>
          <w:sz w:val="36"/>
          <w:szCs w:val="36"/>
        </w:rPr>
        <w:t>预计投入总金额</w:t>
      </w:r>
      <w:r>
        <w:rPr>
          <w:rFonts w:hint="eastAsia" w:ascii="仿宋_GB2312" w:hAnsi="仿宋_GB2312" w:eastAsia="仿宋_GB2312" w:cs="仿宋_GB2312"/>
          <w:sz w:val="36"/>
          <w:szCs w:val="36"/>
        </w:rPr>
        <w:t>22</w:t>
      </w:r>
      <w:r>
        <w:rPr>
          <w:rFonts w:hint="eastAsia" w:ascii="仿宋_GB2312" w:hAnsi="仿宋_GB2312" w:eastAsia="仿宋_GB2312" w:cs="仿宋_GB2312"/>
          <w:sz w:val="36"/>
          <w:szCs w:val="36"/>
          <w:lang w:val="en-US" w:eastAsia="zh-CN"/>
        </w:rPr>
        <w:t>61</w:t>
      </w:r>
      <w:r>
        <w:rPr>
          <w:rFonts w:hint="eastAsia" w:ascii="仿宋_GB2312" w:eastAsia="仿宋_GB2312"/>
          <w:sz w:val="36"/>
          <w:szCs w:val="36"/>
        </w:rPr>
        <w:t>亿元、平均金额</w:t>
      </w:r>
      <w:r>
        <w:rPr>
          <w:rFonts w:hint="eastAsia" w:ascii="仿宋_GB2312" w:hAnsi="仿宋_GB2312" w:eastAsia="仿宋_GB2312" w:cs="仿宋_GB2312"/>
          <w:sz w:val="36"/>
          <w:szCs w:val="36"/>
        </w:rPr>
        <w:t>9</w:t>
      </w:r>
      <w:r>
        <w:rPr>
          <w:rFonts w:hint="eastAsia" w:ascii="仿宋_GB2312" w:eastAsia="仿宋_GB2312"/>
          <w:sz w:val="36"/>
          <w:szCs w:val="36"/>
        </w:rPr>
        <w:t>亿元、落地金额</w:t>
      </w:r>
      <w:r>
        <w:rPr>
          <w:rFonts w:hint="eastAsia" w:ascii="仿宋_GB2312" w:hAnsi="仿宋_GB2312" w:eastAsia="仿宋_GB2312" w:cs="仿宋_GB2312"/>
          <w:sz w:val="36"/>
          <w:szCs w:val="36"/>
        </w:rPr>
        <w:t>181</w:t>
      </w:r>
      <w:r>
        <w:rPr>
          <w:rFonts w:hint="eastAsia" w:ascii="仿宋_GB2312" w:hAnsi="仿宋_GB2312" w:eastAsia="仿宋_GB2312" w:cs="仿宋_GB2312"/>
          <w:sz w:val="36"/>
          <w:szCs w:val="36"/>
          <w:lang w:val="en-US" w:eastAsia="zh-CN"/>
        </w:rPr>
        <w:t>4</w:t>
      </w:r>
      <w:r>
        <w:rPr>
          <w:rFonts w:hint="eastAsia" w:ascii="仿宋_GB2312" w:eastAsia="仿宋_GB2312"/>
          <w:sz w:val="36"/>
          <w:szCs w:val="36"/>
        </w:rPr>
        <w:t>亿元，三项金额指标</w:t>
      </w:r>
      <w:r>
        <w:rPr>
          <w:rFonts w:hint="eastAsia" w:ascii="仿宋_GB2312" w:hAnsi="Calibri" w:eastAsia="仿宋_GB2312" w:cs="Times New Roman"/>
          <w:sz w:val="36"/>
          <w:szCs w:val="36"/>
        </w:rPr>
        <w:t>均居全市第一。全国首家外经贸领域资信数据服务企业中国信保资信有限公司、全市最大“两区”项目中国农业发展银行增资1200亿元项目落地西城。</w:t>
      </w:r>
      <w:r>
        <w:rPr>
          <w:rFonts w:hint="eastAsia" w:ascii="仿宋_GB2312" w:hAnsi="仿宋_GB2312" w:eastAsia="仿宋_GB2312" w:cs="仿宋_GB2312"/>
          <w:sz w:val="36"/>
          <w:szCs w:val="36"/>
        </w:rPr>
        <w:t>服贸会成果预筹项目金额8.44亿美元、同比增长13.7%、超额完成市级任务，“北京日”重大项目签约金额160亿元，居全市重点园区首位。</w:t>
      </w:r>
    </w:p>
    <w:p>
      <w:pPr>
        <w:widowControl/>
        <w:spacing w:line="60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有效投资提速提质提效。</w:t>
      </w:r>
      <w:r>
        <w:rPr>
          <w:rFonts w:hint="eastAsia" w:ascii="仿宋_GB2312" w:hAnsi="仿宋_GB2312" w:eastAsia="仿宋_GB2312" w:cs="仿宋_GB2312"/>
          <w:sz w:val="36"/>
          <w:szCs w:val="36"/>
          <w:highlight w:val="none"/>
        </w:rPr>
        <w:t>有效挖掘投资增量，吸引鼓励社会资本参与各类城市更新项目，推动城市保护更新项目启动实施。用好用足各级支持政策，获市级奖励资金3.15亿元，支持10个重点项目</w:t>
      </w:r>
      <w:r>
        <w:rPr>
          <w:rFonts w:hint="eastAsia" w:ascii="仿宋_GB2312" w:hAnsi="仿宋_GB2312" w:eastAsia="仿宋_GB2312" w:cs="仿宋_GB2312"/>
          <w:sz w:val="36"/>
          <w:szCs w:val="36"/>
        </w:rPr>
        <w:t>提速建设，有效缓解区级财政压力。全面梳理投资重点支撑项目，推动投资结构持续优化，保障投资梯次接续有力，固定资产投资完成额实现北京城市新总规发布以来最好成绩，同比增长12.2%。</w:t>
      </w:r>
    </w:p>
    <w:p>
      <w:pPr>
        <w:tabs>
          <w:tab w:val="left" w:pos="1440"/>
        </w:tabs>
        <w:overflowPunct w:val="0"/>
        <w:autoSpaceDE w:val="0"/>
        <w:autoSpaceDN w:val="0"/>
        <w:adjustRightInd w:val="0"/>
        <w:snapToGrid w:val="0"/>
        <w:spacing w:line="60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综合施策助推消费市场回暖。</w:t>
      </w:r>
      <w:r>
        <w:rPr>
          <w:rFonts w:hint="eastAsia" w:ascii="仿宋_GB2312" w:hAnsi="仿宋_GB2312" w:eastAsia="仿宋_GB2312" w:cs="仿宋_GB2312"/>
          <w:sz w:val="36"/>
          <w:szCs w:val="36"/>
        </w:rPr>
        <w:t>举办“西城惠民消费季”等百余场促消费活动，焕新升级“西城消费”，有效拉动汽车等大宗商品消费增量，综合撬动消费15.6亿元。落实市区促消费支持政策，14个项目获资金支持453.6万元。加快重点商圈改造提升，制定地安门外、西直门商圈提升方案，汉光百货空中花园实现亮相，西单连廊空间提升完成国际招标设计并通过审核，什刹海</w:t>
      </w:r>
      <w:r>
        <w:rPr>
          <w:rFonts w:hint="eastAsia" w:ascii="仿宋_GB2312" w:hAnsi="仿宋_GB2312" w:eastAsia="仿宋_GB2312" w:cs="仿宋_GB2312"/>
          <w:bCs/>
          <w:sz w:val="36"/>
          <w:szCs w:val="36"/>
          <w:lang w:bidi="zh-CN"/>
        </w:rPr>
        <w:t>-</w:t>
      </w:r>
      <w:r>
        <w:rPr>
          <w:rFonts w:hint="eastAsia" w:ascii="仿宋_GB2312" w:hAnsi="仿宋_GB2312" w:eastAsia="仿宋_GB2312" w:cs="仿宋_GB2312"/>
          <w:sz w:val="36"/>
          <w:szCs w:val="36"/>
        </w:rPr>
        <w:t>地外区域成功申报“夜京城”地标。激发老字号新活力，5家企业入选中华老字号示范创建推荐名单，3家企业新认定为北京市老字号。</w:t>
      </w:r>
    </w:p>
    <w:p>
      <w:pPr>
        <w:ind w:firstLine="723" w:firstLineChars="2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国有企业改革持续深化。</w:t>
      </w:r>
      <w:r>
        <w:rPr>
          <w:rFonts w:hint="eastAsia" w:ascii="仿宋_GB2312" w:hAnsi="仿宋_GB2312" w:eastAsia="仿宋_GB2312" w:cs="仿宋_GB2312"/>
          <w:sz w:val="36"/>
          <w:szCs w:val="36"/>
        </w:rPr>
        <w:t>区属国有资本布局结构更加优化，金融保险、投资与资产管理等板块占比不断提高，非房板块资产占比同比提高7.25个百分点，非房营业收入占比同比提高5.52个百分点。金融街集团成为恒泰证券实际控制人，为完善金融板块布局迈出关键性一步。靶向战略性新兴产业完成投资36.5亿元，新动力基金二期成功募集资金20亿元，汇集中国国新、泰康人寿等优质企业共谋发展。华远集团稳步推进深圳科技板块整合，华远云联入选深圳市专精特新企业。区属国企积极履行社会责任，全方位参与低效楼宇改造提升、老旧小区综合整治等城市治理类项目。</w:t>
      </w:r>
    </w:p>
    <w:p>
      <w:pPr>
        <w:snapToGrid w:val="0"/>
        <w:spacing w:line="60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支持民营经济发展更加有力。</w:t>
      </w:r>
      <w:r>
        <w:rPr>
          <w:rFonts w:hint="eastAsia" w:ascii="仿宋_GB2312" w:hAnsi="仿宋_GB2312" w:eastAsia="仿宋_GB2312" w:cs="仿宋_GB2312"/>
          <w:sz w:val="36"/>
          <w:szCs w:val="36"/>
        </w:rPr>
        <w:t>全力支持民营经济发展壮大，16家企业入围北京市民营企业百强</w:t>
      </w:r>
      <w:r>
        <w:rPr>
          <w:rFonts w:hint="eastAsia" w:ascii="仿宋_GB2312"/>
          <w:sz w:val="36"/>
          <w:szCs w:val="36"/>
        </w:rPr>
        <w:t>“1+4”</w:t>
      </w:r>
      <w:r>
        <w:rPr>
          <w:rFonts w:hint="eastAsia" w:ascii="仿宋_GB2312" w:hAnsi="仿宋_GB2312" w:eastAsia="仿宋_GB2312" w:cs="仿宋_GB2312"/>
          <w:sz w:val="36"/>
          <w:szCs w:val="36"/>
        </w:rPr>
        <w:t>榜单。举办民营企业高质量发展大家谈活动，与3家银行签订战略协议，提供更多金融支持和贷款优惠。修订担保风险补偿资金政策，累计带动1325家中小微企业融资超29亿元。引导培育更多中小企业走专精特新发展之路，累计认定创新型中小企业186家、市级专精特新中小企业204家、国家级专精特新“小巨人”企业8家，2家孵化器机构入选北京市专精特新服务站（试点）名单，切实打通服务专精特新企业“最后一公里”。</w:t>
      </w:r>
    </w:p>
    <w:p>
      <w:pPr>
        <w:widowControl/>
        <w:spacing w:line="60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营商环境改革深入推进。</w:t>
      </w:r>
      <w:r>
        <w:rPr>
          <w:rFonts w:hint="eastAsia" w:ascii="仿宋_GB2312" w:hAnsi="仿宋_GB2312" w:eastAsia="仿宋_GB2312" w:cs="仿宋_GB2312"/>
          <w:sz w:val="36"/>
          <w:szCs w:val="36"/>
        </w:rPr>
        <w:t>“营商环境6.0”政策迭代升级，推进135项改革任务。促进政务服务便利化升级，深化“一业一证”改革，全市首发2个行业综合许可凭证，</w:t>
      </w:r>
      <w:r>
        <w:rPr>
          <w:rFonts w:hint="eastAsia" w:ascii="仿宋_GB2312" w:hAnsi="仿宋_GB2312" w:eastAsia="仿宋_GB2312" w:cs="仿宋_GB2312"/>
          <w:kern w:val="0"/>
          <w:sz w:val="36"/>
          <w:szCs w:val="36"/>
        </w:rPr>
        <w:t>推出46个“一件事”办事场景</w:t>
      </w:r>
      <w:r>
        <w:rPr>
          <w:rFonts w:hint="eastAsia" w:ascii="仿宋_GB2312" w:hAnsi="仿宋_GB2312" w:eastAsia="仿宋_GB2312" w:cs="仿宋_GB2312"/>
          <w:sz w:val="36"/>
          <w:szCs w:val="36"/>
        </w:rPr>
        <w:t>，深化“小鹏易办事”等服务品牌，打造48个政务服务示范样板社区，在全市公众参与政务服务“好差评”评价中排名第一。持续完善“1+5+N”产业政策体系，出台“重点企业十条”、中小微企业支持政策，修订专业服务业支持政策，为400余家重点企业兑现综合贡献奖励近9亿元，企业驻区发展更有获得感。持续加大服务走访力度，“服务包”诉求办结率和满意率保持“双百”，累计走访各类企业6924家，在全市财源建设考核评估中名列前茅。首个“政策计算器”上线运行，实现惠企政策一键查询、智能匹配。全面提升投资促进效能，赴瑞士、奥地利等地开展交流合作，</w:t>
      </w:r>
      <w:r>
        <w:rPr>
          <w:rFonts w:hint="eastAsia" w:ascii="仿宋_GB2312" w:hAnsi="宋体" w:eastAsia="仿宋_GB2312" w:cs="仿宋_GB2312"/>
          <w:sz w:val="36"/>
          <w:szCs w:val="36"/>
          <w:shd w:val="clear" w:color="auto" w:fill="FFFFFF"/>
        </w:rPr>
        <w:t>与联合国工业发展组织</w:t>
      </w:r>
      <w:r>
        <w:rPr>
          <w:rFonts w:hint="eastAsia" w:ascii="仿宋_GB2312" w:hAnsi="仿宋_GB2312" w:eastAsia="仿宋_GB2312" w:cs="仿宋_GB2312"/>
          <w:sz w:val="36"/>
          <w:szCs w:val="36"/>
        </w:rPr>
        <w:t>举办“投资西城”招商活动，长三角、成渝地区招商联络站点揭牌运行，累计引入中煤绿能科技等企业235家、注册资本1125.24亿元。圆满完成全国第五次经济普查清查阶段性工作，为摸清家底奠定基础。</w:t>
      </w:r>
    </w:p>
    <w:p>
      <w:pPr>
        <w:widowControl/>
        <w:spacing w:line="60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人才发展生态更加优化。</w:t>
      </w:r>
      <w:r>
        <w:rPr>
          <w:rFonts w:hint="eastAsia" w:ascii="仿宋_GB2312" w:hAnsi="仿宋_GB2312" w:eastAsia="仿宋_GB2312" w:cs="仿宋_GB2312"/>
          <w:kern w:val="0"/>
          <w:sz w:val="36"/>
          <w:szCs w:val="36"/>
          <w:lang w:bidi="ar"/>
        </w:rPr>
        <w:t>出台科普基地管理办法，举办机器人大赛、“西城科技周·先锋科素营”等系列活动，持续提升全民科学素养。打造人才工作品牌“西融计划”，每年投入1亿元专项资金育才引才留才。与北大、清华等20所高校携手成立“北京西城</w:t>
      </w:r>
      <w:r>
        <w:rPr>
          <w:rFonts w:hint="eastAsia" w:ascii="仿宋_GB2312" w:hAnsi="仿宋_GB2312" w:eastAsia="仿宋_GB2312" w:cs="仿宋_GB2312"/>
          <w:sz w:val="36"/>
          <w:szCs w:val="36"/>
        </w:rPr>
        <w:t>·</w:t>
      </w:r>
      <w:r>
        <w:rPr>
          <w:rFonts w:hint="eastAsia" w:ascii="仿宋_GB2312" w:hAnsi="仿宋_GB2312" w:eastAsia="仿宋_GB2312" w:cs="仿宋_GB2312"/>
          <w:kern w:val="0"/>
          <w:sz w:val="36"/>
          <w:szCs w:val="36"/>
          <w:lang w:bidi="ar"/>
        </w:rPr>
        <w:t>首都高校发展联盟”，探索“政用产学研”一体化合作模式。举办金融街论坛人才发展分论坛、全球创业大赛金融科技赛道创业者峰会初赛等活动，搭建人才沟通交流平台。加强拔尖人才培养，建成9家西城园博士后工作站。强化技能人才队伍建设，技能人才总量增至6.4万人，高技能人才占比三分之一。完善全方位配套服务，“西承寓·天宁寺”等315套人才公租房投入运营。</w:t>
      </w:r>
    </w:p>
    <w:p>
      <w:pPr>
        <w:numPr>
          <w:ilvl w:val="0"/>
          <w:numId w:val="1"/>
        </w:numPr>
        <w:spacing w:line="600" w:lineRule="exact"/>
        <w:ind w:firstLine="720" w:firstLineChars="200"/>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持续优化公共服务供给，民生福祉不断增进</w:t>
      </w:r>
    </w:p>
    <w:p>
      <w:pPr>
        <w:spacing w:line="600" w:lineRule="exact"/>
        <w:ind w:firstLine="723" w:firstLineChars="200"/>
        <w:rPr>
          <w:rFonts w:hint="eastAsia" w:ascii="仿宋_GB2312" w:hAnsi="仿宋_GB2312" w:eastAsia="仿宋_GB2312" w:cs="仿宋_GB2312"/>
          <w:bCs/>
          <w:sz w:val="36"/>
          <w:szCs w:val="36"/>
        </w:rPr>
      </w:pPr>
      <w:r>
        <w:rPr>
          <w:rFonts w:hint="eastAsia" w:ascii="仿宋_GB2312" w:hAnsi="仿宋_GB2312" w:eastAsia="仿宋_GB2312" w:cs="仿宋_GB2312"/>
          <w:b/>
          <w:sz w:val="36"/>
          <w:szCs w:val="36"/>
        </w:rPr>
        <w:t>教育更加优质均衡有温度。</w:t>
      </w:r>
      <w:r>
        <w:rPr>
          <w:rFonts w:hint="eastAsia" w:ascii="仿宋_GB2312" w:hAnsi="仿宋_GB2312" w:eastAsia="仿宋_GB2312" w:cs="仿宋_GB2312"/>
          <w:bCs/>
          <w:sz w:val="36"/>
          <w:szCs w:val="36"/>
        </w:rPr>
        <w:t>推动基础教育扩优提质</w:t>
      </w:r>
      <w:r>
        <w:rPr>
          <w:rFonts w:hint="eastAsia" w:ascii="仿宋_GB2312" w:hAnsi="仿宋_GB2312" w:eastAsia="仿宋_GB2312" w:cs="仿宋_GB2312"/>
          <w:sz w:val="36"/>
          <w:szCs w:val="36"/>
        </w:rPr>
        <w:t>，普惠性幼儿园覆盖率达89%。</w:t>
      </w:r>
      <w:r>
        <w:rPr>
          <w:rFonts w:hint="eastAsia" w:ascii="仿宋_GB2312" w:hAnsi="仿宋_GB2312" w:eastAsia="仿宋_GB2312" w:cs="仿宋_GB2312"/>
          <w:bCs/>
          <w:sz w:val="36"/>
          <w:szCs w:val="36"/>
        </w:rPr>
        <w:t>巩固义务教育阶段“双减”成果，</w:t>
      </w:r>
      <w:r>
        <w:rPr>
          <w:rFonts w:hint="eastAsia" w:ascii="仿宋_GB2312" w:hAnsi="仿宋_GB2312" w:eastAsia="仿宋_GB2312" w:cs="仿宋_GB2312"/>
          <w:sz w:val="36"/>
          <w:szCs w:val="36"/>
        </w:rPr>
        <w:t>提供226门课后服务课程“菜单”，</w:t>
      </w:r>
      <w:r>
        <w:rPr>
          <w:rFonts w:hint="eastAsia" w:ascii="仿宋_GB2312" w:hAnsi="仿宋_GB2312" w:eastAsia="仿宋_GB2312" w:cs="仿宋_GB2312"/>
          <w:bCs/>
          <w:sz w:val="36"/>
          <w:szCs w:val="36"/>
        </w:rPr>
        <w:t>启动学生健康促进专项行动，全方位助力学生健康成长。有</w:t>
      </w:r>
      <w:r>
        <w:rPr>
          <w:rFonts w:hint="eastAsia" w:ascii="仿宋_GB2312" w:hAnsi="仿宋_GB2312" w:eastAsia="仿宋_GB2312" w:cs="仿宋_GB2312"/>
          <w:sz w:val="36"/>
          <w:szCs w:val="36"/>
        </w:rPr>
        <w:t>序推进“小而精”“小而美”特色校建设，</w:t>
      </w:r>
      <w:r>
        <w:rPr>
          <w:rFonts w:hint="eastAsia" w:ascii="仿宋_GB2312" w:hAnsi="仿宋_GB2312" w:eastAsia="仿宋_GB2312" w:cs="仿宋_GB2312"/>
          <w:bCs/>
          <w:sz w:val="36"/>
          <w:szCs w:val="36"/>
          <w:lang w:eastAsia="zh-Hans"/>
        </w:rPr>
        <w:t>19位区领导担</w:t>
      </w:r>
      <w:r>
        <w:rPr>
          <w:rFonts w:hint="eastAsia" w:ascii="仿宋_GB2312" w:hAnsi="仿宋_GB2312" w:eastAsia="仿宋_GB2312" w:cs="仿宋_GB2312"/>
          <w:bCs/>
          <w:sz w:val="36"/>
          <w:szCs w:val="36"/>
        </w:rPr>
        <w:t>任</w:t>
      </w:r>
      <w:r>
        <w:rPr>
          <w:rFonts w:hint="eastAsia" w:ascii="仿宋_GB2312" w:hAnsi="仿宋_GB2312" w:eastAsia="仿宋_GB2312" w:cs="仿宋_GB2312"/>
          <w:bCs/>
          <w:sz w:val="36"/>
          <w:szCs w:val="36"/>
          <w:lang w:eastAsia="zh-Hans"/>
        </w:rPr>
        <w:t>名誉校长提级调度</w:t>
      </w:r>
      <w:r>
        <w:rPr>
          <w:rFonts w:hint="eastAsia" w:ascii="仿宋_GB2312" w:hAnsi="仿宋_GB2312" w:eastAsia="仿宋_GB2312" w:cs="仿宋_GB2312"/>
          <w:bCs/>
          <w:sz w:val="36"/>
          <w:szCs w:val="36"/>
        </w:rPr>
        <w:t>，促进办学品质再提升。</w:t>
      </w:r>
      <w:r>
        <w:rPr>
          <w:rFonts w:hint="eastAsia" w:ascii="仿宋_GB2312" w:hAnsi="仿宋_GB2312" w:eastAsia="仿宋_GB2312" w:cs="仿宋_GB2312"/>
          <w:bCs/>
          <w:sz w:val="36"/>
          <w:szCs w:val="36"/>
          <w:lang w:eastAsia="zh-Hans"/>
        </w:rPr>
        <w:t>深入推进国家级</w:t>
      </w:r>
      <w:r>
        <w:rPr>
          <w:rFonts w:hint="eastAsia" w:ascii="仿宋_GB2312" w:hAnsi="仿宋_GB2312" w:eastAsia="仿宋_GB2312" w:cs="仿宋_GB2312"/>
          <w:bCs/>
          <w:sz w:val="36"/>
          <w:szCs w:val="36"/>
        </w:rPr>
        <w:t>“</w:t>
      </w:r>
      <w:r>
        <w:rPr>
          <w:rFonts w:hint="eastAsia" w:ascii="仿宋_GB2312" w:hAnsi="仿宋_GB2312" w:eastAsia="仿宋_GB2312" w:cs="仿宋_GB2312"/>
          <w:bCs/>
          <w:sz w:val="36"/>
          <w:szCs w:val="36"/>
          <w:lang w:eastAsia="zh-Hans"/>
        </w:rPr>
        <w:t>双新</w:t>
      </w:r>
      <w:r>
        <w:rPr>
          <w:rFonts w:hint="eastAsia" w:ascii="仿宋_GB2312" w:hAnsi="仿宋_GB2312" w:eastAsia="仿宋_GB2312" w:cs="仿宋_GB2312"/>
          <w:bCs/>
          <w:sz w:val="36"/>
          <w:szCs w:val="36"/>
        </w:rPr>
        <w:t>”</w:t>
      </w:r>
      <w:r>
        <w:rPr>
          <w:rFonts w:hint="eastAsia" w:ascii="仿宋_GB2312" w:hAnsi="仿宋_GB2312" w:eastAsia="仿宋_GB2312" w:cs="仿宋_GB2312"/>
          <w:bCs/>
          <w:sz w:val="36"/>
          <w:szCs w:val="36"/>
          <w:lang w:eastAsia="zh-Hans"/>
        </w:rPr>
        <w:t>示范区建设，探索拔尖创新人才培养模式</w:t>
      </w:r>
      <w:r>
        <w:rPr>
          <w:rFonts w:hint="eastAsia" w:ascii="仿宋_GB2312" w:hAnsi="仿宋_GB2312" w:eastAsia="仿宋_GB2312" w:cs="仿宋_GB2312"/>
          <w:sz w:val="36"/>
          <w:szCs w:val="36"/>
        </w:rPr>
        <w:t>。</w:t>
      </w:r>
      <w:r>
        <w:rPr>
          <w:rFonts w:hint="eastAsia" w:ascii="仿宋_GB2312" w:hAnsi="仿宋_GB2312" w:eastAsia="仿宋_GB2312" w:cs="仿宋_GB2312"/>
          <w:bCs/>
          <w:sz w:val="36"/>
          <w:szCs w:val="36"/>
        </w:rPr>
        <w:t>加强教师队伍建设，</w:t>
      </w:r>
      <w:r>
        <w:rPr>
          <w:rFonts w:hint="eastAsia" w:ascii="仿宋_GB2312" w:eastAsia="仿宋_GB2312"/>
          <w:bCs/>
          <w:sz w:val="36"/>
          <w:szCs w:val="36"/>
        </w:rPr>
        <w:t>深入推进教师交流轮岗，启动新教师三年规范化培训，创新推出“教师AI学伴”</w:t>
      </w:r>
      <w:r>
        <w:rPr>
          <w:rFonts w:hint="eastAsia" w:ascii="仿宋_GB2312" w:hAnsi="仿宋_GB2312" w:eastAsia="仿宋_GB2312" w:cs="仿宋_GB2312"/>
          <w:sz w:val="36"/>
          <w:szCs w:val="36"/>
        </w:rPr>
        <w:t>。积极推进教育数字化转型，3所学校获评北京市首批智慧校园示范校。在3所学校开展通学公交试点，开通运行路线7条，让孩子上学更加便利。</w:t>
      </w:r>
    </w:p>
    <w:p>
      <w:pPr>
        <w:spacing w:line="600" w:lineRule="exact"/>
        <w:ind w:firstLine="723" w:firstLineChars="200"/>
        <w:rPr>
          <w:rFonts w:hint="eastAsia" w:ascii="仿宋_GB2312" w:hAnsi="仿宋_GB2312" w:eastAsia="仿宋_GB2312" w:cs="仿宋_GB2312"/>
          <w:bCs/>
          <w:sz w:val="36"/>
          <w:szCs w:val="36"/>
        </w:rPr>
      </w:pPr>
      <w:r>
        <w:rPr>
          <w:rFonts w:hint="eastAsia" w:ascii="仿宋_GB2312" w:hAnsi="仿宋_GB2312" w:eastAsia="仿宋_GB2312" w:cs="仿宋_GB2312"/>
          <w:b/>
          <w:sz w:val="36"/>
          <w:szCs w:val="36"/>
        </w:rPr>
        <w:t>就业服务和社会保障水平稳步提高。</w:t>
      </w:r>
      <w:r>
        <w:rPr>
          <w:rFonts w:hint="eastAsia" w:ascii="仿宋_GB2312" w:hAnsi="仿宋_GB2312" w:eastAsia="仿宋_GB2312" w:cs="仿宋_GB2312"/>
          <w:bCs/>
          <w:sz w:val="36"/>
          <w:szCs w:val="36"/>
        </w:rPr>
        <w:t>开展“业美就在西城”等品牌活动，举办招聘会335场次，帮扶近1.92万名登记失业人员实现就业，保持“零就业家庭”动态清零。连续九年创建北京市充分就业区，登记失业率2.35%，保持全市最优。加快构建多支柱养老保险体系，企业年金覆盖逾千家企业，个人养老金试点稳步实施。构建多层次医疗保障体系，职工基本医疗保险门诊互助共济保障功能进一步增强。全面加强困难人群救助帮扶，实施临时救助1399户2357人，发放救助金869.71万元，居全市首位。关爱未成年人健康成长，实现未成年人保护站和关护之家覆盖全部街道和社区。区妇联荣获“全国维护妇女儿童权益先进集体”。完善残疾人社会保障制度和关爱服务体系，区级残疾人服务大楼正式启用。全力推进全国残疾预防重点联系地区工作。</w:t>
      </w:r>
    </w:p>
    <w:p>
      <w:pPr>
        <w:spacing w:line="60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养老托幼服务水平不断提升。</w:t>
      </w:r>
      <w:r>
        <w:rPr>
          <w:rFonts w:hint="eastAsia" w:ascii="仿宋_GB2312" w:hAnsi="仿宋_GB2312" w:eastAsia="仿宋_GB2312" w:cs="仿宋_GB2312"/>
          <w:sz w:val="36"/>
          <w:szCs w:val="36"/>
        </w:rPr>
        <w:t>深入推进养老服务“十件事”，110家养老服务机构实现医养结合全覆盖，成立全市第一家养老食堂集体配餐中心，296家养老助餐点挂牌“父母食堂”，周助餐服务量达4.9万人次。率先推出普惠式居家适老化改造政策，</w:t>
      </w:r>
      <w:r>
        <w:rPr>
          <w:rFonts w:hint="eastAsia" w:ascii="仿宋_GB2312" w:hAnsi="仿宋_GB2312" w:eastAsia="仿宋_GB2312" w:cs="仿宋_GB2312"/>
          <w:bCs/>
          <w:kern w:val="0"/>
          <w:sz w:val="36"/>
          <w:szCs w:val="36"/>
        </w:rPr>
        <w:t>新增家庭养老照护床位500张、异地康养床位240张</w:t>
      </w:r>
      <w:r>
        <w:rPr>
          <w:rFonts w:hint="eastAsia" w:ascii="仿宋_GB2312" w:hAnsi="仿宋_GB2312" w:eastAsia="仿宋_GB2312" w:cs="仿宋_GB2312"/>
          <w:sz w:val="36"/>
          <w:szCs w:val="36"/>
        </w:rPr>
        <w:t>，新安装“一键呼”设备1.8万部，均完成年度目标。联手滴滴打车设置300个助老打车点，实现老年人“一键叫车”。巡视探访基本公共服务国家级标准化试点以全市最高分通过考核评估，相关经验转化为1项地方标准和2项国家标准。婴幼儿托育服务加快发展，共有托育服务场所67处、托位数量3193个。我区成功获评国家级儿童友好城市建设试点，什刹海文化展示中心等3个项目被评为北京市最受欢迎的儿童友好公共服务类空间。</w:t>
      </w:r>
    </w:p>
    <w:p>
      <w:pPr>
        <w:snapToGrid w:val="0"/>
        <w:spacing w:line="60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健康西城建设扎实推进。</w:t>
      </w:r>
      <w:r>
        <w:rPr>
          <w:rFonts w:hint="eastAsia" w:ascii="仿宋_GB2312" w:hAnsi="仿宋_GB2312" w:eastAsia="仿宋_GB2312" w:cs="仿宋_GB2312"/>
          <w:sz w:val="36"/>
          <w:szCs w:val="36"/>
        </w:rPr>
        <w:t>大力倡导全民健身，举办“一节两品”“大院杯”等群众体育活动452场、参与群众50万人次，新增群众身边健身场地40个、3.9万平方米，月坛体育场完成升级改造。西城运动健儿在杭州亚运会和亚残运会上共获11金3银1铜，全市领先。不断完善分级诊疗体系，区域综合医联体实现全覆盖，三级医院实现半小时内分时段预约转诊挂号。扎实推进月坛和金融街</w:t>
      </w:r>
      <w:r>
        <w:rPr>
          <w:rFonts w:hint="eastAsia" w:ascii="仿宋_GB2312" w:hAnsi="仿宋_GB2312" w:eastAsia="仿宋_GB2312" w:cs="仿宋_GB2312"/>
          <w:bCs/>
          <w:sz w:val="36"/>
          <w:szCs w:val="36"/>
          <w:lang w:bidi="zh-CN"/>
        </w:rPr>
        <w:t>健联体试点建设</w:t>
      </w:r>
      <w:r>
        <w:rPr>
          <w:rFonts w:hint="eastAsia" w:ascii="仿宋_GB2312" w:hAnsi="仿宋_GB2312" w:eastAsia="仿宋_GB2312" w:cs="仿宋_GB2312"/>
          <w:sz w:val="36"/>
          <w:szCs w:val="36"/>
        </w:rPr>
        <w:t>，推出更多符合居民需求的特色服务。扩大家庭医生签约服务覆盖面，408支家医团队共签约46万人，服务满意度全市领先。优化发展社区卫生服务，建立15个专病特色科室，完成3个社区卫生服务中心装修改造</w:t>
      </w:r>
      <w:r>
        <w:rPr>
          <w:rFonts w:hint="eastAsia" w:ascii="仿宋_GB2312" w:hAnsi="仿宋_GB2312" w:eastAsia="仿宋_GB2312" w:cs="仿宋_GB2312"/>
          <w:bCs/>
          <w:sz w:val="36"/>
          <w:szCs w:val="36"/>
          <w:lang w:bidi="zh-CN"/>
        </w:rPr>
        <w:t>。夯实院前急救基础，呼叫响应率100%，公共卫生应急管理能力进一步提升。以历史最好成绩通过第五轮国家卫生区复审，</w:t>
      </w:r>
      <w:r>
        <w:rPr>
          <w:rFonts w:hint="eastAsia" w:ascii="仿宋_GB2312" w:hAnsi="仿宋_GB2312" w:eastAsia="仿宋_GB2312" w:cs="仿宋_GB2312"/>
          <w:sz w:val="36"/>
          <w:szCs w:val="36"/>
        </w:rPr>
        <w:t>获评“全国健康城市建设样板市”。</w:t>
      </w:r>
    </w:p>
    <w:p>
      <w:pPr>
        <w:spacing w:line="60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接诉即办改革稳步推进。</w:t>
      </w:r>
      <w:r>
        <w:rPr>
          <w:rFonts w:hint="eastAsia" w:ascii="仿宋_GB2312" w:hAnsi="仿宋_GB2312" w:eastAsia="仿宋_GB2312" w:cs="仿宋_GB2312"/>
          <w:sz w:val="36"/>
          <w:szCs w:val="36"/>
        </w:rPr>
        <w:t>推动主动治理、未诉先办，实施攻坚克难“每月一题”，开展房屋修缮、停车管理等专题调度。持续推进治理类社区（小区）动态管理，加快重点区域问题解决。明确“5个24小时”时限要求，持续开展热线“月帮办”，不断提升办理质效。完善“最美”激励长效机制，打造“最美”系列品牌，开展第二季“我与‘接诉即办’的故事”巡回宣讲，为基层送服务、送经验、送示范。共受理市民热线诉求29.52万件，平均综合成绩97.11，排名全市第一。</w:t>
      </w:r>
    </w:p>
    <w:p>
      <w:pPr>
        <w:spacing w:line="60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社会治理创新不断深化。</w:t>
      </w:r>
      <w:r>
        <w:rPr>
          <w:rFonts w:hint="eastAsia" w:ascii="仿宋_GB2312" w:hAnsi="仿宋_GB2312" w:eastAsia="仿宋_GB2312" w:cs="仿宋_GB2312"/>
          <w:sz w:val="36"/>
          <w:szCs w:val="36"/>
        </w:rPr>
        <w:t>打造“红墙‘巷’往”社区党建品牌，推出18家北京市社区书记工作室，增强“领头雁”领飞能力。定向招聘78名事业编制人员，推动全效能基层社区工作者队伍建设。深化基层民主协商，形成15个社区议事厅示范点和30个楼门院治理示范点，“标准化+民主协商”案例入围全国城乡社区高质量发展典型案例，广外街道天宁寺南里社区居委会获评“全国先进基层群众性自治组织”。深化民生工程民意立项，确定为民办实事项目134件。举办“西城小哥”运动会和服务月，推动新就业群体为基层治理赋能增效。实施社会组织“公益合伙人”三年行动计划，22个公益创投项目获资金支持。</w:t>
      </w:r>
    </w:p>
    <w:p>
      <w:pPr>
        <w:numPr>
          <w:ilvl w:val="0"/>
          <w:numId w:val="1"/>
        </w:numPr>
        <w:spacing w:line="600" w:lineRule="exact"/>
        <w:ind w:firstLine="720" w:firstLineChars="200"/>
        <w:rPr>
          <w:rFonts w:ascii="楷体_GB2312" w:hAnsi="楷体_GB2312" w:eastAsia="楷体_GB2312" w:cs="楷体_GB2312"/>
          <w:sz w:val="36"/>
          <w:szCs w:val="36"/>
        </w:rPr>
      </w:pPr>
      <w:r>
        <w:rPr>
          <w:rFonts w:hint="eastAsia" w:ascii="楷体_GB2312" w:hAnsi="楷体_GB2312" w:eastAsia="楷体_GB2312" w:cs="楷体_GB2312"/>
          <w:sz w:val="36"/>
          <w:szCs w:val="36"/>
        </w:rPr>
        <w:t>高水平推进控规落地，城市功能品质稳步提升</w:t>
      </w:r>
    </w:p>
    <w:p>
      <w:pPr>
        <w:snapToGrid w:val="0"/>
        <w:spacing w:line="60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sz w:val="36"/>
          <w:szCs w:val="36"/>
          <w:lang w:val="zh-CN" w:bidi="zh-CN"/>
        </w:rPr>
        <w:t>城市更新绘就老城新面貌。</w:t>
      </w:r>
      <w:r>
        <w:rPr>
          <w:rFonts w:hint="eastAsia" w:ascii="仿宋_GB2312" w:hAnsi="仿宋_GB2312" w:eastAsia="仿宋_GB2312" w:cs="仿宋_GB2312"/>
          <w:bCs/>
          <w:sz w:val="36"/>
          <w:szCs w:val="36"/>
          <w:lang w:val="zh-CN" w:bidi="zh-CN"/>
        </w:rPr>
        <w:t>制定落实核心区控规第二个三年行动计划，正阳门箭楼南望景观视廊、天桥百货商场环境整治等顺利完工，西单-积水潭桥街区环境整治提升全面开工，灵境胡同-西四路口示范段精彩亮相。</w:t>
      </w:r>
      <w:r>
        <w:rPr>
          <w:rFonts w:hint="eastAsia" w:ascii="仿宋_GB2312" w:hAnsi="仿宋_GB2312" w:eastAsia="仿宋_GB2312" w:cs="仿宋_GB2312"/>
          <w:sz w:val="36"/>
          <w:szCs w:val="36"/>
        </w:rPr>
        <w:t>探索城市更新项目实施机制，成立全市首家城市更新企业联合会，带动更多社会资本参与。“姚江胡同共生街区”“法源寺文保区更新项目”分获2023中国城市更新优秀案例之十大价值创新奖、五大片区更新奖，</w:t>
      </w:r>
      <w:r>
        <w:rPr>
          <w:rFonts w:hint="eastAsia" w:ascii="仿宋_GB2312" w:hAnsi="仿宋_GB2312" w:eastAsia="仿宋_GB2312" w:cs="仿宋_GB2312"/>
          <w:bCs/>
          <w:sz w:val="36"/>
          <w:szCs w:val="36"/>
          <w:lang w:val="zh-CN" w:bidi="zh-CN"/>
        </w:rPr>
        <w:t>烂</w:t>
      </w:r>
      <w:r>
        <w:rPr>
          <w:rFonts w:hint="eastAsia" w:ascii="仿宋_GB2312" w:hAnsi="仿宋_GB2312" w:eastAsia="仿宋_GB2312" w:cs="仿宋_GB2312"/>
          <w:sz w:val="36"/>
          <w:szCs w:val="36"/>
        </w:rPr>
        <w:t>缦胡同、蒙藏学校旧址保护工程分获第二届北京城市更新“最佳实践”</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“优秀项目”。</w:t>
      </w:r>
    </w:p>
    <w:p>
      <w:pPr>
        <w:spacing w:line="600" w:lineRule="exact"/>
        <w:ind w:firstLine="723" w:firstLineChars="2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居住环境持续改善。</w:t>
      </w:r>
      <w:r>
        <w:rPr>
          <w:rFonts w:hint="eastAsia" w:ascii="仿宋_GB2312" w:hAnsi="仿宋_GB2312" w:eastAsia="仿宋_GB2312" w:cs="仿宋_GB2312"/>
          <w:sz w:val="36"/>
          <w:szCs w:val="36"/>
        </w:rPr>
        <w:t>有序开展平房院落保护更新，5个片区申请式退租项目签约1009户，超额完成年度目标。扎实推进老旧小区综合整治，新开工31个、完工15个，首个“央地共建”老旧小区改造项目华能玉桃园精彩亮相。</w:t>
      </w:r>
      <w:r>
        <w:rPr>
          <w:rFonts w:hint="eastAsia" w:ascii="仿宋_GB2312" w:hAnsi="仿宋_GB2312" w:eastAsia="仿宋_GB2312" w:cs="仿宋_GB2312"/>
          <w:bCs/>
          <w:sz w:val="36"/>
          <w:szCs w:val="36"/>
          <w:lang w:bidi="zh-CN"/>
        </w:rPr>
        <w:t>创新推出老旧电梯更新项目资金奖励，老楼加装电梯新开工35部、完工26部。小马厂西社区获评“全国完整社区建设试点”。</w:t>
      </w:r>
      <w:r>
        <w:rPr>
          <w:rFonts w:hint="eastAsia" w:ascii="仿宋_GB2312" w:hAnsi="仿宋_GB2312" w:eastAsia="仿宋_GB2312" w:cs="仿宋_GB2312"/>
          <w:sz w:val="36"/>
          <w:szCs w:val="36"/>
        </w:rPr>
        <w:t>危改及腾退项目取得新突破，全区首个危旧楼改建项目桦皮厂8号楼以装配式建筑方式建成封顶，10栋简易楼实现解危腾空，超额完成年度目标。首个棚户区改造项目百万庄北里启动回迁入住，279户居民圆梦新居。</w:t>
      </w:r>
    </w:p>
    <w:p>
      <w:pPr>
        <w:spacing w:line="600" w:lineRule="exact"/>
        <w:ind w:firstLine="723" w:firstLineChars="200"/>
        <w:rPr>
          <w:rFonts w:hint="eastAsia" w:ascii="仿宋_GB2312" w:hAnsi="仿宋_GB2312" w:eastAsia="仿宋_GB2312" w:cs="仿宋_GB2312"/>
          <w:sz w:val="36"/>
          <w:szCs w:val="36"/>
          <w:lang w:val="zh-CN"/>
        </w:rPr>
      </w:pPr>
      <w:r>
        <w:rPr>
          <w:rFonts w:hint="eastAsia" w:ascii="仿宋_GB2312" w:hAnsi="仿宋_GB2312" w:eastAsia="仿宋_GB2312" w:cs="仿宋_GB2312"/>
          <w:b/>
          <w:bCs/>
          <w:sz w:val="36"/>
          <w:szCs w:val="36"/>
        </w:rPr>
        <w:t>城市精细管理水平稳步提高。</w:t>
      </w:r>
      <w:r>
        <w:rPr>
          <w:rFonts w:hint="eastAsia" w:ascii="仿宋_GB2312" w:hAnsi="仿宋_GB2312" w:eastAsia="仿宋_GB2312" w:cs="仿宋_GB2312"/>
          <w:sz w:val="36"/>
          <w:szCs w:val="36"/>
        </w:rPr>
        <w:t>以“绣花功夫”做实背街小巷精细化治理，491条街巷焕然一新</w:t>
      </w:r>
      <w:r>
        <w:rPr>
          <w:rFonts w:hint="eastAsia" w:ascii="仿宋_GB2312" w:hAnsi="仿宋_GB2312" w:eastAsia="仿宋_GB2312" w:cs="仿宋_GB2312"/>
          <w:sz w:val="36"/>
          <w:szCs w:val="36"/>
          <w:lang w:val="zh-CN" w:bidi="zh-CN"/>
        </w:rPr>
        <w:t>，</w:t>
      </w:r>
      <w:r>
        <w:rPr>
          <w:rFonts w:hint="eastAsia" w:ascii="仿宋_GB2312" w:hAnsi="仿宋_GB2312" w:eastAsia="仿宋_GB2312" w:cs="仿宋_GB2312"/>
          <w:sz w:val="36"/>
          <w:szCs w:val="36"/>
          <w:lang w:bidi="zh-CN"/>
        </w:rPr>
        <w:t>60个“最美院落”精彩亮相，其中</w:t>
      </w:r>
      <w:r>
        <w:rPr>
          <w:rFonts w:hint="eastAsia" w:ascii="仿宋_GB2312" w:hAnsi="仿宋_GB2312" w:eastAsia="仿宋_GB2312" w:cs="仿宋_GB2312"/>
          <w:sz w:val="36"/>
          <w:szCs w:val="36"/>
          <w:lang w:val="zh-CN"/>
        </w:rPr>
        <w:t>6个小院上榜</w:t>
      </w:r>
      <w:r>
        <w:rPr>
          <w:rFonts w:hint="eastAsia" w:ascii="仿宋_GB2312" w:hAnsi="仿宋_GB2312" w:eastAsia="仿宋_GB2312" w:cs="仿宋_GB2312"/>
          <w:sz w:val="36"/>
          <w:szCs w:val="36"/>
        </w:rPr>
        <w:t>全市首批十个“最美庭院”，</w:t>
      </w:r>
      <w:r>
        <w:rPr>
          <w:rFonts w:ascii="仿宋_GB2312" w:hAnsi="仿宋_GB2312" w:eastAsia="仿宋_GB2312" w:cs="仿宋_GB2312"/>
          <w:sz w:val="36"/>
          <w:szCs w:val="36"/>
        </w:rPr>
        <w:t>33</w:t>
      </w:r>
      <w:r>
        <w:rPr>
          <w:rFonts w:hint="eastAsia" w:ascii="仿宋_GB2312" w:hAnsi="仿宋_GB2312" w:eastAsia="仿宋_GB2312" w:cs="仿宋_GB2312"/>
          <w:sz w:val="36"/>
          <w:szCs w:val="36"/>
        </w:rPr>
        <w:t>条胡同变身“不停车胡同”</w:t>
      </w:r>
      <w:r>
        <w:rPr>
          <w:rFonts w:hint="eastAsia" w:ascii="仿宋_GB2312" w:hAnsi="仿宋_GB2312" w:eastAsia="仿宋_GB2312" w:cs="仿宋_GB2312"/>
          <w:sz w:val="36"/>
          <w:szCs w:val="36"/>
          <w:lang w:val="zh-CN"/>
        </w:rPr>
        <w:t>。</w:t>
      </w:r>
      <w:r>
        <w:rPr>
          <w:rFonts w:hint="eastAsia" w:ascii="仿宋_GB2312" w:hAnsi="仿宋_GB2312" w:eastAsia="仿宋_GB2312" w:cs="仿宋_GB2312"/>
          <w:sz w:val="36"/>
          <w:szCs w:val="36"/>
        </w:rPr>
        <w:t>持续推进交通综合治理，完成158条道路39.71公里护栏拆除，25条道路大中修、5条道路疏堵及36公里慢行系统改造。不断拓展公共停车空间，建成北京儿童医院和新华1949立体停车楼、里仁街3号院居住区立体车库，新增有偿错时共享停车场19处、停车位939个。积极推进商圈智慧停车服务，实现西单商圈11个停车场、2000余个车位信息实时查询，</w:t>
      </w:r>
      <w:r>
        <w:rPr>
          <w:rFonts w:hint="eastAsia" w:ascii="仿宋_GB2312" w:hAnsi="仿宋_GB2312" w:eastAsia="仿宋_GB2312" w:cs="仿宋_GB2312"/>
          <w:bCs/>
          <w:sz w:val="36"/>
          <w:szCs w:val="36"/>
          <w:lang w:bidi="zh-CN"/>
        </w:rPr>
        <w:t>居民停车体验更加优化</w:t>
      </w:r>
      <w:r>
        <w:rPr>
          <w:rFonts w:hint="eastAsia" w:ascii="仿宋_GB2312" w:hAnsi="仿宋_GB2312" w:eastAsia="仿宋_GB2312" w:cs="仿宋_GB2312"/>
          <w:sz w:val="36"/>
          <w:szCs w:val="36"/>
        </w:rPr>
        <w:t>。新开展5所学校和3所医院交通综合治理，群众的上学路、就医路更畅通、更安全。夯实新能源电动汽车充电基础设施建设，打造“充电无忧”示范区。</w:t>
      </w:r>
      <w:r>
        <w:rPr>
          <w:rFonts w:hint="eastAsia" w:ascii="仿宋_GB2312" w:hAnsi="仿宋_GB2312" w:eastAsia="仿宋_GB2312" w:cs="仿宋_GB2312"/>
          <w:sz w:val="36"/>
          <w:szCs w:val="36"/>
          <w:lang w:val="zh-CN"/>
        </w:rPr>
        <w:t>城市数智化转型加速推进，政务目录链平台获评中国公共数据运营优秀案例。</w:t>
      </w:r>
    </w:p>
    <w:p>
      <w:pPr>
        <w:spacing w:line="60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绿色低碳转型有序推进。</w:t>
      </w:r>
      <w:r>
        <w:rPr>
          <w:rFonts w:hint="eastAsia" w:ascii="仿宋_GB2312" w:hAnsi="仿宋_GB2312" w:eastAsia="仿宋_GB2312" w:cs="仿宋_GB2312"/>
          <w:sz w:val="36"/>
          <w:szCs w:val="36"/>
        </w:rPr>
        <w:t>深入实施“一微克”行动，创新推出建筑工地防尘降噪“基坑气膜”技术，精细化管控水平不断提升。流域内16条（处）河湖获评北京市“优美河湖”，成为首个“优美河湖”全覆盖区，地表水考核断面水质达标率连续七年保持100%。持续推进“花园城市”试点建设，新建10处城市绿地1.29公顷，改造</w:t>
      </w:r>
      <w:r>
        <w:rPr>
          <w:rFonts w:hint="eastAsia" w:ascii="仿宋_GB2312" w:hAnsi="仿宋_GB2312" w:eastAsia="仿宋_GB2312" w:cs="仿宋_GB2312"/>
          <w:bCs/>
          <w:sz w:val="36"/>
          <w:szCs w:val="36"/>
        </w:rPr>
        <w:t>3个全龄友好公园和</w:t>
      </w:r>
      <w:r>
        <w:rPr>
          <w:rFonts w:hint="eastAsia" w:ascii="仿宋_GB2312" w:hAnsi="仿宋_GB2312" w:eastAsia="仿宋_GB2312" w:cs="仿宋_GB2312"/>
          <w:sz w:val="36"/>
          <w:szCs w:val="36"/>
        </w:rPr>
        <w:t>11处城市绿地共5.17公顷，新增屋顶绿化5064平方米、垂直绿化</w:t>
      </w:r>
      <w:r>
        <w:rPr>
          <w:rFonts w:hint="eastAsia" w:ascii="仿宋_GB2312" w:hAnsi="仿宋_GB2312" w:eastAsia="仿宋_GB2312" w:cs="仿宋_GB2312"/>
          <w:kern w:val="0"/>
          <w:sz w:val="36"/>
          <w:szCs w:val="36"/>
        </w:rPr>
        <w:t>1015</w:t>
      </w:r>
      <w:r>
        <w:rPr>
          <w:rFonts w:hint="eastAsia" w:ascii="仿宋_GB2312" w:hAnsi="仿宋_GB2312" w:eastAsia="仿宋_GB2312" w:cs="仿宋_GB2312"/>
          <w:sz w:val="36"/>
          <w:szCs w:val="36"/>
        </w:rPr>
        <w:t>延长米，在全市率先实现公园绿地500米服务半径覆盖率100%，</w:t>
      </w:r>
      <w:r>
        <w:rPr>
          <w:rFonts w:hint="eastAsia" w:ascii="仿宋_GB2312" w:hAnsi="仿宋_GB2312" w:eastAsia="仿宋_GB2312" w:cs="仿宋_GB2312"/>
          <w:bCs/>
          <w:sz w:val="36"/>
          <w:szCs w:val="36"/>
        </w:rPr>
        <w:t>成功</w:t>
      </w:r>
      <w:r>
        <w:rPr>
          <w:rFonts w:hint="eastAsia" w:ascii="仿宋_GB2312" w:hAnsi="仿宋_GB2312" w:eastAsia="仿宋_GB2312" w:cs="仿宋_GB2312"/>
          <w:sz w:val="36"/>
          <w:szCs w:val="36"/>
        </w:rPr>
        <w:t>创建1个花园式社区和1个花园式单位，群众绿色休闲空间不断拓展。稳步推进低碳试点建设，区政府机关办公区在全市率先实现100%绿电使用，天宁1号建成我区首个“零碳”智慧园区，央地合作推进20座“零碳”示范校园建设，</w:t>
      </w:r>
      <w:r>
        <w:rPr>
          <w:rFonts w:hint="eastAsia" w:ascii="仿宋_GB2312" w:hAnsi="仿宋_GB2312" w:eastAsia="仿宋_GB2312" w:cs="仿宋_GB2312"/>
          <w:bCs/>
          <w:sz w:val="36"/>
          <w:szCs w:val="36"/>
        </w:rPr>
        <w:t>“双碳”领域首个国家技术创新中心——国家建筑绿色低碳技术创新中心落户。</w:t>
      </w:r>
    </w:p>
    <w:p>
      <w:pPr>
        <w:spacing w:line="600" w:lineRule="exact"/>
        <w:ind w:firstLine="723" w:firstLineChars="200"/>
        <w:rPr>
          <w:sz w:val="36"/>
          <w:szCs w:val="36"/>
          <w:highlight w:val="yellow"/>
        </w:rPr>
      </w:pPr>
      <w:r>
        <w:rPr>
          <w:rFonts w:hint="eastAsia" w:ascii="仿宋_GB2312" w:hAnsi="仿宋_GB2312" w:eastAsia="仿宋_GB2312" w:cs="仿宋_GB2312"/>
          <w:b/>
          <w:bCs/>
          <w:sz w:val="36"/>
          <w:szCs w:val="36"/>
        </w:rPr>
        <w:t>两个“关键小事”扎实推进。</w:t>
      </w:r>
      <w:r>
        <w:rPr>
          <w:rFonts w:hint="eastAsia" w:ascii="仿宋_GB2312" w:hAnsi="仿宋_GB2312" w:eastAsia="仿宋_GB2312" w:cs="仿宋_GB2312"/>
          <w:sz w:val="36"/>
          <w:szCs w:val="36"/>
        </w:rPr>
        <w:t>不断提升党建引领物业管理水平，业委会组建率位列城六区首位，党组织覆盖率、物业服务覆盖率均达100%。积极培育党建引领物业管理“1号位”“解题桌”2个党建品牌，引导搭建多方协商议事平台。推进全线贯通、无缝对接的垃圾分类收运体系建设，建成268个分类驿站，规范设置3668组垃圾桶站，垃圾减量化、资源化水平不断提升。探索垃圾分类投放正确积分奖励机制，试点开展餐饮单位厨余垃圾“公交化”收运模式，首环办环境综合考核、垃圾分类工作排名组内第一</w:t>
      </w:r>
      <w:r>
        <w:rPr>
          <w:rFonts w:hint="eastAsia" w:ascii="仿宋_GB2312" w:hAnsi="仿宋_GB2312" w:eastAsia="仿宋_GB2312" w:cs="仿宋_GB2312"/>
          <w:sz w:val="36"/>
          <w:szCs w:val="36"/>
          <w:highlight w:val="none"/>
        </w:rPr>
        <w:t>。</w:t>
      </w:r>
    </w:p>
    <w:p>
      <w:pPr>
        <w:numPr>
          <w:ilvl w:val="0"/>
          <w:numId w:val="1"/>
        </w:numPr>
        <w:spacing w:line="600" w:lineRule="exact"/>
        <w:ind w:firstLine="720" w:firstLineChars="200"/>
        <w:rPr>
          <w:rFonts w:ascii="楷体_GB2312" w:hAnsi="楷体_GB2312" w:eastAsia="楷体_GB2312" w:cs="楷体_GB2312"/>
          <w:sz w:val="36"/>
          <w:szCs w:val="36"/>
        </w:rPr>
      </w:pPr>
      <w:r>
        <w:rPr>
          <w:rFonts w:hint="eastAsia" w:ascii="楷体_GB2312" w:hAnsi="楷体_GB2312" w:eastAsia="楷体_GB2312" w:cs="楷体_GB2312"/>
          <w:sz w:val="36"/>
          <w:szCs w:val="36"/>
        </w:rPr>
        <w:t>守正创新推动文化强区建设，文化软实力持续提升</w:t>
      </w:r>
    </w:p>
    <w:p>
      <w:pPr>
        <w:tabs>
          <w:tab w:val="left" w:pos="8364"/>
        </w:tabs>
        <w:spacing w:line="600" w:lineRule="exact"/>
        <w:ind w:firstLine="723" w:firstLineChars="200"/>
        <w:rPr>
          <w:rFonts w:hint="eastAsia" w:ascii="仿宋_GB2312" w:hAnsi="仿宋_GB2312" w:eastAsia="仿宋_GB2312" w:cs="仿宋_GB2312"/>
          <w:sz w:val="36"/>
          <w:szCs w:val="36"/>
          <w:shd w:val="clear" w:color="auto" w:fill="FFFFFF"/>
        </w:rPr>
      </w:pPr>
      <w:r>
        <w:rPr>
          <w:rFonts w:hint="eastAsia" w:ascii="仿宋_GB2312" w:hAnsi="仿宋_GB2312" w:eastAsia="仿宋_GB2312" w:cs="仿宋_GB2312"/>
          <w:b/>
          <w:bCs/>
          <w:sz w:val="36"/>
          <w:szCs w:val="36"/>
          <w:shd w:val="clear" w:color="auto" w:fill="FFFFFF"/>
        </w:rPr>
        <w:t>精神文明建设更加深化。</w:t>
      </w:r>
      <w:r>
        <w:rPr>
          <w:rFonts w:hint="eastAsia" w:ascii="仿宋_GB2312" w:hAnsi="仿宋_GB2312" w:eastAsia="仿宋_GB2312" w:cs="仿宋_GB2312"/>
          <w:sz w:val="36"/>
          <w:szCs w:val="36"/>
          <w:shd w:val="clear" w:color="auto" w:fill="FFFFFF"/>
        </w:rPr>
        <w:t>深化文明城区创建，广泛开展“自信的文化育文明”系列活动，创新推出“创城伙伴计划”“文明西城118战略”。</w:t>
      </w:r>
      <w:r>
        <w:rPr>
          <w:rFonts w:hint="eastAsia" w:ascii="仿宋_GB2312" w:hAnsi="仿宋_GB2312" w:eastAsia="仿宋_GB2312" w:cs="仿宋_GB2312"/>
          <w:sz w:val="36"/>
          <w:szCs w:val="36"/>
          <w:shd w:val="clear" w:color="auto" w:fill="FFFFFF"/>
          <w:lang w:bidi="zh-CN"/>
        </w:rPr>
        <w:t>广泛开展红十字、“巾帼”志愿服务，</w:t>
      </w:r>
      <w:r>
        <w:rPr>
          <w:rFonts w:hint="eastAsia" w:ascii="仿宋_GB2312" w:hAnsi="仿宋_GB2312" w:eastAsia="仿宋_GB2312" w:cs="仿宋_GB2312"/>
          <w:sz w:val="36"/>
          <w:szCs w:val="36"/>
          <w:shd w:val="clear" w:color="auto" w:fill="FFFFFF"/>
        </w:rPr>
        <w:t>牛街街道钢院社区被评为“全国学雷锋‘四个100’最佳志愿服务社区”，新时代文明实践更接地气更暖人心。积极推进“2023西城红墙人”先进人物宣讲等活动，区百姓宣讲团在全市“强国复兴有我”汇讲中获第一名，社会主义核心价值观更加深入人心。拓展打造37个双拥品牌，形成“一街多品多典”格局。</w:t>
      </w:r>
    </w:p>
    <w:p>
      <w:pPr>
        <w:tabs>
          <w:tab w:val="left" w:pos="8364"/>
        </w:tabs>
        <w:spacing w:line="600" w:lineRule="exact"/>
        <w:ind w:firstLine="723" w:firstLineChars="200"/>
        <w:rPr>
          <w:rFonts w:hint="eastAsia" w:eastAsia="仿宋_GB2312"/>
          <w:sz w:val="36"/>
          <w:szCs w:val="36"/>
        </w:rPr>
      </w:pPr>
      <w:r>
        <w:rPr>
          <w:rFonts w:hint="eastAsia" w:ascii="仿宋_GB2312" w:hAnsi="仿宋_GB2312" w:eastAsia="仿宋_GB2312" w:cs="仿宋_GB2312"/>
          <w:b/>
          <w:bCs/>
          <w:sz w:val="36"/>
          <w:szCs w:val="36"/>
          <w:shd w:val="clear" w:color="auto" w:fill="FFFFFF"/>
        </w:rPr>
        <w:t>历史文化魅力充分彰显。</w:t>
      </w:r>
      <w:r>
        <w:rPr>
          <w:rFonts w:hint="eastAsia" w:ascii="仿宋_GB2312" w:hAnsi="仿宋_GB2312" w:eastAsia="仿宋_GB2312" w:cs="仿宋_GB2312"/>
          <w:sz w:val="36"/>
          <w:szCs w:val="36"/>
        </w:rPr>
        <w:t>中轴线申遗三年行动计划圆满收官，先农坛庆成宫重现历史风貌。有序实施文物建筑保护修缮，6处项目顺利完成，7处项目启动施工。深入推动</w:t>
      </w:r>
      <w:r>
        <w:rPr>
          <w:rFonts w:hint="eastAsia" w:ascii="仿宋_GB2312" w:hAnsi="黑体" w:eastAsia="仿宋_GB2312" w:cs="黑体"/>
          <w:sz w:val="36"/>
          <w:szCs w:val="36"/>
        </w:rPr>
        <w:t>文物活化利用3.0版</w:t>
      </w:r>
      <w:r>
        <w:rPr>
          <w:rFonts w:hint="eastAsia" w:ascii="仿宋_GB2312" w:hAnsi="华文楷体" w:eastAsia="仿宋_GB2312"/>
          <w:sz w:val="36"/>
          <w:szCs w:val="36"/>
        </w:rPr>
        <w:t>，文物数字化创新联盟成立，全国首个文物活化利用信用融资项目新市区泰安里精彩亮相。推进“博物馆之城”建设，</w:t>
      </w:r>
      <w:r>
        <w:rPr>
          <w:rFonts w:hint="eastAsia" w:ascii="仿宋_GB2312" w:hAnsi="仿宋_GB2312" w:eastAsia="仿宋_GB2312" w:cs="仿宋_GB2312"/>
          <w:bCs/>
          <w:sz w:val="36"/>
          <w:szCs w:val="36"/>
        </w:rPr>
        <w:t>蒙藏学校旧址建成全国首个</w:t>
      </w:r>
      <w:r>
        <w:rPr>
          <w:rFonts w:hint="eastAsia" w:ascii="仿宋_GB2312" w:hAnsi="仿宋_GB2312" w:eastAsia="仿宋_GB2312" w:cs="仿宋_GB2312"/>
          <w:sz w:val="36"/>
          <w:szCs w:val="36"/>
        </w:rPr>
        <w:t>中华民族共同体体验馆，庆云寺金石博物馆改造后正式开放，北京宣南博物馆推出全国首部沉浸式导览剧《宣南往士》，京报馆、福州新馆成功挂牌“类博物馆”</w:t>
      </w:r>
      <w:r>
        <w:rPr>
          <w:rFonts w:hint="eastAsia" w:ascii="仿宋_GB2312" w:hAnsi="仿宋_GB2312" w:eastAsia="仿宋_GB2312" w:cs="仿宋_GB2312"/>
          <w:sz w:val="36"/>
          <w:szCs w:val="36"/>
          <w:lang w:eastAsia="zh-Hans"/>
        </w:rPr>
        <w:t>。</w:t>
      </w:r>
      <w:r>
        <w:rPr>
          <w:rFonts w:hint="eastAsia" w:ascii="仿宋_GB2312" w:hAnsi="仿宋" w:eastAsia="仿宋_GB2312" w:cs="Times New Roman"/>
          <w:sz w:val="36"/>
          <w:szCs w:val="36"/>
        </w:rPr>
        <w:t>提炼出“城之源 都之始 河之端”文化标识，金中都光源里遗址列入“考古中国”重大发现，举办纪念北京建都870周年、“北京中轴非遗潮荟”等特色活动，</w:t>
      </w:r>
      <w:r>
        <w:rPr>
          <w:rFonts w:hint="eastAsia" w:ascii="仿宋_GB2312" w:hAnsi="仿宋_GB2312" w:eastAsia="仿宋_GB2312" w:cs="仿宋_GB2312"/>
          <w:sz w:val="36"/>
          <w:szCs w:val="36"/>
        </w:rPr>
        <w:t>“万象中轴”数字文化体验项目7个点位全部上线。</w:t>
      </w:r>
    </w:p>
    <w:p>
      <w:pPr>
        <w:spacing w:line="600" w:lineRule="exact"/>
        <w:ind w:firstLine="723" w:firstLineChars="200"/>
        <w:rPr>
          <w:rFonts w:hint="eastAsia" w:ascii="仿宋_GB2312" w:hAnsi="黑体" w:eastAsia="仿宋_GB2312" w:cs="黑体"/>
          <w:kern w:val="0"/>
          <w:sz w:val="36"/>
          <w:szCs w:val="36"/>
        </w:rPr>
      </w:pPr>
      <w:r>
        <w:rPr>
          <w:rFonts w:hint="eastAsia" w:ascii="仿宋_GB2312" w:hAnsi="仿宋_GB2312" w:eastAsia="仿宋_GB2312" w:cs="仿宋_GB2312"/>
          <w:b/>
          <w:bCs/>
          <w:sz w:val="36"/>
          <w:szCs w:val="36"/>
          <w:shd w:val="clear" w:color="auto" w:fill="FFFFFF"/>
        </w:rPr>
        <w:t>高品质文化服务供给更加丰富。</w:t>
      </w:r>
      <w:r>
        <w:rPr>
          <w:rFonts w:hint="eastAsia" w:ascii="仿宋_GB2312" w:hAnsi="仿宋_GB2312" w:eastAsia="仿宋_GB2312" w:cs="仿宋_GB2312"/>
          <w:sz w:val="36"/>
          <w:szCs w:val="36"/>
          <w:shd w:val="clear" w:color="auto" w:fill="FFFFFF"/>
        </w:rPr>
        <w:t>深化公共文化服务体系示范区建设，西城区图书馆（南馆）、西城区文化馆（南馆）等重点项目进展顺利。</w:t>
      </w:r>
      <w:r>
        <w:rPr>
          <w:rFonts w:hint="eastAsia" w:ascii="仿宋_GB2312" w:hAnsi="仿宋_GB2312" w:eastAsia="仿宋_GB2312" w:cs="仿宋_GB2312"/>
          <w:sz w:val="36"/>
          <w:szCs w:val="36"/>
        </w:rPr>
        <w:t>深入推进文化惠民工程，</w:t>
      </w:r>
      <w:r>
        <w:rPr>
          <w:rFonts w:hint="eastAsia" w:ascii="仿宋_GB2312" w:hAnsi="仿宋_GB2312" w:eastAsia="仿宋_GB2312" w:cs="仿宋_GB2312"/>
          <w:sz w:val="36"/>
          <w:szCs w:val="36"/>
          <w:shd w:val="clear" w:color="auto" w:fill="FFFFFF"/>
        </w:rPr>
        <w:t>全国首届小剧场京剧“群英会”、“会馆有戏”、老舍戏剧节等精彩纷呈，累计开展各类公共文化活动7624场次，参与群众约479万人次。“书香西城”建设持续深化，</w:t>
      </w:r>
      <w:r>
        <w:rPr>
          <w:rFonts w:hint="eastAsia" w:ascii="仿宋_GB2312" w:hAnsi="仿宋_GB2312" w:eastAsia="仿宋_GB2312" w:cs="仿宋_GB2312"/>
          <w:sz w:val="36"/>
          <w:szCs w:val="36"/>
          <w:shd w:val="clear" w:color="auto" w:fill="FFFFFF"/>
          <w:lang w:bidi="zh-CN"/>
        </w:rPr>
        <w:t>成功举办“海棠诗会”等品牌活动，</w:t>
      </w:r>
      <w:r>
        <w:rPr>
          <w:rFonts w:hint="eastAsia" w:ascii="仿宋_GB2312" w:hAnsi="仿宋_GB2312" w:eastAsia="仿宋_GB2312" w:cs="仿宋_GB2312"/>
          <w:sz w:val="36"/>
          <w:szCs w:val="36"/>
          <w:shd w:val="clear" w:color="auto" w:fill="FFFFFF"/>
        </w:rPr>
        <w:t>首批44家“悦读湾”实现挂牌，</w:t>
      </w:r>
      <w:r>
        <w:rPr>
          <w:rFonts w:hint="eastAsia" w:ascii="仿宋_GB2312" w:hAnsi="仿宋_GB2312" w:eastAsia="仿宋_GB2312" w:cs="仿宋_GB2312"/>
          <w:bCs/>
          <w:sz w:val="36"/>
          <w:szCs w:val="36"/>
        </w:rPr>
        <w:t>钟书阁、礼士书房入选北京市“最美书店”</w:t>
      </w:r>
      <w:r>
        <w:rPr>
          <w:rFonts w:hint="eastAsia" w:ascii="仿宋_GB2312" w:hAnsi="仿宋" w:eastAsia="仿宋_GB2312" w:cs="仿宋"/>
          <w:sz w:val="36"/>
          <w:szCs w:val="36"/>
        </w:rPr>
        <w:t>，</w:t>
      </w:r>
      <w:r>
        <w:rPr>
          <w:rFonts w:hint="eastAsia" w:ascii="仿宋_GB2312" w:hAnsi="仿宋_GB2312" w:eastAsia="仿宋_GB2312" w:cs="仿宋_GB2312"/>
          <w:sz w:val="36"/>
          <w:szCs w:val="36"/>
          <w:shd w:val="clear" w:color="auto" w:fill="FFFFFF"/>
        </w:rPr>
        <w:t>万人拥有实体书店1.4个，稳居全市前列。</w:t>
      </w:r>
    </w:p>
    <w:p>
      <w:pPr>
        <w:spacing w:line="600" w:lineRule="exact"/>
        <w:ind w:firstLine="723" w:firstLineChars="200"/>
        <w:rPr>
          <w:rFonts w:hint="eastAsia"/>
          <w:sz w:val="36"/>
          <w:szCs w:val="36"/>
        </w:rPr>
      </w:pPr>
      <w:r>
        <w:rPr>
          <w:rFonts w:hint="eastAsia" w:ascii="仿宋_GB2312" w:hAnsi="仿宋_GB2312" w:eastAsia="仿宋_GB2312" w:cs="仿宋_GB2312"/>
          <w:b/>
          <w:bCs/>
          <w:sz w:val="36"/>
          <w:szCs w:val="36"/>
          <w:shd w:val="clear" w:color="auto" w:fill="FFFFFF"/>
        </w:rPr>
        <w:t>文化产业活力持续迸发。</w:t>
      </w:r>
      <w:r>
        <w:rPr>
          <w:rFonts w:hint="eastAsia" w:ascii="仿宋_GB2312" w:hAnsi="仿宋_GB2312" w:eastAsia="仿宋_GB2312" w:cs="仿宋_GB2312"/>
          <w:sz w:val="36"/>
          <w:szCs w:val="36"/>
          <w:shd w:val="clear" w:color="auto" w:fill="FFFFFF"/>
        </w:rPr>
        <w:t>深入实施“文化产业十条”，加强“一园一品”建设，</w:t>
      </w:r>
      <w:r>
        <w:rPr>
          <w:rFonts w:hint="eastAsia" w:ascii="仿宋_GB2312" w:hAnsi="仿宋" w:eastAsia="仿宋_GB2312" w:cs="Times New Roman"/>
          <w:sz w:val="36"/>
          <w:szCs w:val="36"/>
        </w:rPr>
        <w:t>东方演艺空间等50余家企业入驻园区发展，</w:t>
      </w:r>
      <w:r>
        <w:rPr>
          <w:rFonts w:hint="eastAsia" w:ascii="仿宋_GB2312" w:hAnsi="仿宋_GB2312" w:eastAsia="仿宋_GB2312" w:cs="仿宋_GB2312"/>
          <w:sz w:val="36"/>
          <w:szCs w:val="36"/>
          <w:lang w:bidi="zh-CN"/>
        </w:rPr>
        <w:t>新</w:t>
      </w:r>
      <w:r>
        <w:rPr>
          <w:rFonts w:hint="eastAsia" w:ascii="仿宋_GB2312" w:hAnsi="仿宋_GB2312" w:eastAsia="仿宋_GB2312" w:cs="仿宋_GB2312"/>
          <w:sz w:val="36"/>
          <w:szCs w:val="36"/>
        </w:rPr>
        <w:t>华</w:t>
      </w:r>
      <w:r>
        <w:rPr>
          <w:rFonts w:hint="eastAsia" w:ascii="仿宋_GB2312" w:hAnsi="仿宋" w:eastAsia="仿宋_GB2312" w:cs="Times New Roman"/>
          <w:sz w:val="36"/>
          <w:szCs w:val="36"/>
        </w:rPr>
        <w:t>1949、繁星戏剧村分别获评全国版权示范园区、单位，首届数字文化出口高峰论坛成功举办。</w:t>
      </w:r>
      <w:r>
        <w:rPr>
          <w:rFonts w:hint="eastAsia" w:ascii="仿宋_GB2312" w:hAnsi="仿宋_GB2312" w:eastAsia="仿宋_GB2312" w:cs="仿宋_GB2312"/>
          <w:sz w:val="36"/>
          <w:szCs w:val="36"/>
          <w:shd w:val="clear" w:color="auto" w:fill="FFFFFF"/>
        </w:rPr>
        <w:t>出台首个文化产业扶持政策，第一批兑现4个国家级平台项目。</w:t>
      </w:r>
      <w:r>
        <w:rPr>
          <w:rFonts w:hint="eastAsia" w:ascii="仿宋_GB2312" w:hAnsi="仿宋" w:eastAsia="仿宋_GB2312" w:cs="Times New Roman"/>
          <w:sz w:val="36"/>
          <w:szCs w:val="36"/>
        </w:rPr>
        <w:t>着力推动泛动画产业成为新的经济增长点</w:t>
      </w:r>
      <w:r>
        <w:rPr>
          <w:rFonts w:hint="eastAsia" w:ascii="仿宋_GB2312" w:hAnsi="仿宋_GB2312" w:eastAsia="仿宋_GB2312" w:cs="仿宋_GB2312"/>
          <w:sz w:val="36"/>
          <w:szCs w:val="36"/>
        </w:rPr>
        <w:t>，中国（北京）动画周、动漫游戏出口合作平台落户。</w:t>
      </w:r>
      <w:r>
        <w:rPr>
          <w:rFonts w:hint="eastAsia" w:ascii="仿宋_GB2312" w:hAnsi="仿宋_GB2312" w:eastAsia="仿宋_GB2312" w:cs="仿宋_GB2312"/>
          <w:bCs/>
          <w:sz w:val="36"/>
          <w:szCs w:val="36"/>
        </w:rPr>
        <w:t>精心打造“白塔夜话”高质量文化品牌，</w:t>
      </w:r>
      <w:r>
        <w:rPr>
          <w:rFonts w:hint="eastAsia" w:ascii="仿宋_GB2312" w:hAnsi="仿宋" w:eastAsia="仿宋_GB2312" w:cs="Times New Roman"/>
          <w:sz w:val="36"/>
          <w:szCs w:val="36"/>
        </w:rPr>
        <w:t>首次实现双塔“跨时空”连线，全新推出</w:t>
      </w:r>
      <w:r>
        <w:rPr>
          <w:rFonts w:hint="eastAsia" w:ascii="仿宋_GB2312" w:hAnsi="仿宋_GB2312" w:eastAsia="仿宋_GB2312" w:cs="仿宋_GB2312"/>
          <w:bCs/>
          <w:sz w:val="36"/>
          <w:szCs w:val="36"/>
        </w:rPr>
        <w:t>“打卡鼓西、漫步斜街”文化消费活动，</w:t>
      </w:r>
      <w:r>
        <w:rPr>
          <w:rFonts w:hint="eastAsia" w:ascii="仿宋_GB2312" w:hAnsi="仿宋_GB2312" w:eastAsia="仿宋_GB2312" w:cs="Times New Roman"/>
          <w:sz w:val="36"/>
          <w:szCs w:val="36"/>
        </w:rPr>
        <w:t>发布全国首个文化基因工程，</w:t>
      </w:r>
      <w:r>
        <w:rPr>
          <w:rFonts w:hint="eastAsia" w:ascii="仿宋_GB2312" w:hAnsi="仿宋_GB2312" w:eastAsia="仿宋_GB2312" w:cs="仿宋_GB2312"/>
          <w:bCs/>
          <w:sz w:val="36"/>
          <w:szCs w:val="36"/>
        </w:rPr>
        <w:t>文化消费体验更加多元</w:t>
      </w:r>
      <w:r>
        <w:rPr>
          <w:rFonts w:hint="eastAsia" w:ascii="仿宋_GB2312" w:hAnsi="仿宋_GB2312" w:eastAsia="仿宋_GB2312" w:cs="Times New Roman"/>
          <w:sz w:val="36"/>
          <w:szCs w:val="36"/>
        </w:rPr>
        <w:t>。</w:t>
      </w:r>
      <w:r>
        <w:rPr>
          <w:rFonts w:hint="eastAsia" w:ascii="仿宋_GB2312" w:hAnsi="仿宋_GB2312" w:eastAsia="仿宋_GB2312" w:cs="仿宋_GB2312"/>
          <w:sz w:val="36"/>
          <w:szCs w:val="36"/>
        </w:rPr>
        <w:t>“西城礼物”</w:t>
      </w:r>
      <w:r>
        <w:rPr>
          <w:rFonts w:hint="eastAsia" w:ascii="仿宋_GB2312" w:hAnsi="仿宋_GB2312" w:eastAsia="仿宋_GB2312" w:cs="Times New Roman"/>
          <w:sz w:val="36"/>
          <w:szCs w:val="36"/>
        </w:rPr>
        <w:t>精心发布</w:t>
      </w:r>
      <w:r>
        <w:rPr>
          <w:rFonts w:hint="eastAsia" w:ascii="仿宋_GB2312" w:hAnsi="仿宋_GB2312" w:eastAsia="仿宋_GB2312" w:cs="仿宋_GB2312"/>
          <w:sz w:val="36"/>
          <w:szCs w:val="36"/>
        </w:rPr>
        <w:t>，“中华诗词发展讲坛”落户，</w:t>
      </w:r>
      <w:r>
        <w:rPr>
          <w:rFonts w:hint="eastAsia" w:ascii="仿宋_GB2312" w:hAnsi="仿宋_GB2312" w:eastAsia="仿宋_GB2312" w:cs="仿宋_GB2312"/>
          <w:sz w:val="36"/>
          <w:szCs w:val="36"/>
          <w:shd w:val="clear" w:color="auto" w:fill="FFFFFF"/>
        </w:rPr>
        <w:t>联合出品电视剧《梦中的那片海》表现亮眼，电影《白塔之光》斩获数奖，非遗主题话剧《西去东来》备受好评，</w:t>
      </w:r>
      <w:r>
        <w:rPr>
          <w:rFonts w:hint="eastAsia" w:ascii="仿宋_GB2312" w:hAnsi="仿宋_GB2312" w:eastAsia="仿宋_GB2312" w:cs="仿宋_GB2312"/>
          <w:sz w:val="36"/>
          <w:szCs w:val="36"/>
        </w:rPr>
        <w:t>西城文化传播力进一步提升</w:t>
      </w:r>
      <w:r>
        <w:rPr>
          <w:rFonts w:hint="eastAsia" w:ascii="仿宋_GB2312" w:hAnsi="仿宋_GB2312" w:eastAsia="仿宋_GB2312" w:cs="仿宋_GB2312"/>
          <w:sz w:val="36"/>
          <w:szCs w:val="36"/>
          <w:shd w:val="clear" w:color="auto" w:fill="FFFFFF"/>
        </w:rPr>
        <w:t>。首批8家西城区演艺新空间授牌，北京天桥艺术中心新空间剧场等</w:t>
      </w:r>
      <w:r>
        <w:rPr>
          <w:rFonts w:hint="eastAsia" w:ascii="仿宋_GB2312" w:hAnsi="仿宋_GB2312" w:eastAsia="仿宋_GB2312" w:cs="仿宋_GB2312"/>
          <w:sz w:val="36"/>
          <w:szCs w:val="36"/>
        </w:rPr>
        <w:t>6家“小剧场”入围全市首批15家演艺空间培育项目，为北京“演艺之都”建设注入新活力、新动能。</w:t>
      </w:r>
    </w:p>
    <w:p>
      <w:pPr>
        <w:snapToGrid w:val="0"/>
        <w:spacing w:line="60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一年来，我们扎实推进学习贯彻习近平新时代中国特色社会主义思想主题教育，实施推动高质量发展工作方案，切实把主题教育成效体现到经济社会高质量发展的实际成果上。我们坚持以新时代首都发展为统领，立足区域资源禀赋和定位，抢抓“两区”建设、数字经济发展、北交所高质量扩容等新机遇，努力以自身发展的确定性全力对冲外部环境的不确定性。我们系统实施“红墙先锋工程”和“双提升”工程，完成1300余个提升事项，深化“该不该、能不能、怎么办”改革，梳理形成一系列管长远的制度机制，良好政治生态进一步巩固。妇女儿童、档案史志、公益慈善事业取得新进展，民族宗教、侨务和对台工作进一步加强，注重发挥工会、共青团、妇联、残联和各民主党派、工商联、无党派人士作用，最大限度凝聚全社会共识和力量。成绩的取得离不开全区人民的共同奋斗、共同拼搏，成绩来之不易、成之惟艰。</w:t>
      </w:r>
    </w:p>
    <w:p>
      <w:pPr>
        <w:snapToGrid w:val="0"/>
        <w:spacing w:line="600" w:lineRule="exact"/>
        <w:ind w:firstLine="720" w:firstLineChars="200"/>
        <w:rPr>
          <w:rFonts w:hint="eastAsia" w:ascii="仿宋_GB2312" w:eastAsia="仿宋_GB2312"/>
          <w:kern w:val="0"/>
          <w:sz w:val="36"/>
          <w:szCs w:val="36"/>
        </w:rPr>
      </w:pPr>
      <w:r>
        <w:rPr>
          <w:rFonts w:hint="eastAsia" w:ascii="仿宋_GB2312" w:hAnsi="仿宋_GB2312" w:eastAsia="仿宋_GB2312" w:cs="仿宋_GB2312"/>
          <w:sz w:val="36"/>
          <w:szCs w:val="36"/>
        </w:rPr>
        <w:t>202</w:t>
      </w:r>
      <w:r>
        <w:rPr>
          <w:rFonts w:ascii="仿宋_GB2312" w:hAnsi="仿宋_GB2312" w:eastAsia="仿宋_GB2312" w:cs="仿宋_GB2312"/>
          <w:sz w:val="36"/>
          <w:szCs w:val="36"/>
        </w:rPr>
        <w:t>3</w:t>
      </w:r>
      <w:r>
        <w:rPr>
          <w:rFonts w:hint="eastAsia" w:ascii="仿宋_GB2312" w:hAnsi="仿宋_GB2312" w:eastAsia="仿宋_GB2312" w:cs="仿宋_GB2312"/>
          <w:sz w:val="36"/>
          <w:szCs w:val="36"/>
        </w:rPr>
        <w:t>年20项计划指标中，19项指标能够达到或超额完成年初计划目标，</w:t>
      </w:r>
      <w:r>
        <w:rPr>
          <w:rFonts w:hint="eastAsia" w:ascii="仿宋_GB2312" w:eastAsia="仿宋_GB2312"/>
          <w:kern w:val="0"/>
          <w:sz w:val="36"/>
          <w:szCs w:val="36"/>
        </w:rPr>
        <w:t>1项指标细颗粒物（PM</w:t>
      </w:r>
      <w:r>
        <w:rPr>
          <w:rFonts w:hint="eastAsia" w:ascii="仿宋_GB2312" w:eastAsia="仿宋_GB2312"/>
          <w:kern w:val="0"/>
          <w:sz w:val="36"/>
          <w:szCs w:val="36"/>
          <w:vertAlign w:val="subscript"/>
        </w:rPr>
        <w:t>2.5</w:t>
      </w:r>
      <w:r>
        <w:rPr>
          <w:rFonts w:hint="eastAsia" w:ascii="仿宋_GB2312" w:eastAsia="仿宋_GB2312"/>
          <w:kern w:val="0"/>
          <w:sz w:val="36"/>
          <w:szCs w:val="36"/>
        </w:rPr>
        <w:t>）年均浓度未完成计划目标。全年细颗粒物（PM</w:t>
      </w:r>
      <w:r>
        <w:rPr>
          <w:rFonts w:hint="eastAsia" w:ascii="仿宋_GB2312" w:eastAsia="仿宋_GB2312"/>
          <w:kern w:val="0"/>
          <w:sz w:val="36"/>
          <w:szCs w:val="36"/>
          <w:vertAlign w:val="subscript"/>
        </w:rPr>
        <w:t>2.5</w:t>
      </w:r>
      <w:r>
        <w:rPr>
          <w:rFonts w:hint="eastAsia" w:ascii="仿宋_GB2312" w:eastAsia="仿宋_GB2312"/>
          <w:kern w:val="0"/>
          <w:sz w:val="36"/>
          <w:szCs w:val="36"/>
        </w:rPr>
        <w:t>）累计浓度为36微克/立方米，距离市级要求31微克/立方米的目标任务存在差距。2023年以来，气象条件总体较为不利，气温偏高、冷空气活动偏弱，扩散条件差。加之受外来沙尘频发等因素影响，扬尘问题较为突出，全市及各区空气质量均同比反弹，大气污染防治任务艰巨，仍需在裸地扬尘、施工扬尘、道路扬尘等方面持续提升精细化管控水平，深入实施好“一微克”行动。</w:t>
      </w:r>
    </w:p>
    <w:p>
      <w:pPr>
        <w:snapToGrid w:val="0"/>
        <w:spacing w:line="600" w:lineRule="exact"/>
        <w:ind w:firstLine="720" w:firstLineChars="200"/>
        <w:rPr>
          <w:rFonts w:hint="eastAsia"/>
          <w:sz w:val="36"/>
          <w:szCs w:val="36"/>
        </w:rPr>
      </w:pPr>
      <w:r>
        <w:rPr>
          <w:rFonts w:hint="eastAsia" w:ascii="仿宋_GB2312" w:hAnsi="仿宋_GB2312" w:eastAsia="仿宋_GB2312" w:cs="仿宋_GB2312"/>
          <w:sz w:val="36"/>
          <w:szCs w:val="36"/>
        </w:rPr>
        <w:t>我们清醒地认识到，与新时代首都发展的更高要求相比，前进道路上仍有许多困难挑战。主要表现在：</w:t>
      </w:r>
      <w:r>
        <w:rPr>
          <w:rFonts w:hint="eastAsia" w:ascii="仿宋_GB2312" w:hAnsi="仿宋_GB2312" w:eastAsia="仿宋_GB2312" w:cs="仿宋_GB2312"/>
          <w:b/>
          <w:bCs/>
          <w:sz w:val="36"/>
          <w:szCs w:val="36"/>
        </w:rPr>
        <w:t>一是外部环境不确定、难预料因素增多。</w:t>
      </w:r>
      <w:r>
        <w:rPr>
          <w:rFonts w:hint="eastAsia" w:ascii="仿宋_GB2312" w:hAnsi="仿宋_GB2312" w:eastAsia="仿宋_GB2312" w:cs="仿宋_GB2312"/>
          <w:sz w:val="36"/>
          <w:szCs w:val="36"/>
        </w:rPr>
        <w:t>中美关系仍在不断磨合，世界经济仍然面临高通胀、高利率、高债务，经济下行压力明显加大，需要科学分析当前形势任务与面临的风险挑战，把新的战略环境“变量”转化为新的战略机遇“增量”。</w:t>
      </w:r>
      <w:r>
        <w:rPr>
          <w:rFonts w:hint="eastAsia" w:ascii="仿宋_GB2312" w:hAnsi="仿宋_GB2312" w:eastAsia="仿宋_GB2312" w:cs="仿宋_GB2312"/>
          <w:b/>
          <w:bCs/>
          <w:sz w:val="36"/>
          <w:szCs w:val="36"/>
        </w:rPr>
        <w:t>二是区域多元产业支撑格局尚未形成。</w:t>
      </w:r>
      <w:r>
        <w:rPr>
          <w:rFonts w:hint="eastAsia" w:ascii="仿宋_GB2312" w:hAnsi="仿宋_GB2312" w:eastAsia="仿宋_GB2312" w:cs="仿宋_GB2312"/>
          <w:sz w:val="36"/>
          <w:szCs w:val="36"/>
        </w:rPr>
        <w:t>金融科技、资产管理、数字经济等新兴产业亟待加快培育，</w:t>
      </w:r>
      <w:r>
        <w:rPr>
          <w:rFonts w:hint="eastAsia" w:ascii="仿宋_GB2312" w:hAnsi="仿宋_GB2312" w:eastAsia="仿宋_GB2312" w:cs="仿宋_GB2312"/>
          <w:sz w:val="36"/>
          <w:szCs w:val="36"/>
          <w:shd w:val="clear" w:color="auto" w:fill="FFFFFF"/>
        </w:rPr>
        <w:t>优势产业基于新技术的战略转型不够充分，</w:t>
      </w:r>
      <w:r>
        <w:rPr>
          <w:rFonts w:hint="eastAsia" w:ascii="仿宋_GB2312" w:hAnsi="仿宋_GB2312" w:eastAsia="仿宋_GB2312" w:cs="仿宋_GB2312"/>
          <w:sz w:val="36"/>
          <w:szCs w:val="36"/>
        </w:rPr>
        <w:t>产业创新发展动能仍然不足，创新链产业链资金链高效耦合还存在难点，基础研究、技术创新、成果转化和产业化的链条还未完全贯通，产业核心竞争力和发展后劲需要进一步提升。</w:t>
      </w:r>
      <w:r>
        <w:rPr>
          <w:rFonts w:hint="eastAsia" w:ascii="仿宋_GB2312" w:hAnsi="仿宋_GB2312" w:eastAsia="仿宋_GB2312" w:cs="仿宋_GB2312"/>
          <w:b/>
          <w:bCs/>
          <w:sz w:val="36"/>
          <w:szCs w:val="36"/>
        </w:rPr>
        <w:t>三是扩大有效需求仍面临较大挑战。</w:t>
      </w:r>
      <w:r>
        <w:rPr>
          <w:rFonts w:hint="eastAsia" w:ascii="仿宋_GB2312" w:hAnsi="仿宋_GB2312" w:eastAsia="仿宋_GB2312" w:cs="仿宋_GB2312"/>
          <w:sz w:val="36"/>
          <w:szCs w:val="36"/>
        </w:rPr>
        <w:t>消费恢复持续承压，居民增收压力削弱了消费能力和消费意愿，重点商圈国际影响力较弱，</w:t>
      </w:r>
      <w:r>
        <w:rPr>
          <w:rFonts w:hint="eastAsia" w:ascii="仿宋_GB2312" w:hAnsi="仿宋_GB2312" w:eastAsia="仿宋_GB2312" w:cs="仿宋_GB2312"/>
          <w:sz w:val="36"/>
          <w:szCs w:val="36"/>
          <w:shd w:val="clear" w:color="auto" w:fill="FFFFFF"/>
        </w:rPr>
        <w:t>需要加快打造新的消费场景，促进消费市场更加活跃强劲</w:t>
      </w:r>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shd w:val="clear" w:color="auto" w:fill="FFFFFF"/>
        </w:rPr>
        <w:t>稳投资困难增多，房地产领域缺乏土地供应导致大项目接续不足，城镇领域多为改造提升类项目，建安投资规模有限，且资金需求大、更新周期长，社会资本参与积极性不高，暂无法形成规模效应，需要聚焦城市更新、数字经济、新基建等领域持续挖掘谋划项目。</w:t>
      </w:r>
      <w:r>
        <w:rPr>
          <w:rFonts w:hint="eastAsia" w:ascii="仿宋_GB2312" w:hAnsi="仿宋_GB2312" w:eastAsia="仿宋_GB2312" w:cs="仿宋_GB2312"/>
          <w:b/>
          <w:bCs/>
          <w:sz w:val="36"/>
          <w:szCs w:val="36"/>
          <w:shd w:val="clear" w:color="auto" w:fill="FFFFFF"/>
        </w:rPr>
        <w:t>四是营商环境改革实效与企业落地需求之间还有差距。</w:t>
      </w:r>
      <w:r>
        <w:rPr>
          <w:rFonts w:hint="eastAsia" w:ascii="仿宋_GB2312" w:hAnsi="仿宋_GB2312" w:eastAsia="仿宋_GB2312" w:cs="仿宋_GB2312"/>
          <w:sz w:val="36"/>
          <w:szCs w:val="36"/>
          <w:shd w:val="clear" w:color="auto" w:fill="FFFFFF"/>
        </w:rPr>
        <w:t>在服务效率、服务主动性和政策获取便捷度等方面还存在提升空间，</w:t>
      </w:r>
      <w:r>
        <w:rPr>
          <w:rFonts w:hint="eastAsia" w:ascii="仿宋_GB2312" w:hAnsi="仿宋_GB2312" w:eastAsia="仿宋_GB2312" w:cs="仿宋_GB2312"/>
          <w:sz w:val="36"/>
          <w:szCs w:val="36"/>
        </w:rPr>
        <w:t>“一业一证”、一体化综合监管等改革政策覆盖面还需扩大，对民营企业和中小企业的支撑培育存在精准触达不够、有效覆盖不足等问题，亟待深入研究、妥善解决。</w:t>
      </w:r>
      <w:r>
        <w:rPr>
          <w:rFonts w:hint="eastAsia" w:ascii="仿宋_GB2312" w:hAnsi="仿宋_GB2312" w:eastAsia="仿宋_GB2312" w:cs="仿宋_GB2312"/>
          <w:b/>
          <w:bCs/>
          <w:sz w:val="36"/>
          <w:szCs w:val="36"/>
          <w:shd w:val="clear" w:color="auto" w:fill="FFFFFF"/>
        </w:rPr>
        <w:t>五是</w:t>
      </w:r>
      <w:r>
        <w:rPr>
          <w:rFonts w:hint="eastAsia" w:ascii="仿宋_GB2312" w:hAnsi="仿宋_GB2312" w:eastAsia="仿宋_GB2312" w:cs="仿宋_GB2312"/>
          <w:b/>
          <w:bCs/>
          <w:sz w:val="36"/>
          <w:szCs w:val="36"/>
        </w:rPr>
        <w:t>社会民生领域还存在短板弱项。</w:t>
      </w:r>
      <w:r>
        <w:rPr>
          <w:rFonts w:hint="eastAsia" w:ascii="仿宋_GB2312" w:hAnsi="仿宋_GB2312" w:eastAsia="仿宋_GB2312" w:cs="仿宋_GB2312"/>
          <w:sz w:val="36"/>
          <w:szCs w:val="36"/>
        </w:rPr>
        <w:t>韧性城市建设的基础还不稳固，城市部件老化、应急设施配置不均衡对有效应急处置带来挑战，教育、养老、交通等领域与群众期盼还有不小差距，打好大气污染防治攻坚战任重道远，基层社会治理效能仍需进一步提高，保障和改善民生还需下更大力气。针对这些困难和问题，我们已经采取一系列措施，今后仍将继续加大工作力度，不辜负全区人民的期望。</w:t>
      </w:r>
    </w:p>
    <w:p>
      <w:pPr>
        <w:snapToGrid w:val="0"/>
        <w:spacing w:line="600" w:lineRule="exact"/>
        <w:ind w:firstLine="720" w:firstLineChars="200"/>
        <w:rPr>
          <w:rFonts w:hint="eastAsia" w:ascii="黑体" w:hAnsi="黑体" w:eastAsia="黑体" w:cs="黑体"/>
          <w:sz w:val="36"/>
          <w:szCs w:val="36"/>
        </w:rPr>
      </w:pPr>
      <w:bookmarkStart w:id="0" w:name="_Hlk152372860"/>
      <w:r>
        <w:rPr>
          <w:rFonts w:hint="eastAsia" w:ascii="黑体" w:hAnsi="黑体" w:eastAsia="黑体" w:cs="黑体"/>
          <w:sz w:val="36"/>
          <w:szCs w:val="36"/>
        </w:rPr>
        <w:t>二、202</w:t>
      </w:r>
      <w:r>
        <w:rPr>
          <w:rFonts w:ascii="黑体" w:hAnsi="黑体" w:eastAsia="黑体" w:cs="黑体"/>
          <w:sz w:val="36"/>
          <w:szCs w:val="36"/>
        </w:rPr>
        <w:t>4</w:t>
      </w:r>
      <w:r>
        <w:rPr>
          <w:rFonts w:hint="eastAsia" w:ascii="黑体" w:hAnsi="黑体" w:eastAsia="黑体" w:cs="黑体"/>
          <w:sz w:val="36"/>
          <w:szCs w:val="36"/>
        </w:rPr>
        <w:t>年国民经济和社会发展目标任务及主要举措</w:t>
      </w:r>
    </w:p>
    <w:bookmarkEnd w:id="0"/>
    <w:p>
      <w:pPr>
        <w:snapToGrid w:val="0"/>
        <w:spacing w:line="60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2024年是新中国成立75周年，是习近平总书记对北京发表“2·26”重要讲话、京津冀协同发展战略实施十周年，也是将中国式现代化西城实践推向深入的关键之年，做好各项工作意义重大、责任重大。我们要坚持以习近平新时代中国特色社会主义思想为指导，全面贯彻落实党的二十大和二十届二中全会精神，认真贯彻中央经济工作会议精神，坚定不移贯彻习近平总书记对北京重要讲话精神，坚持完整、准确、全面贯彻新发展理念，坚持以新时代首都发展为统领，</w:t>
      </w:r>
      <w:bookmarkStart w:id="1" w:name="_Hlk152372935"/>
      <w:r>
        <w:rPr>
          <w:rFonts w:hint="eastAsia" w:ascii="仿宋_GB2312" w:hAnsi="仿宋_GB2312" w:eastAsia="仿宋_GB2312" w:cs="仿宋_GB2312"/>
          <w:sz w:val="36"/>
          <w:szCs w:val="36"/>
        </w:rPr>
        <w:t>更好服务京津冀协同发展大局，更好统筹发展和安全，更加注重稳中求进、以进促稳、先立后破，聚焦“五子”联动服务和融入新发展格局，</w:t>
      </w:r>
      <w:bookmarkEnd w:id="1"/>
      <w:r>
        <w:rPr>
          <w:rFonts w:hint="eastAsia" w:ascii="仿宋_GB2312" w:hAnsi="仿宋_GB2312" w:eastAsia="仿宋_GB2312" w:cs="仿宋_GB2312"/>
          <w:sz w:val="36"/>
          <w:szCs w:val="36"/>
        </w:rPr>
        <w:t>纵深推进中国式现代化西城实践，全力推动经济社会高质量发展，努力展现更多</w:t>
      </w:r>
      <w:r>
        <w:rPr>
          <w:rFonts w:hint="eastAsia" w:ascii="仿宋_GB2312" w:hAnsi="仿宋_GB2312" w:eastAsia="仿宋_GB2312" w:cs="仿宋_GB2312"/>
          <w:sz w:val="36"/>
          <w:szCs w:val="36"/>
          <w:lang w:eastAsia="zh-CN"/>
        </w:rPr>
        <w:t>百姓</w:t>
      </w:r>
      <w:r>
        <w:rPr>
          <w:rFonts w:hint="eastAsia" w:ascii="仿宋_GB2312" w:hAnsi="仿宋_GB2312" w:eastAsia="仿宋_GB2312" w:cs="仿宋_GB2312"/>
          <w:sz w:val="36"/>
          <w:szCs w:val="36"/>
        </w:rPr>
        <w:t>可视可感可触的新成果新面貌新气象，奋力开创我区高质量发展新局面。</w:t>
      </w:r>
      <w:bookmarkStart w:id="2" w:name="_Hlk152372957"/>
      <w:r>
        <w:rPr>
          <w:rFonts w:hint="eastAsia" w:ascii="仿宋_GB2312" w:hAnsi="仿宋_GB2312" w:eastAsia="仿宋_GB2312" w:cs="仿宋_GB2312"/>
          <w:sz w:val="36"/>
          <w:szCs w:val="36"/>
        </w:rPr>
        <w:t>结合我区“十四五”规划纲要及发展实际，2024年经济社会发展主要目标安排如下：</w:t>
      </w:r>
    </w:p>
    <w:p>
      <w:pPr>
        <w:snapToGrid w:val="0"/>
        <w:spacing w:line="60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经济发展方面，综合考虑经济增长基础和条件，地区生产总值增速安排5%左右，区级一般公共预算收入增速安排4.5%左右。</w:t>
      </w:r>
    </w:p>
    <w:p>
      <w:pPr>
        <w:snapToGrid w:val="0"/>
        <w:spacing w:line="60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生态环境方面，进一步统筹好人口资源环境，常住人口规模、细颗粒物（PM</w:t>
      </w:r>
      <w:r>
        <w:rPr>
          <w:rFonts w:hint="eastAsia" w:ascii="仿宋_GB2312" w:hAnsi="仿宋_GB2312" w:eastAsia="仿宋_GB2312" w:cs="仿宋_GB2312"/>
          <w:sz w:val="36"/>
          <w:szCs w:val="36"/>
          <w:vertAlign w:val="subscript"/>
        </w:rPr>
        <w:t>2.5</w:t>
      </w:r>
      <w:r>
        <w:rPr>
          <w:rFonts w:hint="eastAsia" w:ascii="仿宋_GB2312" w:hAnsi="仿宋_GB2312" w:eastAsia="仿宋_GB2312" w:cs="仿宋_GB2312"/>
          <w:sz w:val="36"/>
          <w:szCs w:val="36"/>
        </w:rPr>
        <w:t>）年均浓度、万元地区生产总值能耗降幅、生产生活用水总量均达到市级要求。</w:t>
      </w:r>
    </w:p>
    <w:p>
      <w:pPr>
        <w:snapToGrid w:val="0"/>
        <w:spacing w:line="60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民生保障方面，居民收入增长与经济增长同步，登记失业率控制在3.5%以内。</w:t>
      </w:r>
    </w:p>
    <w:p>
      <w:pPr>
        <w:snapToGrid w:val="0"/>
        <w:spacing w:line="60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为了实现上述目标任务，主要采取以下措施。</w:t>
      </w:r>
    </w:p>
    <w:bookmarkEnd w:id="2"/>
    <w:p>
      <w:pPr>
        <w:numPr>
          <w:ilvl w:val="0"/>
          <w:numId w:val="2"/>
        </w:numPr>
        <w:spacing w:line="560" w:lineRule="exact"/>
        <w:ind w:firstLine="720" w:firstLineChars="200"/>
        <w:rPr>
          <w:rFonts w:ascii="楷体_GB2312" w:hAnsi="楷体_GB2312" w:eastAsia="楷体_GB2312" w:cs="楷体_GB2312"/>
          <w:sz w:val="36"/>
          <w:szCs w:val="36"/>
          <w:shd w:val="clear" w:color="auto" w:fill="FFFFFF"/>
        </w:rPr>
      </w:pPr>
      <w:bookmarkStart w:id="3" w:name="_Hlk152373045"/>
      <w:r>
        <w:rPr>
          <w:rFonts w:hint="eastAsia" w:ascii="楷体_GB2312" w:hAnsi="楷体_GB2312" w:eastAsia="楷体_GB2312" w:cs="楷体_GB2312"/>
          <w:sz w:val="36"/>
          <w:szCs w:val="36"/>
          <w:shd w:val="clear" w:color="auto" w:fill="FFFFFF"/>
        </w:rPr>
        <w:t>全力促发展保安全，更加有力服务</w:t>
      </w:r>
      <w:r>
        <w:rPr>
          <w:rFonts w:hint="eastAsia" w:ascii="楷体_GB2312" w:hAnsi="楷体_GB2312" w:eastAsia="楷体_GB2312" w:cs="楷体_GB2312"/>
          <w:bCs/>
          <w:sz w:val="36"/>
          <w:szCs w:val="36"/>
        </w:rPr>
        <w:t>保障首都功能</w:t>
      </w:r>
    </w:p>
    <w:bookmarkEnd w:id="3"/>
    <w:p>
      <w:pPr>
        <w:spacing w:line="600" w:lineRule="exact"/>
        <w:ind w:firstLine="723" w:firstLineChars="200"/>
        <w:rPr>
          <w:rFonts w:hint="eastAsia" w:ascii="仿宋_GB2312" w:hAnsi="仿宋_GB2312" w:eastAsia="仿宋_GB2312" w:cs="仿宋_GB2312"/>
          <w:sz w:val="36"/>
          <w:szCs w:val="36"/>
        </w:rPr>
      </w:pPr>
      <w:bookmarkStart w:id="4" w:name="_Hlk152373053"/>
      <w:r>
        <w:rPr>
          <w:rFonts w:hint="eastAsia" w:ascii="仿宋_GB2312" w:hAnsi="仿宋_GB2312" w:eastAsia="仿宋_GB2312" w:cs="仿宋_GB2312"/>
          <w:b/>
          <w:bCs/>
          <w:sz w:val="36"/>
          <w:szCs w:val="36"/>
          <w:shd w:val="clear" w:color="auto" w:fill="FFFFFF"/>
        </w:rPr>
        <w:t>高标准做好中央政务服务保障。</w:t>
      </w:r>
      <w:bookmarkEnd w:id="4"/>
      <w:bookmarkStart w:id="5" w:name="_Hlk152373071"/>
      <w:r>
        <w:rPr>
          <w:rFonts w:hint="eastAsia" w:ascii="仿宋_GB2312" w:hAnsi="仿宋_GB2312" w:eastAsia="仿宋_GB2312" w:cs="仿宋_GB2312"/>
          <w:sz w:val="36"/>
          <w:szCs w:val="36"/>
          <w:shd w:val="clear" w:color="auto" w:fill="FFFFFF"/>
        </w:rPr>
        <w:t>构建更加完善的组织指挥和群众动员体系，</w:t>
      </w:r>
      <w:bookmarkEnd w:id="5"/>
      <w:r>
        <w:rPr>
          <w:rFonts w:hint="eastAsia" w:ascii="仿宋_GB2312" w:hAnsi="仿宋_GB2312" w:eastAsia="仿宋_GB2312" w:cs="仿宋_GB2312"/>
          <w:sz w:val="36"/>
          <w:szCs w:val="36"/>
        </w:rPr>
        <w:t>全力做好重大活动服务保障。精细推进中南海周边地区综合整治和长安街沿线及纵深品质提升，推动西长安街保护更新工作方案落地见效，努力为中央政务营造更好环境。加快中央加班值班公寓建设，确保力学胡同项目建成</w:t>
      </w:r>
      <w:r>
        <w:rPr>
          <w:rFonts w:hint="eastAsia" w:ascii="仿宋_GB2312" w:hAnsi="仿宋_GB2312" w:eastAsia="仿宋_GB2312" w:cs="仿宋_GB2312"/>
          <w:bCs/>
          <w:sz w:val="36"/>
          <w:szCs w:val="36"/>
        </w:rPr>
        <w:t>。</w:t>
      </w:r>
      <w:r>
        <w:rPr>
          <w:rFonts w:hint="eastAsia" w:ascii="仿宋_GB2312" w:hAnsi="仿宋_GB2312" w:eastAsia="仿宋_GB2312" w:cs="仿宋_GB2312"/>
          <w:sz w:val="36"/>
          <w:szCs w:val="36"/>
        </w:rPr>
        <w:t>深化央地协同联动，推动央地议事协调常态化、制度化转变。持续完善外事资源库，培育打造更多特色外事活动场所。</w:t>
      </w:r>
    </w:p>
    <w:p>
      <w:pPr>
        <w:spacing w:line="600" w:lineRule="exact"/>
        <w:ind w:firstLine="723" w:firstLineChars="200"/>
        <w:rPr>
          <w:rFonts w:hint="eastAsia" w:ascii="仿宋_GB2312" w:hAnsi="仿宋_GB2312" w:eastAsia="仿宋_GB2312" w:cs="仿宋_GB2312"/>
          <w:sz w:val="36"/>
          <w:szCs w:val="36"/>
        </w:rPr>
      </w:pPr>
      <w:bookmarkStart w:id="6" w:name="_Hlk152373083"/>
      <w:r>
        <w:rPr>
          <w:rFonts w:hint="eastAsia" w:ascii="仿宋_GB2312" w:hAnsi="仿宋_GB2312" w:eastAsia="仿宋_GB2312" w:cs="仿宋_GB2312"/>
          <w:b/>
          <w:bCs/>
          <w:sz w:val="36"/>
          <w:szCs w:val="36"/>
        </w:rPr>
        <w:t>深化平安西城建设。</w:t>
      </w:r>
      <w:r>
        <w:rPr>
          <w:rFonts w:hint="eastAsia" w:ascii="仿宋_GB2312" w:hAnsi="仿宋_GB2312" w:eastAsia="仿宋_GB2312" w:cs="仿宋_GB2312"/>
          <w:sz w:val="36"/>
          <w:szCs w:val="36"/>
        </w:rPr>
        <w:t>深入实施长安计划4.0，织牢织密一体化防控网。做好中央扫黑除恶督导检查整改</w:t>
      </w:r>
      <w:r>
        <w:rPr>
          <w:rFonts w:hint="eastAsia" w:ascii="仿宋_GB2312" w:hAnsi="仿宋_GB2312" w:eastAsia="仿宋_GB2312" w:cs="仿宋_GB2312"/>
          <w:sz w:val="36"/>
          <w:szCs w:val="36"/>
          <w:lang w:val="zh-CN"/>
        </w:rPr>
        <w:t>，进一步加大反诈工作力度。坚持和发展新时代“枫桥经验”，深化矛盾纠纷多元化解和诉源治理机制。充分动员“西城大妈”“西城小哥”等群防群治力量，推进市域社会治理现代化试点经验成果转化，确保社会治安秩序良好。</w:t>
      </w:r>
      <w:r>
        <w:rPr>
          <w:rFonts w:hint="eastAsia" w:ascii="仿宋_GB2312" w:hAnsi="仿宋_GB2312" w:eastAsia="仿宋_GB2312" w:cs="仿宋_GB2312"/>
          <w:sz w:val="36"/>
          <w:szCs w:val="36"/>
        </w:rPr>
        <w:t>健全网络综合治理体系，推动形成良好网络生态。深化“</w:t>
      </w:r>
      <w:r>
        <w:rPr>
          <w:rFonts w:ascii="仿宋_GB2312" w:hAnsi="仿宋_GB2312" w:eastAsia="仿宋_GB2312" w:cs="仿宋_GB2312"/>
          <w:sz w:val="36"/>
          <w:szCs w:val="36"/>
        </w:rPr>
        <w:t>风险地图</w:t>
      </w:r>
      <w:r>
        <w:rPr>
          <w:rFonts w:hint="eastAsia" w:ascii="仿宋_GB2312" w:hAnsi="仿宋_GB2312" w:eastAsia="仿宋_GB2312" w:cs="仿宋_GB2312"/>
          <w:sz w:val="36"/>
          <w:szCs w:val="36"/>
        </w:rPr>
        <w:t>”</w:t>
      </w:r>
      <w:r>
        <w:rPr>
          <w:rFonts w:ascii="仿宋_GB2312" w:hAnsi="仿宋_GB2312" w:eastAsia="仿宋_GB2312" w:cs="仿宋_GB2312"/>
          <w:sz w:val="36"/>
          <w:szCs w:val="36"/>
        </w:rPr>
        <w:t>应用</w:t>
      </w:r>
      <w:r>
        <w:rPr>
          <w:rFonts w:hint="eastAsia" w:ascii="仿宋_GB2312" w:hAnsi="仿宋_GB2312" w:eastAsia="仿宋_GB2312" w:cs="仿宋_GB2312"/>
          <w:sz w:val="36"/>
          <w:szCs w:val="36"/>
        </w:rPr>
        <w:t>和完善，优化提升可视化动态管控效能。深化全民国防教育，大力支持国防和军队建设。</w:t>
      </w:r>
    </w:p>
    <w:p>
      <w:pPr>
        <w:spacing w:line="600" w:lineRule="exact"/>
        <w:ind w:firstLine="723" w:firstLineChars="200"/>
        <w:rPr>
          <w:rFonts w:hint="eastAsia" w:ascii="仿宋_GB2312" w:hAnsi="仿宋_GB2312" w:eastAsia="仿宋_GB2312" w:cs="仿宋_GB2312"/>
          <w:sz w:val="36"/>
          <w:szCs w:val="36"/>
          <w:lang w:val="zh-CN"/>
        </w:rPr>
      </w:pPr>
      <w:r>
        <w:rPr>
          <w:rFonts w:hint="eastAsia" w:ascii="仿宋_GB2312" w:hAnsi="仿宋_GB2312" w:eastAsia="仿宋_GB2312" w:cs="仿宋_GB2312"/>
          <w:b/>
          <w:bCs/>
          <w:sz w:val="36"/>
          <w:szCs w:val="36"/>
          <w:lang w:val="zh-CN"/>
        </w:rPr>
        <w:t>全力保障核心区安全稳定。</w:t>
      </w:r>
      <w:r>
        <w:rPr>
          <w:rFonts w:hint="eastAsia" w:ascii="仿宋_GB2312" w:hAnsi="仿宋_GB2312" w:eastAsia="仿宋_GB2312" w:cs="仿宋_GB2312"/>
          <w:sz w:val="36"/>
          <w:szCs w:val="36"/>
        </w:rPr>
        <w:t>牢牢稳住安全生产基本盘，强化全链条全过程安全管理，针对木质闷顶大屋脊住宅、拆迁停滞区、住人文物等重点场所和薄弱环节，加大隐患排查整治力度。守牢消防安全底线，建成白纸坊消防救援站，加大</w:t>
      </w:r>
      <w:r>
        <w:rPr>
          <w:rFonts w:hint="eastAsia" w:ascii="仿宋_GB2312" w:hAnsi="仿宋_GB2312" w:eastAsia="仿宋_GB2312" w:cs="仿宋_GB2312"/>
          <w:sz w:val="36"/>
          <w:szCs w:val="36"/>
          <w:lang w:val="zh-CN"/>
        </w:rPr>
        <w:t>联网式感烟设施</w:t>
      </w:r>
      <w:r>
        <w:rPr>
          <w:rFonts w:hint="eastAsia" w:ascii="仿宋_GB2312" w:hAnsi="仿宋_GB2312" w:eastAsia="仿宋_GB2312" w:cs="仿宋_GB2312"/>
          <w:sz w:val="36"/>
          <w:szCs w:val="36"/>
        </w:rPr>
        <w:t>安装普及力度。加强防汛设备设施维护和储备，</w:t>
      </w:r>
      <w:r>
        <w:rPr>
          <w:rFonts w:ascii="仿宋_GB2312" w:hAnsi="仿宋_GB2312" w:eastAsia="仿宋_GB2312" w:cs="仿宋_GB2312"/>
          <w:sz w:val="36"/>
          <w:szCs w:val="36"/>
        </w:rPr>
        <w:t>加装15套自动气象站和145套超声波积水传感器</w:t>
      </w:r>
      <w:r>
        <w:rPr>
          <w:rFonts w:hint="eastAsia" w:ascii="仿宋_GB2312" w:hAnsi="仿宋_GB2312" w:eastAsia="仿宋_GB2312" w:cs="仿宋_GB2312"/>
          <w:sz w:val="36"/>
          <w:szCs w:val="36"/>
        </w:rPr>
        <w:t>，</w:t>
      </w:r>
      <w:r>
        <w:rPr>
          <w:rFonts w:ascii="仿宋_GB2312" w:hAnsi="仿宋_GB2312" w:eastAsia="仿宋_GB2312" w:cs="仿宋_GB2312"/>
          <w:sz w:val="36"/>
          <w:szCs w:val="36"/>
        </w:rPr>
        <w:t>确保安全度汛</w:t>
      </w:r>
      <w:r>
        <w:rPr>
          <w:rFonts w:hint="eastAsia" w:ascii="仿宋_GB2312" w:hAnsi="仿宋_GB2312" w:eastAsia="仿宋_GB2312" w:cs="仿宋_GB2312"/>
          <w:sz w:val="36"/>
          <w:szCs w:val="36"/>
        </w:rPr>
        <w:t>。</w:t>
      </w:r>
      <w:r>
        <w:rPr>
          <w:rFonts w:hint="eastAsia" w:ascii="仿宋_GB2312" w:eastAsia="仿宋_GB2312"/>
          <w:sz w:val="36"/>
          <w:szCs w:val="36"/>
        </w:rPr>
        <w:t>深入</w:t>
      </w:r>
      <w:r>
        <w:rPr>
          <w:rFonts w:hint="eastAsia" w:ascii="仿宋_GB2312" w:hAnsi="仿宋_GB2312" w:eastAsia="仿宋_GB2312" w:cs="仿宋_GB2312"/>
          <w:sz w:val="36"/>
          <w:szCs w:val="36"/>
        </w:rPr>
        <w:t>落实耕地保护和粮食安全责任制，加强食品药品链条安全监管</w:t>
      </w:r>
      <w:r>
        <w:rPr>
          <w:rFonts w:hint="eastAsia" w:ascii="仿宋_GB2312" w:hAnsi="仿宋_GB2312" w:eastAsia="仿宋_GB2312" w:cs="仿宋_GB2312"/>
          <w:sz w:val="36"/>
          <w:szCs w:val="36"/>
          <w:lang w:val="zh-CN"/>
        </w:rPr>
        <w:t>。</w:t>
      </w:r>
    </w:p>
    <w:p>
      <w:pPr>
        <w:spacing w:line="600" w:lineRule="exact"/>
        <w:ind w:firstLine="723" w:firstLineChars="200"/>
        <w:rPr>
          <w:rFonts w:hint="eastAsia" w:ascii="仿宋_GB2312" w:hAnsi="仿宋_GB2312" w:eastAsia="仿宋_GB2312" w:cs="仿宋_GB2312"/>
          <w:b/>
          <w:bCs/>
          <w:sz w:val="36"/>
          <w:szCs w:val="36"/>
          <w:lang w:val="zh-CN"/>
        </w:rPr>
      </w:pPr>
      <w:r>
        <w:rPr>
          <w:rFonts w:hint="eastAsia" w:ascii="仿宋_GB2312" w:hAnsi="仿宋_GB2312" w:eastAsia="仿宋_GB2312" w:cs="仿宋_GB2312"/>
          <w:b/>
          <w:bCs/>
          <w:sz w:val="36"/>
          <w:szCs w:val="36"/>
        </w:rPr>
        <w:t>积极打造韧性城市。</w:t>
      </w:r>
      <w:r>
        <w:rPr>
          <w:rFonts w:hint="eastAsia" w:ascii="仿宋_GB2312" w:hAnsi="仿宋_GB2312" w:eastAsia="仿宋_GB2312" w:cs="仿宋_GB2312"/>
          <w:sz w:val="36"/>
          <w:szCs w:val="36"/>
        </w:rPr>
        <w:t>完善水电气热运等城市生命线应急机制，加强“平急两用”公共基础设施建设，巩固拓展燃气、电动自行车等专项治理成果，为群众提供更好保障。夯实基层应急管理能力，修订专项应急预案21个。探索市场化、专业化应急救援服务新模式，强化专业应急力量。强化</w:t>
      </w:r>
      <w:r>
        <w:rPr>
          <w:rFonts w:ascii="仿宋_GB2312" w:hAnsi="仿宋_GB2312" w:eastAsia="仿宋_GB2312" w:cs="仿宋_GB2312"/>
          <w:sz w:val="36"/>
          <w:szCs w:val="36"/>
        </w:rPr>
        <w:t>应急避难场所建设和规范化管理，</w:t>
      </w:r>
      <w:r>
        <w:rPr>
          <w:rFonts w:hint="eastAsia" w:ascii="仿宋_GB2312" w:hAnsi="仿宋_GB2312" w:eastAsia="仿宋_GB2312" w:cs="仿宋_GB2312"/>
          <w:sz w:val="36"/>
          <w:szCs w:val="36"/>
        </w:rPr>
        <w:t>推进安全发展与综合减灾示范社区创建，全面提升防灾减灾救灾能力</w:t>
      </w:r>
      <w:r>
        <w:rPr>
          <w:rFonts w:hint="eastAsia" w:ascii="仿宋_GB2312" w:hAnsi="仿宋_GB2312" w:eastAsia="仿宋_GB2312" w:cs="仿宋_GB2312"/>
          <w:sz w:val="36"/>
          <w:szCs w:val="36"/>
          <w:lang w:val="zh-CN"/>
        </w:rPr>
        <w:t>。</w:t>
      </w:r>
    </w:p>
    <w:p>
      <w:pPr>
        <w:tabs>
          <w:tab w:val="left" w:pos="1440"/>
        </w:tabs>
        <w:overflowPunct w:val="0"/>
        <w:autoSpaceDE w:val="0"/>
        <w:autoSpaceDN w:val="0"/>
        <w:adjustRightInd w:val="0"/>
        <w:snapToGrid w:val="0"/>
        <w:spacing w:line="600" w:lineRule="exact"/>
        <w:ind w:firstLine="723" w:firstLineChars="200"/>
        <w:rPr>
          <w:rFonts w:hint="eastAsia" w:ascii="仿宋_GB2312" w:hAnsi="仿宋_GB2312" w:eastAsia="仿宋_GB2312" w:cs="仿宋_GB2312"/>
          <w:sz w:val="36"/>
          <w:szCs w:val="36"/>
        </w:rPr>
      </w:pPr>
      <w:r>
        <w:rPr>
          <w:rFonts w:hint="eastAsia" w:ascii="仿宋_GB2312" w:eastAsia="仿宋_GB2312"/>
          <w:b/>
          <w:bCs/>
          <w:sz w:val="36"/>
          <w:szCs w:val="36"/>
        </w:rPr>
        <w:t>纵深推进疏整促专项行动</w:t>
      </w:r>
      <w:bookmarkEnd w:id="6"/>
      <w:r>
        <w:rPr>
          <w:rFonts w:hint="eastAsia" w:ascii="仿宋_GB2312" w:eastAsia="仿宋_GB2312"/>
          <w:b/>
          <w:bCs/>
          <w:sz w:val="36"/>
          <w:szCs w:val="36"/>
        </w:rPr>
        <w:t>。</w:t>
      </w:r>
      <w:r>
        <w:rPr>
          <w:rFonts w:hint="eastAsia" w:ascii="仿宋_GB2312" w:eastAsia="仿宋_GB2312"/>
          <w:sz w:val="36"/>
          <w:szCs w:val="36"/>
        </w:rPr>
        <w:t>严格落实“双控四降”要求</w:t>
      </w:r>
      <w:r>
        <w:rPr>
          <w:rFonts w:hint="eastAsia" w:ascii="仿宋_GB2312" w:hAnsi="仿宋_GB2312" w:eastAsia="仿宋_GB2312" w:cs="仿宋_GB2312"/>
          <w:sz w:val="36"/>
          <w:szCs w:val="36"/>
        </w:rPr>
        <w:t>，</w:t>
      </w:r>
      <w:r>
        <w:rPr>
          <w:rFonts w:hint="eastAsia" w:ascii="仿宋_GB2312" w:eastAsia="仿宋_GB2312"/>
          <w:sz w:val="36"/>
          <w:szCs w:val="36"/>
        </w:rPr>
        <w:t>完成常住人口减量调控目标，</w:t>
      </w:r>
      <w:bookmarkStart w:id="7" w:name="_Hlk152373091"/>
      <w:r>
        <w:rPr>
          <w:rFonts w:hint="eastAsia" w:ascii="仿宋_GB2312" w:eastAsia="仿宋_GB2312"/>
          <w:sz w:val="36"/>
          <w:szCs w:val="36"/>
        </w:rPr>
        <w:t>提升人口服务管理水平</w:t>
      </w:r>
      <w:bookmarkEnd w:id="7"/>
      <w:r>
        <w:rPr>
          <w:rFonts w:hint="eastAsia" w:ascii="仿宋_GB2312" w:eastAsia="仿宋_GB2312"/>
          <w:sz w:val="36"/>
          <w:szCs w:val="36"/>
        </w:rPr>
        <w:t>。集中力量</w:t>
      </w:r>
      <w:r>
        <w:rPr>
          <w:rFonts w:hint="eastAsia" w:ascii="仿宋_GB2312" w:hAnsi="仿宋_GB2312" w:eastAsia="仿宋_GB2312" w:cs="仿宋_GB2312"/>
          <w:sz w:val="36"/>
          <w:szCs w:val="36"/>
        </w:rPr>
        <w:t>完成5万平方米</w:t>
      </w:r>
      <w:r>
        <w:rPr>
          <w:rFonts w:hint="eastAsia" w:ascii="仿宋_GB2312" w:eastAsia="仿宋_GB2312"/>
          <w:sz w:val="36"/>
          <w:szCs w:val="36"/>
        </w:rPr>
        <w:t>拆违</w:t>
      </w:r>
      <w:r>
        <w:rPr>
          <w:rFonts w:hint="eastAsia" w:ascii="仿宋_GB2312" w:hAnsi="仿宋_GB2312" w:eastAsia="仿宋_GB2312" w:cs="仿宋_GB2312"/>
          <w:sz w:val="36"/>
          <w:szCs w:val="36"/>
        </w:rPr>
        <w:t>任务，切实提升治理效果。总结白塔寺片区经验，推进菜西、观音寺、天桥北部片区腾退空间再利用，不断提升腾退疏解房屋利用率。持续挖掘低效空间改造提升，重点推进北京科学教育电影制片厂老旧厂房改造等项目，力争改造10万平方米、新启动10栋，为产业发展拓展承载空间。</w:t>
      </w:r>
    </w:p>
    <w:p>
      <w:pPr>
        <w:tabs>
          <w:tab w:val="left" w:pos="1440"/>
        </w:tabs>
        <w:overflowPunct w:val="0"/>
        <w:autoSpaceDE w:val="0"/>
        <w:autoSpaceDN w:val="0"/>
        <w:adjustRightInd w:val="0"/>
        <w:snapToGrid w:val="0"/>
        <w:spacing w:line="600" w:lineRule="exact"/>
        <w:ind w:firstLine="723" w:firstLineChars="200"/>
        <w:rPr>
          <w:rFonts w:hint="eastAsia" w:ascii="仿宋_GB2312" w:hAnsi="仿宋_GB2312" w:eastAsia="仿宋_GB2312" w:cs="仿宋_GB2312"/>
          <w:sz w:val="36"/>
          <w:szCs w:val="36"/>
        </w:rPr>
      </w:pPr>
      <w:bookmarkStart w:id="8" w:name="_Hlk152373108"/>
      <w:r>
        <w:rPr>
          <w:rFonts w:hint="eastAsia" w:ascii="仿宋_GB2312" w:hAnsi="仿宋_GB2312" w:eastAsia="仿宋_GB2312" w:cs="仿宋_GB2312"/>
          <w:b/>
          <w:bCs/>
          <w:sz w:val="36"/>
          <w:szCs w:val="36"/>
          <w:lang w:val="zh-CN"/>
        </w:rPr>
        <w:t>扎实推进区域协同发展和支援协作</w:t>
      </w:r>
      <w:bookmarkEnd w:id="8"/>
      <w:r>
        <w:rPr>
          <w:rFonts w:hint="eastAsia" w:ascii="仿宋_GB2312" w:hAnsi="仿宋_GB2312" w:eastAsia="仿宋_GB2312" w:cs="仿宋_GB2312"/>
          <w:b/>
          <w:bCs/>
          <w:sz w:val="36"/>
          <w:szCs w:val="36"/>
          <w:lang w:val="zh-CN"/>
        </w:rPr>
        <w:t>。</w:t>
      </w:r>
      <w:r>
        <w:rPr>
          <w:rFonts w:hint="eastAsia" w:ascii="仿宋_GB2312" w:hAnsi="仿宋_GB2312" w:eastAsia="仿宋_GB2312" w:cs="仿宋_GB2312"/>
          <w:bCs/>
          <w:sz w:val="36"/>
          <w:szCs w:val="36"/>
        </w:rPr>
        <w:t>抓好京津冀协同发展市委意见及主要任务落实，</w:t>
      </w:r>
      <w:r>
        <w:rPr>
          <w:rFonts w:hint="eastAsia" w:ascii="仿宋_GB2312" w:hAnsi="仿宋_GB2312" w:eastAsia="仿宋_GB2312" w:cs="仿宋_GB2312"/>
          <w:sz w:val="36"/>
          <w:szCs w:val="36"/>
        </w:rPr>
        <w:t>推动养老、教育、医疗等多领域合作取得新进展，全力支持雄安新区和北京城市副中心建设。积极引导社会资本支持对口支援地区，探索推动乡村振兴西城模式。落实与门头沟区结对协作框架协议，推动6项重点实事落地。拓展与门头沟区、房山区结对帮扶乡镇合作领域，着力打造一批标志性项目和样板工程。继续加强与友城和驻京机构合作交流。</w:t>
      </w:r>
    </w:p>
    <w:p>
      <w:pPr>
        <w:widowControl/>
        <w:numPr>
          <w:ilvl w:val="0"/>
          <w:numId w:val="2"/>
        </w:numPr>
        <w:spacing w:line="560" w:lineRule="exact"/>
        <w:ind w:firstLine="720" w:firstLineChars="200"/>
        <w:rPr>
          <w:rFonts w:ascii="楷体_GB2312" w:hAnsi="楷体_GB2312" w:eastAsia="楷体_GB2312" w:cs="楷体_GB2312"/>
          <w:sz w:val="36"/>
          <w:szCs w:val="36"/>
        </w:rPr>
      </w:pPr>
      <w:bookmarkStart w:id="9" w:name="_Hlk152373420"/>
      <w:r>
        <w:rPr>
          <w:rFonts w:hint="eastAsia" w:ascii="楷体_GB2312" w:hAnsi="楷体_GB2312" w:eastAsia="楷体_GB2312" w:cs="楷体_GB2312"/>
          <w:sz w:val="36"/>
          <w:szCs w:val="36"/>
        </w:rPr>
        <w:t>锚定“4+N”产业发展方向，大力推动经济高质量发展</w:t>
      </w:r>
    </w:p>
    <w:bookmarkEnd w:id="9"/>
    <w:p>
      <w:pPr>
        <w:widowControl/>
        <w:spacing w:line="600" w:lineRule="exact"/>
        <w:ind w:firstLine="723" w:firstLineChars="200"/>
        <w:rPr>
          <w:rFonts w:hint="eastAsia" w:ascii="仿宋_GB2312" w:hAnsi="仿宋_GB2312" w:eastAsia="仿宋_GB2312" w:cs="仿宋_GB2312"/>
          <w:sz w:val="36"/>
          <w:szCs w:val="36"/>
        </w:rPr>
      </w:pPr>
      <w:bookmarkStart w:id="10" w:name="_Hlk152373426"/>
      <w:r>
        <w:rPr>
          <w:rFonts w:hint="eastAsia" w:ascii="仿宋_GB2312" w:hAnsi="仿宋_GB2312" w:eastAsia="仿宋_GB2312" w:cs="仿宋_GB2312"/>
          <w:b/>
          <w:bCs/>
          <w:sz w:val="36"/>
          <w:szCs w:val="36"/>
        </w:rPr>
        <w:t>持续提升国家金融管理中心服务能级。</w:t>
      </w:r>
      <w:r>
        <w:rPr>
          <w:rFonts w:hint="eastAsia" w:ascii="仿宋_GB2312" w:hAnsi="仿宋_GB2312" w:eastAsia="仿宋_GB2312" w:cs="仿宋_GB2312"/>
          <w:sz w:val="36"/>
          <w:szCs w:val="36"/>
        </w:rPr>
        <w:t>抓好“金服十条”2.0版落地兑现，助力科技金融、绿色金融、普惠金融、养老金融、数字金融发展。</w:t>
      </w:r>
      <w:bookmarkEnd w:id="10"/>
      <w:r>
        <w:rPr>
          <w:rFonts w:hint="eastAsia" w:ascii="仿宋_GB2312" w:hAnsi="仿宋_GB2312" w:eastAsia="仿宋_GB2312" w:cs="仿宋_GB2312"/>
          <w:bCs/>
          <w:sz w:val="36"/>
          <w:szCs w:val="36"/>
        </w:rPr>
        <w:t>紧抓“深改19条”政策机遇期，服务支持优质企业在北交所上市，着力</w:t>
      </w:r>
      <w:r>
        <w:rPr>
          <w:rFonts w:hint="eastAsia" w:ascii="仿宋_GB2312" w:hAnsi="仿宋_GB2312" w:eastAsia="仿宋_GB2312" w:cs="仿宋_GB2312"/>
          <w:kern w:val="0"/>
          <w:sz w:val="36"/>
          <w:szCs w:val="36"/>
          <w:lang w:val="zh-CN"/>
        </w:rPr>
        <w:t>引进创新能力强、成长速度快的中小企业</w:t>
      </w:r>
      <w:r>
        <w:rPr>
          <w:rFonts w:hint="eastAsia" w:ascii="仿宋_GB2312" w:hAnsi="仿宋_GB2312" w:eastAsia="仿宋_GB2312" w:cs="仿宋_GB2312"/>
          <w:bCs/>
          <w:sz w:val="36"/>
          <w:szCs w:val="36"/>
        </w:rPr>
        <w:t>，</w:t>
      </w:r>
      <w:r>
        <w:rPr>
          <w:rFonts w:hint="eastAsia" w:ascii="仿宋_GB2312" w:hAnsi="仿宋_GB2312" w:eastAsia="仿宋_GB2312" w:cs="仿宋_GB2312"/>
          <w:sz w:val="36"/>
          <w:szCs w:val="36"/>
        </w:rPr>
        <w:t>加快打造北交所生态圈</w:t>
      </w:r>
      <w:r>
        <w:rPr>
          <w:rFonts w:hint="eastAsia" w:ascii="仿宋_GB2312" w:hAnsi="仿宋_GB2312" w:eastAsia="仿宋_GB2312" w:cs="仿宋_GB2312"/>
          <w:bCs/>
          <w:sz w:val="36"/>
          <w:szCs w:val="36"/>
        </w:rPr>
        <w:t>。</w:t>
      </w:r>
      <w:r>
        <w:rPr>
          <w:rFonts w:hint="eastAsia" w:ascii="仿宋_GB2312" w:hAnsi="仿宋_GB2312" w:eastAsia="仿宋_GB2312" w:cs="仿宋_GB2312"/>
          <w:sz w:val="36"/>
          <w:szCs w:val="36"/>
        </w:rPr>
        <w:t>做优“融享汇”融资交流活动，更好促进实体经济发展。高水平举办2024金融街论坛年会，开展金融街论坛消费季等系列活动，持续提升论坛招商引资能力和成果转化能力。加快打造资产管理高地，吸引更多优质资产管理机构落地，在金融市场开放、资本跨境流动、投融资便利化等方面先行先试。严防各类金融风险关联传导，加强金融秩序维护。</w:t>
      </w:r>
    </w:p>
    <w:p>
      <w:pPr>
        <w:tabs>
          <w:tab w:val="left" w:pos="1440"/>
        </w:tabs>
        <w:overflowPunct w:val="0"/>
        <w:autoSpaceDE w:val="0"/>
        <w:autoSpaceDN w:val="0"/>
        <w:adjustRightInd w:val="0"/>
        <w:snapToGrid w:val="0"/>
        <w:spacing w:line="60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加快国家级金融科技示范区建设。</w:t>
      </w:r>
      <w:r>
        <w:rPr>
          <w:rFonts w:hint="eastAsia" w:ascii="仿宋_GB2312" w:hAnsi="仿宋_GB2312" w:eastAsia="仿宋_GB2312" w:cs="仿宋_GB2312"/>
          <w:sz w:val="36"/>
          <w:szCs w:val="36"/>
        </w:rPr>
        <w:t>办好全球金融科技大会等“一会两赛三论坛”品牌活动，不断拓展全球金融科技中心城市网络。加强监管制度和技术体系创新，争取更多“监管沙箱”创新监管工具和资本市场金融科技创新试点项目。在金融科技底层基础技术和应用技术研发方面取得突破，形成一系列创新产品和服务模式。完善科技创新服务体系，修订“科创十条”实施细则，积极吸引具有行业影响力的金融科技企业和专业服务机构，形成一批优质金融创新激励项目。</w:t>
      </w:r>
    </w:p>
    <w:p>
      <w:pPr>
        <w:tabs>
          <w:tab w:val="left" w:pos="1440"/>
        </w:tabs>
        <w:overflowPunct w:val="0"/>
        <w:autoSpaceDE w:val="0"/>
        <w:autoSpaceDN w:val="0"/>
        <w:adjustRightInd w:val="0"/>
        <w:snapToGrid w:val="0"/>
        <w:spacing w:line="60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着力打造数字经济新优势。</w:t>
      </w:r>
      <w:r>
        <w:rPr>
          <w:rFonts w:hint="eastAsia" w:ascii="仿宋_GB2312" w:hAnsi="仿宋_GB2312" w:eastAsia="仿宋_GB2312" w:cs="仿宋_GB2312"/>
          <w:sz w:val="36"/>
          <w:szCs w:val="36"/>
        </w:rPr>
        <w:t>出台数据要素产业发展支持政策，</w:t>
      </w:r>
      <w:bookmarkStart w:id="11" w:name="_Hlk152373757"/>
      <w:r>
        <w:rPr>
          <w:rFonts w:hint="eastAsia" w:ascii="仿宋_GB2312" w:hAnsi="仿宋_GB2312" w:eastAsia="仿宋_GB2312" w:cs="仿宋_GB2312"/>
          <w:sz w:val="36"/>
          <w:szCs w:val="36"/>
        </w:rPr>
        <w:t>高标准打造“马连道·茶·中国数据街”，加快形成“北有金融街、南有数据街”新格局</w:t>
      </w:r>
      <w:bookmarkEnd w:id="11"/>
      <w:r>
        <w:rPr>
          <w:rFonts w:hint="eastAsia" w:ascii="仿宋_GB2312" w:hAnsi="仿宋_GB2312" w:eastAsia="仿宋_GB2312" w:cs="仿宋_GB2312"/>
          <w:sz w:val="36"/>
          <w:szCs w:val="36"/>
        </w:rPr>
        <w:t>。举办全球数字经济大会西城分论坛等活动，充分发挥“马连道·数据街”合作发展联盟和“马连连会客厅”等平台作用，支持标杆技术创新，鼓励应用场景落地。加大企业引进培育力度，争取头部企业新增数字业务板块落地。强化数字基础设施建设应用，加快5G、IPv6等规模部署，提升网络安全和数据安全保障水平，更好服务重点行业和重点应用场景数字技术深度覆盖。</w:t>
      </w:r>
    </w:p>
    <w:p>
      <w:pPr>
        <w:tabs>
          <w:tab w:val="left" w:pos="1440"/>
        </w:tabs>
        <w:overflowPunct w:val="0"/>
        <w:autoSpaceDE w:val="0"/>
        <w:autoSpaceDN w:val="0"/>
        <w:adjustRightInd w:val="0"/>
        <w:snapToGrid w:val="0"/>
        <w:spacing w:line="600" w:lineRule="exact"/>
        <w:ind w:firstLine="723" w:firstLineChars="200"/>
        <w:rPr>
          <w:rFonts w:hint="eastAsia" w:ascii="仿宋_GB2312" w:hAnsi="仿宋_GB2312" w:eastAsia="仿宋_GB2312" w:cs="仿宋_GB2312"/>
          <w:sz w:val="36"/>
          <w:szCs w:val="36"/>
          <w:shd w:val="clear" w:color="auto" w:fill="FFFFFF"/>
        </w:rPr>
      </w:pPr>
      <w:r>
        <w:rPr>
          <w:rFonts w:hint="eastAsia" w:ascii="仿宋_GB2312" w:hAnsi="仿宋_GB2312" w:eastAsia="仿宋_GB2312" w:cs="仿宋_GB2312"/>
          <w:b/>
          <w:bCs/>
          <w:sz w:val="36"/>
          <w:szCs w:val="36"/>
          <w:shd w:val="clear" w:color="auto" w:fill="FFFFFF"/>
        </w:rPr>
        <w:t>加快“两区”建设步伐。</w:t>
      </w:r>
      <w:r>
        <w:rPr>
          <w:rFonts w:hint="eastAsia" w:ascii="仿宋_GB2312" w:hAnsi="仿宋_GB2312" w:eastAsia="仿宋_GB2312" w:cs="仿宋_GB2312"/>
          <w:sz w:val="36"/>
          <w:szCs w:val="36"/>
          <w:shd w:val="clear" w:color="auto" w:fill="FFFFFF"/>
        </w:rPr>
        <w:t>落实北京市服务业扩大开放示范区2.0版政策，</w:t>
      </w:r>
      <w:r>
        <w:rPr>
          <w:rFonts w:hint="eastAsia" w:ascii="仿宋_GB2312" w:hAnsi="仿宋_GB2312" w:eastAsia="仿宋_GB2312" w:cs="仿宋_GB2312"/>
          <w:sz w:val="36"/>
          <w:szCs w:val="36"/>
          <w:lang w:val="zh-CN"/>
        </w:rPr>
        <w:t>高标准推进“产业+园区”开放、“项目</w:t>
      </w:r>
      <w:r>
        <w:rPr>
          <w:rFonts w:hint="eastAsia" w:ascii="仿宋_GB2312" w:hAnsi="仿宋_GB2312" w:eastAsia="仿宋_GB2312" w:cs="仿宋_GB2312"/>
          <w:sz w:val="36"/>
          <w:szCs w:val="36"/>
        </w:rPr>
        <w:t>+企业</w:t>
      </w:r>
      <w:r>
        <w:rPr>
          <w:rFonts w:hint="eastAsia" w:ascii="仿宋_GB2312" w:hAnsi="仿宋_GB2312" w:eastAsia="仿宋_GB2312" w:cs="仿宋_GB2312"/>
          <w:sz w:val="36"/>
          <w:szCs w:val="36"/>
          <w:lang w:val="zh-CN"/>
        </w:rPr>
        <w:t>”落地、“品牌</w:t>
      </w:r>
      <w:r>
        <w:rPr>
          <w:rFonts w:hint="eastAsia" w:ascii="仿宋_GB2312" w:hAnsi="仿宋_GB2312" w:eastAsia="仿宋_GB2312" w:cs="仿宋_GB2312"/>
          <w:sz w:val="36"/>
          <w:szCs w:val="36"/>
        </w:rPr>
        <w:t>+品质</w:t>
      </w:r>
      <w:r>
        <w:rPr>
          <w:rFonts w:hint="eastAsia" w:ascii="仿宋_GB2312" w:hAnsi="仿宋_GB2312" w:eastAsia="仿宋_GB2312" w:cs="仿宋_GB2312"/>
          <w:sz w:val="36"/>
          <w:szCs w:val="36"/>
          <w:lang w:val="zh-CN"/>
        </w:rPr>
        <w:t>”提升，</w:t>
      </w:r>
      <w:r>
        <w:rPr>
          <w:rFonts w:hint="eastAsia" w:ascii="仿宋_GB2312" w:hAnsi="仿宋_GB2312" w:eastAsia="仿宋_GB2312" w:cs="仿宋_GB2312"/>
          <w:sz w:val="36"/>
          <w:szCs w:val="36"/>
        </w:rPr>
        <w:t>引进优质外向型企业和项目120个以上。加大重点企业服务促进工作力度，充分借助服贸会、进博会、京港洽谈会等平台，组织特色招商推介活动，推动更多“4+N”产业标志性项目落地。</w:t>
      </w:r>
    </w:p>
    <w:p>
      <w:pPr>
        <w:tabs>
          <w:tab w:val="left" w:pos="1440"/>
        </w:tabs>
        <w:overflowPunct w:val="0"/>
        <w:autoSpaceDE w:val="0"/>
        <w:autoSpaceDN w:val="0"/>
        <w:adjustRightInd w:val="0"/>
        <w:snapToGrid w:val="0"/>
        <w:spacing w:line="600" w:lineRule="exact"/>
        <w:ind w:firstLine="723" w:firstLineChars="200"/>
        <w:rPr>
          <w:rFonts w:hint="eastAsia" w:ascii="仿宋_GB2312" w:hAnsi="仿宋_GB2312" w:eastAsia="仿宋_GB2312" w:cs="仿宋_GB2312"/>
          <w:bCs/>
          <w:sz w:val="36"/>
          <w:szCs w:val="36"/>
        </w:rPr>
      </w:pPr>
      <w:r>
        <w:rPr>
          <w:rFonts w:hint="eastAsia" w:ascii="仿宋_GB2312" w:hAnsi="仿宋_GB2312" w:eastAsia="仿宋_GB2312" w:cs="仿宋_GB2312"/>
          <w:b/>
          <w:bCs/>
          <w:sz w:val="36"/>
          <w:szCs w:val="36"/>
        </w:rPr>
        <w:t>增强投资对优化供给结构的关键作用。</w:t>
      </w:r>
      <w:r>
        <w:rPr>
          <w:rFonts w:hint="eastAsia" w:ascii="仿宋_GB2312" w:hAnsi="仿宋_GB2312" w:eastAsia="仿宋_GB2312" w:cs="仿宋_GB2312"/>
          <w:sz w:val="36"/>
          <w:szCs w:val="36"/>
        </w:rPr>
        <w:t>加强投资统筹调度，全力推进重点项目实施，加快推进建设项目立项、规划、开工等手续办理。</w:t>
      </w:r>
      <w:r>
        <w:rPr>
          <w:rFonts w:hint="eastAsia" w:ascii="仿宋_GB2312" w:hAnsi="仿宋_GB2312" w:eastAsia="仿宋_GB2312" w:cs="仿宋_GB2312"/>
          <w:kern w:val="0"/>
          <w:sz w:val="36"/>
          <w:szCs w:val="36"/>
          <w:lang w:bidi="ar"/>
        </w:rPr>
        <w:t>全面</w:t>
      </w:r>
      <w:r>
        <w:rPr>
          <w:rFonts w:hint="eastAsia" w:ascii="仿宋_GB2312" w:hAnsi="仿宋_GB2312" w:eastAsia="仿宋_GB2312" w:cs="仿宋_GB2312"/>
          <w:sz w:val="36"/>
          <w:szCs w:val="36"/>
        </w:rPr>
        <w:t>梳理重点支撑项目，</w:t>
      </w:r>
      <w:r>
        <w:rPr>
          <w:rFonts w:hint="eastAsia" w:ascii="仿宋_GB2312" w:hAnsi="仿宋_GB2312" w:eastAsia="仿宋_GB2312" w:cs="仿宋_GB2312"/>
          <w:sz w:val="36"/>
          <w:szCs w:val="36"/>
          <w:lang w:bidi="ar"/>
        </w:rPr>
        <w:t>保障投资梯次接续有力，统筹推动政府投资计划稳步实施</w:t>
      </w:r>
      <w:r>
        <w:rPr>
          <w:rFonts w:hint="eastAsia" w:ascii="仿宋_GB2312" w:hAnsi="仿宋_GB2312" w:eastAsia="仿宋_GB2312" w:cs="仿宋_GB2312"/>
          <w:kern w:val="0"/>
          <w:sz w:val="36"/>
          <w:szCs w:val="36"/>
          <w:lang w:bidi="ar"/>
        </w:rPr>
        <w:t>。抓好储备项目全周期管理，重点推动储备结构优化提质，</w:t>
      </w:r>
      <w:r>
        <w:rPr>
          <w:rFonts w:hint="eastAsia" w:ascii="仿宋_GB2312" w:hAnsi="仿宋_GB2312" w:eastAsia="仿宋_GB2312" w:cs="仿宋_GB2312"/>
          <w:bCs/>
          <w:sz w:val="36"/>
          <w:szCs w:val="36"/>
        </w:rPr>
        <w:t>围绕城市更新、民生改善等重点领域，深入挖掘和拓展新的投资项目，积极争取各级政策和资金支持，进一步</w:t>
      </w:r>
      <w:r>
        <w:rPr>
          <w:rFonts w:hint="eastAsia" w:ascii="仿宋_GB2312" w:hAnsi="仿宋_GB2312" w:eastAsia="仿宋_GB2312" w:cs="仿宋_GB2312"/>
          <w:sz w:val="36"/>
          <w:szCs w:val="36"/>
          <w:lang w:bidi="ar"/>
        </w:rPr>
        <w:t>激发社会资本的活力和潜力</w:t>
      </w:r>
      <w:r>
        <w:rPr>
          <w:rFonts w:hint="eastAsia" w:ascii="仿宋_GB2312" w:hAnsi="仿宋_GB2312" w:eastAsia="仿宋_GB2312" w:cs="仿宋_GB2312"/>
          <w:bCs/>
          <w:sz w:val="36"/>
          <w:szCs w:val="36"/>
        </w:rPr>
        <w:t>。</w:t>
      </w:r>
    </w:p>
    <w:p>
      <w:pPr>
        <w:tabs>
          <w:tab w:val="left" w:pos="1440"/>
        </w:tabs>
        <w:overflowPunct w:val="0"/>
        <w:autoSpaceDE w:val="0"/>
        <w:autoSpaceDN w:val="0"/>
        <w:adjustRightInd w:val="0"/>
        <w:snapToGrid w:val="0"/>
        <w:spacing w:line="60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积极培育国际消费中心城市示范区。</w:t>
      </w:r>
      <w:r>
        <w:rPr>
          <w:rFonts w:hint="eastAsia" w:ascii="仿宋_GB2312" w:hAnsi="仿宋_GB2312" w:eastAsia="仿宋_GB2312" w:cs="仿宋_GB2312"/>
          <w:sz w:val="36"/>
          <w:szCs w:val="36"/>
        </w:rPr>
        <w:t>加强消费政策引导，促进汽车等大宗商品消费，推动餐饮品牌品质升级，加大世界级品牌引进，不断激发消费活力。聚合新品潮品首发首秀，打造沉浸式消费新场景和打卡地，全力引进培育高品质商业业态。深入落实新一轮商圈改造提升行动计划，加快重点项目建设。实施保护振兴老字号餐饮发展计划，支持老字号传承与创新发展。</w:t>
      </w:r>
    </w:p>
    <w:p>
      <w:pPr>
        <w:tabs>
          <w:tab w:val="left" w:pos="1440"/>
        </w:tabs>
        <w:overflowPunct w:val="0"/>
        <w:autoSpaceDE w:val="0"/>
        <w:autoSpaceDN w:val="0"/>
        <w:adjustRightInd w:val="0"/>
        <w:snapToGrid w:val="0"/>
        <w:spacing w:line="60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支持各类</w:t>
      </w:r>
      <w:r>
        <w:rPr>
          <w:rFonts w:hint="eastAsia" w:ascii="仿宋_GB2312" w:hAnsi="仿宋_GB2312" w:eastAsia="仿宋_GB2312" w:cs="仿宋_GB2312"/>
          <w:b/>
          <w:bCs/>
          <w:sz w:val="36"/>
          <w:szCs w:val="36"/>
          <w:lang w:eastAsia="zh-CN"/>
        </w:rPr>
        <w:t>经营主体</w:t>
      </w:r>
      <w:r>
        <w:rPr>
          <w:rFonts w:hint="eastAsia" w:ascii="仿宋_GB2312" w:hAnsi="仿宋_GB2312" w:eastAsia="仿宋_GB2312" w:cs="仿宋_GB2312"/>
          <w:b/>
          <w:bCs/>
          <w:sz w:val="36"/>
          <w:szCs w:val="36"/>
        </w:rPr>
        <w:t>发展壮大。</w:t>
      </w:r>
      <w:r>
        <w:rPr>
          <w:rFonts w:hint="eastAsia" w:ascii="仿宋_GB2312" w:hAnsi="仿宋_GB2312" w:eastAsia="仿宋_GB2312" w:cs="仿宋_GB2312"/>
          <w:sz w:val="36"/>
          <w:szCs w:val="36"/>
        </w:rPr>
        <w:t>坚持“两个毫不动摇”，让国企敢干、民企敢闯、外企敢投。开展国企改革深化提升行动，促进国有资本布局优化和结构调整，着力打造一批产业集中度高、核心竞争力强的企业。健全完善以管资本为主的国资监管体制，持续增强国资监管效能。促进“两个健康”，落实好促进民营经济发展壮大系列政策，增强对民营企业的对接服务和政策支持，加大对民营中小微企业原始创新保护力度，让企业经营更放心</w:t>
      </w:r>
      <w:r>
        <w:rPr>
          <w:rFonts w:hint="eastAsia" w:ascii="仿宋_GB2312" w:hAnsi="仿宋_GB2312" w:eastAsia="仿宋_GB2312" w:cs="仿宋_GB2312"/>
          <w:sz w:val="36"/>
          <w:szCs w:val="36"/>
          <w:lang w:val="zh-TW"/>
        </w:rPr>
        <w:t>。</w:t>
      </w:r>
    </w:p>
    <w:p>
      <w:pPr>
        <w:tabs>
          <w:tab w:val="left" w:pos="1440"/>
        </w:tabs>
        <w:overflowPunct w:val="0"/>
        <w:autoSpaceDE w:val="0"/>
        <w:autoSpaceDN w:val="0"/>
        <w:adjustRightInd w:val="0"/>
        <w:snapToGrid w:val="0"/>
        <w:spacing w:line="600" w:lineRule="exact"/>
        <w:ind w:firstLine="723" w:firstLineChars="200"/>
        <w:rPr>
          <w:rFonts w:hint="eastAsia" w:ascii="仿宋_GB2312" w:hAnsi="仿宋_GB2312" w:eastAsia="仿宋_GB2312" w:cs="仿宋_GB2312"/>
          <w:sz w:val="36"/>
          <w:szCs w:val="36"/>
          <w:lang w:val="zh-TW"/>
        </w:rPr>
      </w:pPr>
      <w:r>
        <w:rPr>
          <w:rFonts w:hint="eastAsia" w:ascii="仿宋_GB2312" w:hAnsi="仿宋_GB2312" w:eastAsia="仿宋_GB2312" w:cs="仿宋_GB2312"/>
          <w:b/>
          <w:bCs/>
          <w:sz w:val="36"/>
          <w:szCs w:val="36"/>
          <w:shd w:val="clear" w:color="auto" w:fill="FFFFFF"/>
        </w:rPr>
        <w:t>下大力气营造一流营商环境。</w:t>
      </w:r>
      <w:bookmarkStart w:id="12" w:name="_Hlk152374080"/>
      <w:r>
        <w:rPr>
          <w:rFonts w:hint="eastAsia" w:ascii="仿宋_GB2312" w:hAnsi="仿宋_GB2312" w:eastAsia="仿宋_GB2312" w:cs="仿宋_GB2312"/>
          <w:sz w:val="36"/>
          <w:szCs w:val="36"/>
        </w:rPr>
        <w:t>巩固“一业一证”“一件事”改革成效，推出更多集成服务场景</w:t>
      </w:r>
      <w:bookmarkEnd w:id="12"/>
      <w:r>
        <w:rPr>
          <w:rFonts w:hint="eastAsia" w:ascii="仿宋_GB2312" w:hAnsi="仿宋_GB2312" w:eastAsia="仿宋_GB2312" w:cs="仿宋_GB2312"/>
          <w:sz w:val="36"/>
          <w:szCs w:val="36"/>
          <w:shd w:val="clear" w:color="auto" w:fill="FFFFFF"/>
        </w:rPr>
        <w:t>。加快“京策”平台建设任务落地，探索部分政策免申即享、即申即享。</w:t>
      </w:r>
      <w:r>
        <w:rPr>
          <w:rFonts w:hint="eastAsia" w:ascii="仿宋_GB2312" w:hAnsi="仿宋_GB2312" w:eastAsia="仿宋_GB2312" w:cs="仿宋_GB2312"/>
          <w:sz w:val="36"/>
          <w:szCs w:val="36"/>
        </w:rPr>
        <w:t>拓展一体化综合监管场景，着力破除监管执法体制机制障碍。持续完善“1+5+N”产业政策体系，深化政策体系评估优化。开展专业服务业政策兑现，加快优质专业服务机构集聚。</w:t>
      </w:r>
      <w:bookmarkStart w:id="13" w:name="_Hlk152374064"/>
      <w:r>
        <w:rPr>
          <w:rFonts w:hint="eastAsia" w:ascii="仿宋_GB2312" w:hAnsi="仿宋_GB2312" w:eastAsia="仿宋_GB2312" w:cs="仿宋_GB2312"/>
          <w:sz w:val="36"/>
          <w:szCs w:val="36"/>
        </w:rPr>
        <w:t>深化重点企业服务和联系走访</w:t>
      </w:r>
      <w:bookmarkEnd w:id="13"/>
      <w:r>
        <w:rPr>
          <w:rFonts w:hint="eastAsia" w:ascii="仿宋_GB2312" w:hAnsi="仿宋_GB2312" w:eastAsia="仿宋_GB2312" w:cs="仿宋_GB2312"/>
          <w:sz w:val="36"/>
          <w:szCs w:val="36"/>
        </w:rPr>
        <w:t>，提升“服务包”含金量，加强政策兑现和重点企业引进，</w:t>
      </w:r>
      <w:r>
        <w:rPr>
          <w:rFonts w:hint="eastAsia" w:ascii="仿宋_GB2312" w:hAnsi="仿宋_GB2312" w:eastAsia="仿宋_GB2312" w:cs="仿宋_GB2312"/>
          <w:sz w:val="36"/>
          <w:szCs w:val="36"/>
          <w:shd w:val="clear" w:color="auto" w:fill="FFFFFF"/>
        </w:rPr>
        <w:t>持续稳定存量、深挖增量。</w:t>
      </w:r>
      <w:r>
        <w:rPr>
          <w:rFonts w:hint="eastAsia" w:ascii="仿宋_GB2312" w:hAnsi="仿宋_GB2312" w:eastAsia="仿宋_GB2312" w:cs="仿宋_GB2312"/>
          <w:sz w:val="36"/>
          <w:szCs w:val="36"/>
        </w:rPr>
        <w:t>加大“走出去”招商的步伐和力度，研究赴</w:t>
      </w:r>
      <w:r>
        <w:rPr>
          <w:rFonts w:hint="eastAsia" w:ascii="仿宋_GB2312" w:hAnsi="仿宋_GB2312" w:eastAsia="仿宋_GB2312" w:cs="仿宋_GB2312"/>
          <w:bCs/>
          <w:sz w:val="36"/>
          <w:szCs w:val="36"/>
        </w:rPr>
        <w:t>欧洲、中东等</w:t>
      </w:r>
      <w:r>
        <w:rPr>
          <w:rFonts w:hint="eastAsia" w:ascii="仿宋_GB2312" w:hAnsi="仿宋_GB2312" w:eastAsia="仿宋_GB2312" w:cs="仿宋_GB2312"/>
          <w:sz w:val="36"/>
          <w:szCs w:val="36"/>
        </w:rPr>
        <w:t>地区开展招商推介</w:t>
      </w:r>
      <w:r>
        <w:rPr>
          <w:rFonts w:hint="eastAsia" w:ascii="仿宋_GB2312" w:hAnsi="仿宋_GB2312" w:eastAsia="仿宋_GB2312" w:cs="仿宋_GB2312"/>
          <w:sz w:val="36"/>
          <w:szCs w:val="36"/>
          <w:shd w:val="clear" w:color="auto" w:fill="FFFFFF"/>
        </w:rPr>
        <w:t>，完善京外招商联络站点布局。</w:t>
      </w:r>
    </w:p>
    <w:p>
      <w:pPr>
        <w:snapToGrid w:val="0"/>
        <w:spacing w:line="600"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大力推进高水平人才高地建设。</w:t>
      </w:r>
      <w:bookmarkStart w:id="14" w:name="_Hlk152374095"/>
      <w:r>
        <w:rPr>
          <w:rFonts w:hint="eastAsia" w:ascii="仿宋_GB2312" w:hAnsi="仿宋_GB2312" w:eastAsia="仿宋_GB2312" w:cs="仿宋_GB2312"/>
          <w:sz w:val="36"/>
          <w:szCs w:val="36"/>
        </w:rPr>
        <w:t>推动</w:t>
      </w:r>
      <w:r>
        <w:rPr>
          <w:rFonts w:hint="eastAsia" w:ascii="仿宋_GB2312" w:hAnsi="仿宋_GB2312" w:eastAsia="仿宋_GB2312" w:cs="仿宋_GB2312"/>
          <w:kern w:val="0"/>
          <w:sz w:val="36"/>
          <w:szCs w:val="36"/>
          <w:lang w:val="zh-CN"/>
        </w:rPr>
        <w:t>“西融计划”</w:t>
      </w:r>
      <w:r>
        <w:rPr>
          <w:rFonts w:hint="eastAsia" w:ascii="仿宋_GB2312" w:hAnsi="仿宋_GB2312" w:eastAsia="仿宋_GB2312" w:cs="仿宋_GB2312"/>
          <w:kern w:val="0"/>
          <w:sz w:val="36"/>
          <w:szCs w:val="36"/>
        </w:rPr>
        <w:t>落地实施，开展首届“西融人才”评选认定，办好全球创业大赛金融科技赛道初赛、金融人才发展论坛等活动，吸引和聚集更多高层次人才</w:t>
      </w:r>
      <w:r>
        <w:rPr>
          <w:rFonts w:hint="eastAsia" w:ascii="仿宋_GB2312" w:hAnsi="仿宋_GB2312" w:eastAsia="仿宋_GB2312" w:cs="仿宋_GB2312"/>
          <w:kern w:val="0"/>
          <w:sz w:val="36"/>
          <w:szCs w:val="36"/>
          <w:lang w:val="zh-CN"/>
        </w:rPr>
        <w:t>。</w:t>
      </w:r>
      <w:bookmarkEnd w:id="14"/>
      <w:r>
        <w:rPr>
          <w:rFonts w:hint="eastAsia" w:ascii="仿宋_GB2312" w:hAnsi="仿宋_GB2312" w:eastAsia="仿宋_GB2312" w:cs="仿宋_GB2312"/>
          <w:sz w:val="36"/>
          <w:szCs w:val="36"/>
        </w:rPr>
        <w:t>充分发挥“北京西城·首都高校发展联盟”作用，</w:t>
      </w:r>
      <w:r>
        <w:rPr>
          <w:rFonts w:hint="eastAsia" w:ascii="仿宋_GB2312" w:hAnsi="仿宋_GB2312" w:eastAsia="仿宋_GB2312" w:cs="仿宋_GB2312"/>
          <w:bCs/>
          <w:kern w:val="0"/>
          <w:sz w:val="36"/>
          <w:szCs w:val="36"/>
        </w:rPr>
        <w:t>建强用好青年人才实训基地，深入推动区校融合发展</w:t>
      </w:r>
      <w:r>
        <w:rPr>
          <w:rFonts w:hint="eastAsia" w:ascii="仿宋_GB2312" w:hAnsi="仿宋_GB2312" w:eastAsia="仿宋_GB2312" w:cs="仿宋_GB2312"/>
          <w:sz w:val="36"/>
          <w:szCs w:val="36"/>
        </w:rPr>
        <w:t>。促进科技成果转化，强化科技专项等政策支撑，加快产学研用结合，全力推进西城园博士后工作站等平台建设。推动高技能人才队伍建设实施方案落地，确保技能人才增速不低于5%。</w:t>
      </w:r>
      <w:r>
        <w:rPr>
          <w:rFonts w:hint="eastAsia" w:ascii="仿宋_GB2312" w:hAnsi="仿宋_GB2312" w:eastAsia="仿宋_GB2312" w:cs="仿宋_GB2312"/>
          <w:bCs/>
          <w:kern w:val="0"/>
          <w:sz w:val="36"/>
          <w:szCs w:val="36"/>
        </w:rPr>
        <w:t>加强人才住房保障，持续做好公租房筹集及分配。</w:t>
      </w:r>
      <w:r>
        <w:rPr>
          <w:rFonts w:hint="eastAsia" w:ascii="仿宋_GB2312" w:hAnsi="仿宋_GB2312" w:eastAsia="仿宋_GB2312" w:cs="仿宋_GB2312"/>
          <w:sz w:val="36"/>
          <w:szCs w:val="36"/>
        </w:rPr>
        <w:t>积极推进全国青年发展型城市建设试点，让城市对青年更友好，青年在城市更有为。</w:t>
      </w:r>
    </w:p>
    <w:p>
      <w:pPr>
        <w:widowControl/>
        <w:numPr>
          <w:ilvl w:val="0"/>
          <w:numId w:val="2"/>
        </w:numPr>
        <w:spacing w:line="560" w:lineRule="exact"/>
        <w:ind w:firstLine="720" w:firstLineChars="200"/>
        <w:rPr>
          <w:rFonts w:ascii="楷体_GB2312" w:hAnsi="楷体_GB2312" w:eastAsia="楷体_GB2312" w:cs="楷体_GB2312"/>
          <w:sz w:val="36"/>
          <w:szCs w:val="36"/>
        </w:rPr>
      </w:pPr>
      <w:bookmarkStart w:id="15" w:name="_Hlk152374118"/>
      <w:r>
        <w:rPr>
          <w:rFonts w:hint="eastAsia" w:ascii="楷体_GB2312" w:hAnsi="楷体_GB2312" w:eastAsia="楷体_GB2312" w:cs="楷体_GB2312"/>
          <w:sz w:val="36"/>
          <w:szCs w:val="36"/>
        </w:rPr>
        <w:t>坚持在发展中保障和改善民生，持续提高人民生活品质</w:t>
      </w:r>
    </w:p>
    <w:p>
      <w:pPr>
        <w:spacing w:line="60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加快建设高质量教育体系。</w:t>
      </w:r>
      <w:r>
        <w:rPr>
          <w:rFonts w:hint="eastAsia" w:ascii="仿宋_GB2312" w:hAnsi="仿宋_GB2312" w:eastAsia="仿宋_GB2312" w:cs="仿宋_GB2312"/>
          <w:sz w:val="36"/>
          <w:szCs w:val="36"/>
        </w:rPr>
        <w:t>落实中小学校党组织领导的校长负责制，推动“大思政课”综合改革。持续加大学位保障力度，普惠性幼儿园覆盖率达到90%。</w:t>
      </w:r>
      <w:r>
        <w:rPr>
          <w:rFonts w:hint="eastAsia" w:ascii="仿宋_GB2312" w:eastAsia="仿宋_GB2312"/>
          <w:bCs/>
          <w:sz w:val="36"/>
          <w:szCs w:val="36"/>
        </w:rPr>
        <w:t>推进“小而精”“小而美”特色学校2.0升级，推动普通高中</w:t>
      </w:r>
      <w:r>
        <w:rPr>
          <w:rFonts w:hint="eastAsia" w:ascii="仿宋_GB2312" w:eastAsia="仿宋_GB2312"/>
          <w:sz w:val="36"/>
          <w:szCs w:val="36"/>
        </w:rPr>
        <w:t>优质特色</w:t>
      </w:r>
      <w:r>
        <w:rPr>
          <w:rFonts w:hint="eastAsia" w:ascii="仿宋_GB2312" w:eastAsia="仿宋_GB2312"/>
          <w:bCs/>
          <w:sz w:val="36"/>
          <w:szCs w:val="36"/>
        </w:rPr>
        <w:t>发展</w:t>
      </w:r>
      <w:r>
        <w:rPr>
          <w:rFonts w:hint="eastAsia" w:ascii="仿宋_GB2312" w:eastAsia="仿宋_GB2312"/>
          <w:sz w:val="36"/>
          <w:szCs w:val="36"/>
        </w:rPr>
        <w:t>，做好校本教研基地建设</w:t>
      </w:r>
      <w:r>
        <w:rPr>
          <w:rFonts w:hint="eastAsia" w:ascii="仿宋_GB2312" w:eastAsia="仿宋_GB2312"/>
          <w:bCs/>
          <w:sz w:val="36"/>
          <w:szCs w:val="36"/>
        </w:rPr>
        <w:t>。坚持“五育并举”融合发展，深化学生健康促进专项行动。</w:t>
      </w:r>
      <w:r>
        <w:rPr>
          <w:rFonts w:hint="eastAsia" w:ascii="仿宋_GB2312" w:hAnsi="仿宋_GB2312" w:eastAsia="仿宋_GB2312" w:cs="仿宋_GB2312"/>
          <w:sz w:val="36"/>
          <w:szCs w:val="36"/>
        </w:rPr>
        <w:t>深化干部教师队伍改革，实施好教师关爱工程，高效推进教师交流轮岗。</w:t>
      </w:r>
      <w:r>
        <w:rPr>
          <w:rFonts w:hint="eastAsia" w:ascii="仿宋_GB2312" w:eastAsia="仿宋_GB2312"/>
          <w:bCs/>
          <w:sz w:val="36"/>
          <w:szCs w:val="36"/>
        </w:rPr>
        <w:t>完善家校社协同育人系统，持续推进“全程超前伴随式”家长培训课程。</w:t>
      </w:r>
      <w:r>
        <w:rPr>
          <w:rFonts w:hint="eastAsia" w:ascii="仿宋_GB2312" w:hAnsi="仿宋_GB2312" w:eastAsia="仿宋_GB2312" w:cs="仿宋_GB2312"/>
          <w:sz w:val="36"/>
          <w:szCs w:val="36"/>
        </w:rPr>
        <w:t>争创2所市级智慧校园示范校，推动32所试点学校实现“数智学习”赋能教育数字化转型。有序推广通学公交服务试点。</w:t>
      </w:r>
    </w:p>
    <w:p>
      <w:pPr>
        <w:spacing w:line="600" w:lineRule="exact"/>
        <w:ind w:firstLine="723" w:firstLineChars="2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提升就业服务和社会保障水平。</w:t>
      </w:r>
      <w:r>
        <w:rPr>
          <w:rFonts w:hint="eastAsia" w:ascii="仿宋_GB2312" w:hAnsi="仿宋_GB2312" w:eastAsia="仿宋_GB2312" w:cs="仿宋_GB2312"/>
          <w:kern w:val="0"/>
          <w:sz w:val="36"/>
          <w:szCs w:val="36"/>
        </w:rPr>
        <w:t>稳保</w:t>
      </w:r>
      <w:r>
        <w:rPr>
          <w:rFonts w:hint="eastAsia" w:ascii="仿宋_GB2312" w:hAnsi="仿宋_GB2312" w:eastAsia="仿宋_GB2312" w:cs="仿宋_GB2312"/>
          <w:sz w:val="36"/>
          <w:szCs w:val="36"/>
        </w:rPr>
        <w:t>重点群体就业，确保高校毕业生就业率不低于95%，困难家庭毕业生帮扶率100%，争创充分就业区。</w:t>
      </w:r>
      <w:r>
        <w:rPr>
          <w:rFonts w:hint="eastAsia" w:ascii="仿宋_GB2312" w:hAnsi="仿宋_GB2312" w:eastAsia="仿宋_GB2312" w:cs="仿宋_GB2312"/>
          <w:kern w:val="0"/>
          <w:sz w:val="36"/>
          <w:szCs w:val="36"/>
        </w:rPr>
        <w:t>试点打造“一刻钟”就业服务圈，探索“市场化+公共服务”融合机制，构建“家门口”“楼门口”就业模式。</w:t>
      </w:r>
      <w:r>
        <w:rPr>
          <w:rFonts w:hint="eastAsia" w:ascii="仿宋_GB2312" w:hAnsi="仿宋_GB2312" w:eastAsia="仿宋_GB2312" w:cs="仿宋_GB2312"/>
          <w:sz w:val="36"/>
          <w:szCs w:val="36"/>
        </w:rPr>
        <w:t>稳步推动养老保险重大改革任务落实落地，扩大普惠健康保参保人群覆盖面。推进医保移动支付试点，深化异地就医直接结算。完善分层分类社会救助体系，实现救助内容从“保基本”向“全面扶”延伸。促进残疾人事业健康发展，持续推进温馨家园规范化建设和残疾人就业兜底帮扶。维护妇女儿童合法权益，完善未成年人保护体系。</w:t>
      </w:r>
    </w:p>
    <w:p>
      <w:pPr>
        <w:spacing w:line="60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持续扩大养老托育服务供给。</w:t>
      </w:r>
      <w:r>
        <w:rPr>
          <w:rFonts w:hint="eastAsia" w:ascii="仿宋_GB2312" w:hAnsi="仿宋_GB2312" w:eastAsia="仿宋_GB2312" w:cs="仿宋_GB2312"/>
          <w:sz w:val="36"/>
          <w:szCs w:val="36"/>
        </w:rPr>
        <w:t>推动养老服务“十件事”提质增效，细化医养结合、适老化改造服务内容，新增家庭养老床位300张，安装“一键呼”设备1万部，实现养老助餐社区全覆盖。深化儿童友好城市建设，开展儿童友好街区、社区试点，推动公共空间、公共设施适儿化改造，力争形成一批具有示范效应的项目。扩大普惠性托育服务供给，加快综合性婴幼儿照护服务指导中心建设，继续推进幼儿园开设托班，计划创建托位3342个，其中普惠托位1003个。</w:t>
      </w:r>
    </w:p>
    <w:p>
      <w:pPr>
        <w:spacing w:line="60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深入推进健康西城建设。</w:t>
      </w:r>
      <w:r>
        <w:rPr>
          <w:rFonts w:hint="eastAsia" w:ascii="仿宋_GB2312" w:hAnsi="仿宋_GB2312" w:eastAsia="仿宋_GB2312" w:cs="仿宋_GB2312"/>
          <w:sz w:val="36"/>
          <w:szCs w:val="36"/>
        </w:rPr>
        <w:t>继续办好各类特色赛事和群众体育活动，实现德胜体育中心向公众开放，完成2个体育公园改建，为群众提供更多更好的公共体育服务。持续推进医联体建设，优化完善分级诊疗制度，稳步推进月坛和金融街健联体试点建设。</w:t>
      </w:r>
      <w:r>
        <w:rPr>
          <w:rFonts w:ascii="仿宋_GB2312" w:hAnsi="仿宋_GB2312" w:eastAsia="仿宋_GB2312" w:cs="仿宋_GB2312"/>
          <w:sz w:val="36"/>
          <w:szCs w:val="36"/>
        </w:rPr>
        <w:t>做好</w:t>
      </w:r>
      <w:r>
        <w:rPr>
          <w:rFonts w:hint="eastAsia" w:ascii="仿宋_GB2312" w:hAnsi="仿宋_GB2312" w:eastAsia="仿宋_GB2312" w:cs="仿宋_GB2312"/>
          <w:sz w:val="36"/>
          <w:szCs w:val="36"/>
        </w:rPr>
        <w:t>重点人群家庭医生</w:t>
      </w:r>
      <w:r>
        <w:rPr>
          <w:rFonts w:ascii="仿宋_GB2312" w:hAnsi="仿宋_GB2312" w:eastAsia="仿宋_GB2312" w:cs="仿宋_GB2312"/>
          <w:sz w:val="36"/>
          <w:szCs w:val="36"/>
        </w:rPr>
        <w:t>签约服务</w:t>
      </w:r>
      <w:r>
        <w:rPr>
          <w:rFonts w:hint="eastAsia" w:ascii="仿宋_GB2312" w:hAnsi="仿宋_GB2312" w:eastAsia="仿宋_GB2312" w:cs="仿宋_GB2312"/>
          <w:sz w:val="36"/>
          <w:szCs w:val="36"/>
        </w:rPr>
        <w:t>，积极打造“智慧家医”。完善社区卫生15分钟服务圈，实现社区卫生服务中心儿科诊疗服务全覆盖。落实好新一轮加强公共卫生应急管理体系建设三年行动计划，更加有针对性地开展爱国卫生运动</w:t>
      </w:r>
      <w:r>
        <w:rPr>
          <w:rFonts w:hint="eastAsia" w:ascii="仿宋_GB2312" w:hAnsi="仿宋_GB2312" w:eastAsia="仿宋_GB2312" w:cs="仿宋_GB2312"/>
          <w:bCs/>
          <w:sz w:val="36"/>
          <w:szCs w:val="36"/>
        </w:rPr>
        <w:t>，</w:t>
      </w:r>
      <w:r>
        <w:rPr>
          <w:rFonts w:hint="eastAsia" w:ascii="仿宋_GB2312" w:hAnsi="仿宋_GB2312" w:eastAsia="仿宋_GB2312" w:cs="仿宋_GB2312"/>
          <w:sz w:val="36"/>
          <w:szCs w:val="36"/>
        </w:rPr>
        <w:t>加强艾滋病、结核病等传染病防控，做好尘肺病等职业病防治。坚持中西医并重，推动中医药传承创新发展。</w:t>
      </w:r>
    </w:p>
    <w:p>
      <w:pPr>
        <w:spacing w:line="60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深化接诉即办机制。</w:t>
      </w:r>
      <w:r>
        <w:rPr>
          <w:rFonts w:hint="eastAsia" w:ascii="仿宋_GB2312" w:hAnsi="仿宋_GB2312" w:eastAsia="仿宋_GB2312" w:cs="仿宋_GB2312"/>
          <w:sz w:val="36"/>
          <w:szCs w:val="36"/>
        </w:rPr>
        <w:t>持续推动主动治理、未诉先办，加强“每月一题”攻坚克难，深入推进治理类社区（小区）优化提升。把握好精准派单源头环节，发挥协同办理机制作用，推动跨部门、跨领域问题办理更加规范高效。抓好“周周训”、用好“月帮办”，确保每个环节落实到位、规范运行。做好“最美”系列宣传，发挥典型经验示范效应。推进全流程智能化管理，提升数据分析辅助决策能力。</w:t>
      </w:r>
    </w:p>
    <w:p>
      <w:pPr>
        <w:spacing w:line="600" w:lineRule="exact"/>
        <w:ind w:firstLine="723" w:firstLineChars="2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不断夯实基层治理基础。</w:t>
      </w:r>
      <w:r>
        <w:rPr>
          <w:rFonts w:hint="eastAsia" w:ascii="仿宋_GB2312" w:hAnsi="仿宋_GB2312" w:eastAsia="仿宋_GB2312" w:cs="仿宋_GB2312"/>
          <w:sz w:val="36"/>
          <w:szCs w:val="36"/>
        </w:rPr>
        <w:t>坚持党建引领基层治理创新，持续打造“社区党建大讲堂”等党建品牌，深入推进社区书记工作室规范化建设。深化多元协商共治，巩固国家级议事协商标准化示范区成果，再打造30个创新型社区议事厅。拓展“西城家园”平台应用，提高社区治理信息化、智慧化水平。开展“邻里节”“服务进社区”等系列活动，再推出一批区级政务服务先锋样板社区，切实推动群众在社区“能办事、好办事、办成事”。推进街道品牌公共法律服务站试点建设，打通公共法律服务“最后一站”。</w:t>
      </w:r>
    </w:p>
    <w:bookmarkEnd w:id="15"/>
    <w:p>
      <w:pPr>
        <w:widowControl/>
        <w:numPr>
          <w:ilvl w:val="0"/>
          <w:numId w:val="2"/>
        </w:numPr>
        <w:spacing w:line="560" w:lineRule="exact"/>
        <w:ind w:firstLine="720" w:firstLineChars="200"/>
        <w:rPr>
          <w:rFonts w:ascii="楷体_GB2312" w:hAnsi="楷体_GB2312" w:eastAsia="楷体_GB2312" w:cs="楷体_GB2312"/>
          <w:sz w:val="36"/>
          <w:szCs w:val="36"/>
        </w:rPr>
      </w:pPr>
      <w:bookmarkStart w:id="16" w:name="_Hlk152374193"/>
      <w:r>
        <w:rPr>
          <w:rFonts w:hint="eastAsia" w:ascii="楷体_GB2312" w:hAnsi="楷体_GB2312" w:eastAsia="楷体_GB2312" w:cs="楷体_GB2312"/>
          <w:sz w:val="36"/>
          <w:szCs w:val="36"/>
        </w:rPr>
        <w:t>大力优化城市功能与品质，精心打造和谐宜居城市环境</w:t>
      </w:r>
    </w:p>
    <w:p>
      <w:pPr>
        <w:spacing w:line="60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不断完善城市更新模式。</w:t>
      </w:r>
      <w:r>
        <w:rPr>
          <w:rFonts w:hint="eastAsia" w:ascii="仿宋_GB2312" w:hAnsi="仿宋_GB2312" w:eastAsia="仿宋_GB2312" w:cs="仿宋_GB2312"/>
          <w:sz w:val="36"/>
          <w:szCs w:val="36"/>
        </w:rPr>
        <w:t>推进以片区为单元的综合性城市更新，加快推动德内大街品质提升、西单-积水潭桥街区环境整治提升等重点项目。坚持举一反三、以点带面，推动群众急难愁盼问题解决取得阶段性进展，因地制宜实施创造性转化。探索整院“举手式”退租路径模式，完成申请式退租不少于1000户。推进老旧小区综合整治项目38个，完成老楼审核加装电梯20部。推广以模块化集成建造技术开展危旧楼改建的经验做法，实施简易楼解危排险20栋。保障性住房计划竣工1100套。助力生活性服务业品质升级，新建1</w:t>
      </w:r>
      <w:r>
        <w:rPr>
          <w:rFonts w:ascii="仿宋_GB2312" w:hAnsi="仿宋_GB2312" w:eastAsia="仿宋_GB2312" w:cs="仿宋_GB2312"/>
          <w:sz w:val="36"/>
          <w:szCs w:val="36"/>
        </w:rPr>
        <w:t>8</w:t>
      </w:r>
      <w:r>
        <w:rPr>
          <w:rFonts w:hint="eastAsia" w:ascii="仿宋_GB2312" w:hAnsi="仿宋_GB2312" w:eastAsia="仿宋_GB2312" w:cs="仿宋_GB2312"/>
          <w:sz w:val="36"/>
          <w:szCs w:val="36"/>
        </w:rPr>
        <w:t>个“十分钟便民生活圈”</w:t>
      </w:r>
      <w:r>
        <w:rPr>
          <w:rFonts w:hint="eastAsia" w:ascii="仿宋" w:hAnsi="仿宋" w:eastAsia="仿宋" w:cs="仿宋"/>
          <w:sz w:val="36"/>
          <w:szCs w:val="36"/>
        </w:rPr>
        <w:t>，</w:t>
      </w:r>
      <w:r>
        <w:rPr>
          <w:rFonts w:hint="eastAsia" w:ascii="仿宋_GB2312" w:hAnsi="仿宋_GB2312" w:eastAsia="仿宋_GB2312" w:cs="仿宋_GB2312"/>
          <w:sz w:val="36"/>
          <w:szCs w:val="36"/>
        </w:rPr>
        <w:t>试点推进八分钟便民服务体系建设。</w:t>
      </w:r>
    </w:p>
    <w:p>
      <w:pPr>
        <w:spacing w:line="600" w:lineRule="exact"/>
        <w:ind w:firstLine="723" w:firstLineChars="200"/>
        <w:rPr>
          <w:rFonts w:hint="eastAsia" w:ascii="仿宋_GB2312" w:hAnsi="仿宋_GB2312" w:eastAsia="仿宋_GB2312" w:cs="仿宋_GB2312"/>
          <w:b/>
          <w:bCs/>
          <w:sz w:val="36"/>
          <w:szCs w:val="36"/>
          <w:shd w:val="clear" w:color="auto" w:fill="FFFFFF"/>
        </w:rPr>
      </w:pPr>
      <w:r>
        <w:rPr>
          <w:rFonts w:hint="eastAsia" w:ascii="仿宋_GB2312" w:hAnsi="仿宋_GB2312" w:eastAsia="仿宋_GB2312" w:cs="仿宋_GB2312"/>
          <w:b/>
          <w:bCs/>
          <w:sz w:val="36"/>
          <w:szCs w:val="36"/>
        </w:rPr>
        <w:t>深化城市精细化治理。</w:t>
      </w:r>
      <w:bookmarkEnd w:id="16"/>
      <w:r>
        <w:rPr>
          <w:rFonts w:hint="eastAsia" w:ascii="仿宋_GB2312" w:hAnsi="仿宋_GB2312" w:eastAsia="仿宋_GB2312" w:cs="仿宋_GB2312"/>
          <w:sz w:val="36"/>
          <w:szCs w:val="36"/>
        </w:rPr>
        <w:t>加强</w:t>
      </w:r>
      <w:r>
        <w:rPr>
          <w:rFonts w:hint="eastAsia" w:ascii="仿宋_GB2312" w:hAnsi="仿宋_GB2312" w:eastAsia="仿宋_GB2312" w:cs="仿宋_GB2312"/>
          <w:sz w:val="36"/>
          <w:szCs w:val="36"/>
          <w:lang w:val="zh-CN"/>
        </w:rPr>
        <w:t>背街小巷环境精细化治理，打造精品街巷80条、优美街巷370条，“不停车街巷”50条，评选“最美院落”60个，开展全域步道设施体检和提升</w:t>
      </w:r>
      <w:r>
        <w:rPr>
          <w:rFonts w:hint="eastAsia" w:ascii="仿宋_GB2312" w:hAnsi="仿宋_GB2312" w:eastAsia="仿宋_GB2312" w:cs="仿宋_GB2312"/>
          <w:sz w:val="36"/>
          <w:szCs w:val="36"/>
        </w:rPr>
        <w:t>。</w:t>
      </w:r>
      <w:bookmarkStart w:id="17" w:name="_Hlk152374138"/>
      <w:r>
        <w:rPr>
          <w:rFonts w:hint="eastAsia" w:ascii="仿宋_GB2312" w:hAnsi="仿宋_GB2312" w:eastAsia="仿宋_GB2312" w:cs="仿宋_GB2312"/>
          <w:sz w:val="36"/>
          <w:szCs w:val="36"/>
          <w:lang w:val="zh-CN"/>
        </w:rPr>
        <w:t>加强“城市家具”优化提升和“第五立面”规划设计</w:t>
      </w:r>
      <w:r>
        <w:rPr>
          <w:rFonts w:hint="eastAsia" w:ascii="仿宋_GB2312" w:hAnsi="仿宋_GB2312" w:eastAsia="仿宋_GB2312" w:cs="仿宋_GB2312"/>
          <w:sz w:val="36"/>
          <w:szCs w:val="36"/>
        </w:rPr>
        <w:t>，持续装点提升城市景观风貌。</w:t>
      </w:r>
      <w:bookmarkEnd w:id="17"/>
      <w:r>
        <w:rPr>
          <w:rFonts w:hint="eastAsia" w:ascii="仿宋_GB2312" w:hAnsi="仿宋_GB2312" w:eastAsia="仿宋_GB2312" w:cs="仿宋_GB2312"/>
          <w:sz w:val="36"/>
          <w:szCs w:val="36"/>
        </w:rPr>
        <w:t>积极推进停车设施建设，完成5座立体停车设施建设，新增1000个有偿错时共享车位，不断完善智慧停车平台。稳步推进新能源汽车充电示范区建设，做好充电桩建设规划布局。继续推进学校医院旅游景区周边交通综合治理，实施5条道路大中修，改善交通环境秩序。</w:t>
      </w:r>
    </w:p>
    <w:p>
      <w:pPr>
        <w:tabs>
          <w:tab w:val="left" w:pos="8364"/>
        </w:tabs>
        <w:spacing w:line="600" w:lineRule="exact"/>
        <w:ind w:firstLine="723" w:firstLineChars="200"/>
        <w:rPr>
          <w:rFonts w:hint="eastAsia" w:ascii="仿宋_GB2312" w:hAnsi="仿宋_GB2312" w:eastAsia="仿宋_GB2312" w:cs="仿宋_GB2312"/>
          <w:b/>
          <w:bCs/>
          <w:sz w:val="36"/>
          <w:szCs w:val="36"/>
          <w:shd w:val="clear" w:color="auto" w:fill="FFFFFF"/>
        </w:rPr>
      </w:pPr>
      <w:r>
        <w:rPr>
          <w:rFonts w:hint="eastAsia" w:ascii="仿宋_GB2312" w:hAnsi="仿宋_GB2312" w:eastAsia="仿宋_GB2312" w:cs="仿宋_GB2312"/>
          <w:b/>
          <w:bCs/>
          <w:sz w:val="36"/>
          <w:szCs w:val="36"/>
        </w:rPr>
        <w:t>全力推动绿色低碳转型。</w:t>
      </w:r>
      <w:r>
        <w:rPr>
          <w:rFonts w:hint="eastAsia" w:ascii="仿宋_GB2312" w:hAnsi="仿宋_GB2312" w:eastAsia="仿宋_GB2312" w:cs="仿宋_GB2312"/>
          <w:sz w:val="36"/>
          <w:szCs w:val="36"/>
        </w:rPr>
        <w:t>持续打好污染防治攻坚战，坚决做好第二轮北京市生态环境保护督察问题整改，完善扬尘管控工作长效机制，全力巩固空气质量改善成效。</w:t>
      </w:r>
      <w:r>
        <w:rPr>
          <w:rFonts w:hint="eastAsia" w:ascii="仿宋_GB2312" w:hAnsi="仿宋_GB2312" w:eastAsia="仿宋_GB2312" w:cs="仿宋_GB2312"/>
          <w:bCs/>
          <w:sz w:val="36"/>
          <w:szCs w:val="36"/>
        </w:rPr>
        <w:t>确保断面水质达标率和重点建设用地安全利用率保持100%。因地制宜推进“留白增绿”，新建及改造城市绿地15公顷，新增屋顶绿化5000平方米、垂直绿化500延长米。精心建设“花园城市”，新建3处口袋公园、4处全龄友好公园，创建1个花园式社区和2个花园式单位。在金融街地区打造零碳总部基地，打造更多100%绿电大楼、“零碳”公共楼宇、公共空间，坚定有序、积极稳妥推进碳达峰、碳中和。</w:t>
      </w:r>
    </w:p>
    <w:p>
      <w:pPr>
        <w:spacing w:line="600" w:lineRule="exact"/>
        <w:ind w:firstLine="723" w:firstLineChars="200"/>
        <w:rPr>
          <w:rFonts w:hint="eastAsia" w:ascii="仿宋_GB2312" w:hAnsi="仿宋_GB2312" w:eastAsia="仿宋_GB2312" w:cs="仿宋_GB2312"/>
          <w:b/>
          <w:bCs/>
          <w:sz w:val="36"/>
          <w:szCs w:val="36"/>
          <w:shd w:val="clear" w:color="auto" w:fill="FFFFFF"/>
        </w:rPr>
      </w:pPr>
      <w:r>
        <w:rPr>
          <w:rFonts w:hint="eastAsia" w:ascii="仿宋_GB2312" w:hAnsi="仿宋_GB2312" w:eastAsia="仿宋_GB2312" w:cs="仿宋_GB2312"/>
          <w:b/>
          <w:bCs/>
          <w:sz w:val="36"/>
          <w:szCs w:val="36"/>
        </w:rPr>
        <w:t>坚持抓好两件“关键小事”。</w:t>
      </w:r>
      <w:r>
        <w:rPr>
          <w:rFonts w:hint="eastAsia" w:ascii="仿宋_GB2312" w:hAnsi="仿宋_GB2312" w:eastAsia="仿宋_GB2312" w:cs="仿宋_GB2312"/>
          <w:sz w:val="36"/>
          <w:szCs w:val="36"/>
        </w:rPr>
        <w:t>健全党建引领社区治理框架下的物业管理体系，进一步提高业委会（物管会）履职能力，有效破解老旧小区物业管理难题。加大物业行业监管力度，发挥物业行业党委、物业管理协会作用，用好物业企业服务评价激励机制，进一步提升物业服务质量。深化生活垃圾分类，创建示范类小区260个、达标类小区500个，巩固居民垃圾分类习惯。加强全链条科学管理，推进废弃物资源循环利用，不断提升垃圾减量化、资源化水平。</w:t>
      </w:r>
    </w:p>
    <w:p>
      <w:pPr>
        <w:widowControl/>
        <w:numPr>
          <w:ilvl w:val="0"/>
          <w:numId w:val="2"/>
        </w:numPr>
        <w:spacing w:line="560" w:lineRule="exact"/>
        <w:ind w:firstLine="720" w:firstLineChars="200"/>
        <w:rPr>
          <w:rFonts w:ascii="楷体_GB2312" w:hAnsi="楷体_GB2312" w:eastAsia="楷体_GB2312" w:cs="楷体_GB2312"/>
          <w:sz w:val="36"/>
          <w:szCs w:val="36"/>
        </w:rPr>
      </w:pPr>
      <w:r>
        <w:rPr>
          <w:rFonts w:hint="eastAsia" w:ascii="楷体_GB2312" w:hAnsi="楷体_GB2312" w:eastAsia="楷体_GB2312" w:cs="楷体_GB2312"/>
          <w:sz w:val="36"/>
          <w:szCs w:val="36"/>
        </w:rPr>
        <w:t>培育壮大优质文化供给，坚定推动文化强区建设</w:t>
      </w:r>
    </w:p>
    <w:p>
      <w:pPr>
        <w:snapToGrid w:val="0"/>
        <w:spacing w:line="600" w:lineRule="exact"/>
        <w:ind w:firstLine="723" w:firstLineChars="2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大力培育和践行社会主义核心价值观。</w:t>
      </w:r>
      <w:r>
        <w:rPr>
          <w:rFonts w:hint="eastAsia" w:ascii="仿宋_GB2312" w:hAnsi="仿宋" w:eastAsia="仿宋_GB2312" w:cs="Courier New"/>
          <w:sz w:val="36"/>
          <w:szCs w:val="36"/>
        </w:rPr>
        <w:t>坚持以文育城、以文化人，</w:t>
      </w:r>
      <w:r>
        <w:rPr>
          <w:rFonts w:hint="eastAsia" w:ascii="仿宋_GB2312" w:hAnsi="仿宋_GB2312" w:eastAsia="仿宋_GB2312" w:cs="仿宋_GB2312"/>
          <w:sz w:val="36"/>
          <w:szCs w:val="36"/>
        </w:rPr>
        <w:t>深化新时代文明实践和“创城伙伴计划”系列活动，发挥道德模范典型示范作用，建设更高水平的全国文明城区。广泛开展群众性主题宣传教育活动，推动党的创新理论进万家。盘活各类红色资源，加强新时代爱国主义教育，更好凝聚人心、汇聚民智。</w:t>
      </w:r>
    </w:p>
    <w:p>
      <w:pPr>
        <w:snapToGrid w:val="0"/>
        <w:spacing w:line="600" w:lineRule="exact"/>
        <w:ind w:firstLine="723" w:firstLineChars="200"/>
        <w:rPr>
          <w:rFonts w:eastAsia="仿宋_GB2312"/>
          <w:sz w:val="36"/>
          <w:szCs w:val="36"/>
        </w:rPr>
      </w:pPr>
      <w:r>
        <w:rPr>
          <w:rFonts w:hint="eastAsia" w:ascii="仿宋_GB2312" w:hAnsi="仿宋_GB2312" w:eastAsia="仿宋_GB2312" w:cs="仿宋_GB2312"/>
          <w:b/>
          <w:bCs/>
          <w:sz w:val="36"/>
          <w:szCs w:val="36"/>
        </w:rPr>
        <w:t>有序推动老城整体保护与复兴。</w:t>
      </w:r>
      <w:r>
        <w:rPr>
          <w:rFonts w:hint="eastAsia" w:ascii="仿宋_GB2312" w:hAnsi="仿宋_GB2312" w:eastAsia="仿宋_GB2312" w:cs="仿宋_GB2312"/>
          <w:sz w:val="36"/>
          <w:szCs w:val="36"/>
        </w:rPr>
        <w:t>持续推进文物腾退修缮保护，启动北新华街110号院</w:t>
      </w:r>
      <w:r>
        <w:rPr>
          <w:rFonts w:hint="eastAsia" w:ascii="仿宋_GB2312" w:hAnsi="仿宋_GB2312" w:eastAsia="仿宋_GB2312" w:cs="仿宋_GB2312"/>
          <w:sz w:val="36"/>
          <w:szCs w:val="36"/>
          <w:lang w:eastAsia="zh-CN"/>
        </w:rPr>
        <w:t>等</w:t>
      </w:r>
      <w:r>
        <w:rPr>
          <w:rFonts w:hint="eastAsia" w:ascii="仿宋_GB2312" w:hAnsi="仿宋_GB2312" w:eastAsia="仿宋_GB2312" w:cs="仿宋_GB2312"/>
          <w:sz w:val="36"/>
          <w:szCs w:val="36"/>
        </w:rPr>
        <w:t>2处文物腾退，完成3处文物修缮。探索文物建筑活化利用3.0新模式，推动3处已签约项目对社会开放。推进“博物馆之城”建设，鼓励老字号企业备案注册博物馆，再培育2家“类博物馆”。创新非遗保护传承手段，推动琉璃厂申报全国首批非遗保护街区，</w:t>
      </w:r>
      <w:r>
        <w:rPr>
          <w:rFonts w:hint="eastAsia" w:ascii="仿宋_GB2312" w:hAnsi="Tahoma" w:eastAsia="仿宋_GB2312" w:cs="Tahoma"/>
          <w:sz w:val="36"/>
          <w:szCs w:val="36"/>
        </w:rPr>
        <w:t>办好厂甸庙会等系列活动</w:t>
      </w:r>
      <w:r>
        <w:rPr>
          <w:rFonts w:hint="eastAsia" w:ascii="仿宋_GB2312" w:hAnsi="仿宋_GB2312" w:eastAsia="仿宋_GB2312" w:cs="仿宋_GB2312"/>
          <w:sz w:val="36"/>
          <w:szCs w:val="36"/>
        </w:rPr>
        <w:t>。</w:t>
      </w:r>
    </w:p>
    <w:p>
      <w:pPr>
        <w:snapToGrid w:val="0"/>
        <w:spacing w:line="60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积极提升公共文化服务效能。</w:t>
      </w:r>
      <w:r>
        <w:rPr>
          <w:rFonts w:hint="eastAsia" w:ascii="仿宋_GB2312" w:hAnsi="仿宋_GB2312" w:eastAsia="仿宋_GB2312" w:cs="仿宋_GB2312"/>
          <w:bCs/>
          <w:sz w:val="36"/>
          <w:szCs w:val="36"/>
        </w:rPr>
        <w:t>高标准建设公共文化服务体系示范区</w:t>
      </w:r>
      <w:r>
        <w:rPr>
          <w:rFonts w:hint="eastAsia" w:ascii="仿宋_GB2312" w:hAnsi="仿宋_GB2312" w:eastAsia="仿宋_GB2312" w:cs="仿宋_GB2312"/>
          <w:sz w:val="36"/>
          <w:szCs w:val="36"/>
        </w:rPr>
        <w:t>，完成全年1165场演出任务。加强与国家大剧院等央地、市地文化资源及平台合作，</w:t>
      </w:r>
      <w:r>
        <w:rPr>
          <w:rFonts w:hint="eastAsia" w:ascii="仿宋_GB2312" w:hAnsi="仿宋_GB2312" w:eastAsia="仿宋_GB2312" w:cs="仿宋_GB2312"/>
          <w:bCs/>
          <w:sz w:val="36"/>
          <w:szCs w:val="36"/>
        </w:rPr>
        <w:t>促进文艺精品创作和成果转化。持续擦亮“中国（北京）动画周”“京剧发祥地”“相声发源地”“运河北端点”“音乐剧盛典”“报国寺古旧书市”六张文化金名片，全力打造“白塔夜话”“宣南文化博物馆”“百年丁香诗会”三大文化会客厅，为群众提供更加丰富优质的文化体验</w:t>
      </w:r>
      <w:r>
        <w:rPr>
          <w:rFonts w:hint="eastAsia" w:ascii="仿宋_GB2312" w:hAnsi="仿宋_GB2312" w:eastAsia="仿宋_GB2312" w:cs="仿宋_GB2312"/>
          <w:sz w:val="36"/>
          <w:szCs w:val="36"/>
        </w:rPr>
        <w:t>。深入开展“书香西城”建设，加强“悦读湾”分级分类精细化和规范化管理，实现6个“悦读湾”挂牌。</w:t>
      </w:r>
    </w:p>
    <w:p>
      <w:pPr>
        <w:snapToGrid w:val="0"/>
        <w:spacing w:line="600" w:lineRule="exact"/>
        <w:ind w:firstLine="723" w:firstLineChars="200"/>
        <w:rPr>
          <w:rFonts w:hint="eastAsia"/>
          <w:sz w:val="36"/>
          <w:szCs w:val="36"/>
        </w:rPr>
      </w:pPr>
      <w:r>
        <w:rPr>
          <w:rFonts w:hint="eastAsia" w:ascii="仿宋_GB2312" w:hAnsi="仿宋_GB2312" w:eastAsia="仿宋_GB2312" w:cs="仿宋_GB2312"/>
          <w:b/>
          <w:bCs/>
          <w:sz w:val="36"/>
          <w:szCs w:val="36"/>
        </w:rPr>
        <w:t>持续培育文化产业发展动能。</w:t>
      </w:r>
      <w:r>
        <w:rPr>
          <w:rFonts w:hint="eastAsia" w:ascii="仿宋_GB2312" w:hAnsi="仿宋_GB2312" w:eastAsia="仿宋_GB2312" w:cs="仿宋_GB2312"/>
          <w:sz w:val="36"/>
          <w:szCs w:val="36"/>
        </w:rPr>
        <w:t>用足用好“文化产业十条”，深入实施文化产业高质量发展三年行动计划，加强数字文化产业园区和特色基地建设，重点打造“东有巨人港、西有马连道、南有泛动画、北有科创巢、中有联盟链”文化产业发展五大资源贯通、生态服务、价值孵化群落。精心组织</w:t>
      </w:r>
      <w:r>
        <w:rPr>
          <w:rFonts w:hint="eastAsia" w:ascii="仿宋_GB2312" w:hAnsi="仿宋" w:eastAsia="仿宋_GB2312" w:cs="Times New Roman"/>
          <w:sz w:val="36"/>
          <w:szCs w:val="36"/>
        </w:rPr>
        <w:t>“打卡鼓西、漫步斜街”等系列活动，打造更多文化消费品牌，</w:t>
      </w:r>
      <w:r>
        <w:rPr>
          <w:rFonts w:hint="eastAsia" w:ascii="仿宋_GB2312" w:hAnsi="仿宋_GB2312" w:eastAsia="仿宋_GB2312" w:cs="仿宋_GB2312"/>
          <w:sz w:val="36"/>
          <w:szCs w:val="36"/>
        </w:rPr>
        <w:t>激发文化创新创造潜力。完成6家“演艺新空间”认定授牌，打造演艺集聚区和特色演艺群落，促进文商旅深度融合发展。</w:t>
      </w:r>
    </w:p>
    <w:p>
      <w:pPr>
        <w:snapToGrid w:val="0"/>
        <w:spacing w:line="60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各位代表，202</w:t>
      </w:r>
      <w:r>
        <w:rPr>
          <w:rFonts w:ascii="仿宋_GB2312" w:hAnsi="仿宋_GB2312" w:eastAsia="仿宋_GB2312" w:cs="仿宋_GB2312"/>
          <w:sz w:val="36"/>
          <w:szCs w:val="36"/>
        </w:rPr>
        <w:t>4</w:t>
      </w:r>
      <w:r>
        <w:rPr>
          <w:rFonts w:hint="eastAsia" w:ascii="仿宋_GB2312" w:hAnsi="仿宋_GB2312" w:eastAsia="仿宋_GB2312" w:cs="仿宋_GB2312"/>
          <w:sz w:val="36"/>
          <w:szCs w:val="36"/>
        </w:rPr>
        <w:t>年任务更加艰巨而繁重，我们要更加紧密地团结在以习近平同志为核心的党中央周围，全面贯彻习近平新时代中国特色社会主义思想，深刻领会“两个确立”的决定性意义，增强“四个意识”、坚定“四个自信”、做到“两个维护”，在市委、市政府和区委的坚强领导下，自觉接受人民代表大会指导监督，积极听取人民政协意见建议，创新思路、开拓进取，奋发有为、真抓实干，以“红墙先锋”新作为、“首善之首”高标准，全力实现经济社会发展各项目标任务，奋力谱写中国式现代化西城实践新篇章！</w:t>
      </w:r>
    </w:p>
    <w:p>
      <w:pPr>
        <w:snapToGrid w:val="0"/>
        <w:spacing w:line="60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以上报告，请予审议。</w:t>
      </w:r>
    </w:p>
    <w:p>
      <w:pPr>
        <w:snapToGrid w:val="0"/>
        <w:spacing w:line="600" w:lineRule="exact"/>
        <w:ind w:left="2158" w:leftChars="342" w:hanging="1440" w:hangingChars="400"/>
        <w:rPr>
          <w:rFonts w:hint="eastAsia" w:ascii="仿宋_GB2312" w:hAnsi="仿宋_GB2312" w:eastAsia="仿宋_GB2312" w:cs="仿宋_GB2312"/>
          <w:sz w:val="36"/>
          <w:szCs w:val="36"/>
        </w:rPr>
      </w:pPr>
    </w:p>
    <w:p>
      <w:pPr>
        <w:snapToGrid w:val="0"/>
        <w:spacing w:line="600" w:lineRule="exact"/>
        <w:ind w:left="2078" w:leftChars="304" w:hanging="1440" w:hangingChars="4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附件：1.西城区2024年国民经济和社会发展计划表</w:t>
      </w:r>
    </w:p>
    <w:p>
      <w:pPr>
        <w:snapToGrid w:val="0"/>
        <w:spacing w:line="600" w:lineRule="exact"/>
        <w:ind w:left="1470" w:leftChars="700" w:firstLine="360" w:firstLineChars="1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2.名词解释</w:t>
      </w:r>
    </w:p>
    <w:p>
      <w:pPr>
        <w:pStyle w:val="4"/>
        <w:spacing w:line="600" w:lineRule="exact"/>
        <w:rPr>
          <w:rFonts w:hint="eastAsia"/>
        </w:rPr>
      </w:pPr>
    </w:p>
    <w:p>
      <w:pPr>
        <w:pStyle w:val="5"/>
        <w:rPr>
          <w:rFonts w:hint="eastAsia"/>
        </w:rPr>
        <w:sectPr>
          <w:footerReference r:id="rId3" w:type="default"/>
          <w:pgSz w:w="11906" w:h="16838"/>
          <w:pgMar w:top="1701" w:right="1701" w:bottom="1701" w:left="1701" w:header="1417" w:footer="1417" w:gutter="0"/>
          <w:cols w:space="720" w:num="1"/>
          <w:docGrid w:type="lines" w:linePitch="312" w:charSpace="0"/>
        </w:sectPr>
      </w:pPr>
    </w:p>
    <w:p>
      <w:pPr>
        <w:snapToGrid w:val="0"/>
        <w:spacing w:line="600" w:lineRule="exact"/>
        <w:rPr>
          <w:rFonts w:hint="eastAsia" w:ascii="方正小标宋简体" w:hAnsi="方正小标宋简体" w:eastAsia="方正小标宋简体" w:cs="方正小标宋简体"/>
          <w:sz w:val="36"/>
          <w:szCs w:val="36"/>
        </w:rPr>
      </w:pPr>
      <w:r>
        <w:rPr>
          <w:rFonts w:hint="eastAsia" w:ascii="黑体" w:hAnsi="黑体" w:eastAsia="黑体" w:cs="黑体"/>
          <w:sz w:val="36"/>
          <w:szCs w:val="36"/>
        </w:rPr>
        <w:t>附件1</w:t>
      </w:r>
    </w:p>
    <w:p>
      <w:pPr>
        <w:spacing w:line="68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西城区2024年国民经济和社会发展计划表</w:t>
      </w:r>
    </w:p>
    <w:tbl>
      <w:tblPr>
        <w:tblStyle w:val="13"/>
        <w:tblW w:w="90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650"/>
        <w:gridCol w:w="2028"/>
        <w:gridCol w:w="2488"/>
        <w:gridCol w:w="1530"/>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789" w:type="dxa"/>
            <w:noWrap w:val="0"/>
            <w:vAlign w:val="center"/>
          </w:tcPr>
          <w:p>
            <w:pPr>
              <w:widowControl/>
              <w:spacing w:line="240" w:lineRule="exact"/>
              <w:jc w:val="center"/>
              <w:rPr>
                <w:rFonts w:ascii="宋体" w:cs="Times New Roman"/>
                <w:b/>
                <w:bCs/>
                <w:kern w:val="0"/>
              </w:rPr>
            </w:pPr>
            <w:r>
              <w:rPr>
                <w:rFonts w:hint="eastAsia" w:ascii="宋体" w:hAnsi="宋体" w:cs="宋体"/>
                <w:b/>
                <w:bCs/>
                <w:kern w:val="0"/>
              </w:rPr>
              <w:t>评价维度</w:t>
            </w:r>
          </w:p>
        </w:tc>
        <w:tc>
          <w:tcPr>
            <w:tcW w:w="650" w:type="dxa"/>
            <w:noWrap w:val="0"/>
            <w:vAlign w:val="center"/>
          </w:tcPr>
          <w:p>
            <w:pPr>
              <w:widowControl/>
              <w:spacing w:line="240" w:lineRule="exact"/>
              <w:jc w:val="center"/>
              <w:rPr>
                <w:rFonts w:ascii="宋体" w:cs="Times New Roman"/>
                <w:b/>
                <w:bCs/>
                <w:kern w:val="0"/>
              </w:rPr>
            </w:pPr>
            <w:r>
              <w:rPr>
                <w:rFonts w:hint="eastAsia" w:ascii="宋体" w:hAnsi="宋体" w:cs="宋体"/>
                <w:b/>
                <w:bCs/>
                <w:kern w:val="0"/>
              </w:rPr>
              <w:t>序号</w:t>
            </w:r>
          </w:p>
        </w:tc>
        <w:tc>
          <w:tcPr>
            <w:tcW w:w="4516" w:type="dxa"/>
            <w:gridSpan w:val="2"/>
            <w:tcBorders>
              <w:left w:val="nil"/>
            </w:tcBorders>
            <w:noWrap w:val="0"/>
            <w:vAlign w:val="center"/>
          </w:tcPr>
          <w:p>
            <w:pPr>
              <w:widowControl/>
              <w:spacing w:line="240" w:lineRule="exact"/>
              <w:jc w:val="center"/>
              <w:rPr>
                <w:rFonts w:hint="eastAsia" w:ascii="宋体" w:cs="Times New Roman"/>
                <w:b/>
                <w:bCs/>
                <w:kern w:val="0"/>
              </w:rPr>
            </w:pPr>
            <w:r>
              <w:rPr>
                <w:rFonts w:hint="eastAsia" w:ascii="宋体" w:hAnsi="宋体" w:cs="宋体"/>
                <w:b/>
                <w:bCs/>
                <w:kern w:val="0"/>
              </w:rPr>
              <w:t>指标名称</w:t>
            </w:r>
          </w:p>
        </w:tc>
        <w:tc>
          <w:tcPr>
            <w:tcW w:w="1530" w:type="dxa"/>
            <w:tcBorders>
              <w:left w:val="nil"/>
            </w:tcBorders>
            <w:noWrap w:val="0"/>
            <w:vAlign w:val="center"/>
          </w:tcPr>
          <w:p>
            <w:pPr>
              <w:widowControl/>
              <w:spacing w:line="240" w:lineRule="exact"/>
              <w:jc w:val="center"/>
              <w:rPr>
                <w:rFonts w:hint="eastAsia" w:ascii="宋体" w:hAnsi="宋体" w:cs="宋体"/>
                <w:b/>
                <w:bCs/>
                <w:kern w:val="0"/>
              </w:rPr>
            </w:pPr>
            <w:r>
              <w:rPr>
                <w:rFonts w:hint="eastAsia" w:ascii="宋体" w:hAnsi="宋体" w:cs="宋体"/>
                <w:b/>
                <w:bCs/>
                <w:kern w:val="0"/>
              </w:rPr>
              <w:t>2024年</w:t>
            </w:r>
          </w:p>
          <w:p>
            <w:pPr>
              <w:widowControl/>
              <w:spacing w:line="240" w:lineRule="exact"/>
              <w:jc w:val="center"/>
              <w:rPr>
                <w:rFonts w:ascii="宋体" w:hAnsi="宋体" w:cs="宋体"/>
                <w:b/>
                <w:bCs/>
                <w:kern w:val="0"/>
              </w:rPr>
            </w:pPr>
            <w:r>
              <w:rPr>
                <w:rFonts w:hint="eastAsia" w:ascii="宋体" w:hAnsi="宋体" w:cs="宋体"/>
                <w:b/>
                <w:bCs/>
                <w:kern w:val="0"/>
              </w:rPr>
              <w:t>计划</w:t>
            </w:r>
          </w:p>
        </w:tc>
        <w:tc>
          <w:tcPr>
            <w:tcW w:w="1520" w:type="dxa"/>
            <w:tcBorders>
              <w:left w:val="nil"/>
            </w:tcBorders>
            <w:noWrap w:val="0"/>
            <w:vAlign w:val="center"/>
          </w:tcPr>
          <w:p>
            <w:pPr>
              <w:widowControl/>
              <w:spacing w:line="240" w:lineRule="exact"/>
              <w:jc w:val="center"/>
              <w:rPr>
                <w:rFonts w:hint="eastAsia" w:ascii="宋体" w:hAnsi="宋体" w:cs="宋体"/>
                <w:b/>
                <w:bCs/>
                <w:kern w:val="0"/>
              </w:rPr>
            </w:pPr>
            <w:r>
              <w:rPr>
                <w:rFonts w:hint="eastAsia" w:ascii="宋体" w:hAnsi="宋体" w:cs="宋体"/>
                <w:b/>
                <w:bCs/>
                <w:kern w:val="0"/>
                <w:szCs w:val="21"/>
                <w:u w:val="none"/>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9" w:type="dxa"/>
            <w:vMerge w:val="restart"/>
            <w:noWrap w:val="0"/>
            <w:vAlign w:val="center"/>
          </w:tcPr>
          <w:p>
            <w:pPr>
              <w:widowControl/>
              <w:spacing w:line="240" w:lineRule="exact"/>
              <w:jc w:val="center"/>
              <w:rPr>
                <w:rFonts w:ascii="宋体" w:cs="Times New Roman"/>
                <w:kern w:val="0"/>
              </w:rPr>
            </w:pPr>
            <w:r>
              <w:rPr>
                <w:rFonts w:hint="eastAsia" w:ascii="宋体" w:hAnsi="宋体" w:cs="宋体"/>
                <w:kern w:val="0"/>
              </w:rPr>
              <w:t>创新发展</w:t>
            </w:r>
          </w:p>
        </w:tc>
        <w:tc>
          <w:tcPr>
            <w:tcW w:w="650" w:type="dxa"/>
            <w:noWrap w:val="0"/>
            <w:vAlign w:val="center"/>
          </w:tcPr>
          <w:p>
            <w:pPr>
              <w:widowControl/>
              <w:spacing w:line="240" w:lineRule="exact"/>
              <w:jc w:val="center"/>
              <w:textAlignment w:val="center"/>
              <w:rPr>
                <w:rFonts w:ascii="宋体" w:hAnsi="宋体" w:cs="宋体"/>
                <w:kern w:val="0"/>
              </w:rPr>
            </w:pPr>
            <w:r>
              <w:rPr>
                <w:rFonts w:ascii="宋体" w:hAnsi="宋体" w:cs="宋体"/>
                <w:kern w:val="0"/>
              </w:rPr>
              <w:t>1</w:t>
            </w:r>
          </w:p>
        </w:tc>
        <w:tc>
          <w:tcPr>
            <w:tcW w:w="4516" w:type="dxa"/>
            <w:gridSpan w:val="2"/>
            <w:tcBorders>
              <w:left w:val="nil"/>
            </w:tcBorders>
            <w:noWrap w:val="0"/>
            <w:vAlign w:val="center"/>
          </w:tcPr>
          <w:p>
            <w:pPr>
              <w:widowControl/>
              <w:spacing w:line="240" w:lineRule="exact"/>
              <w:jc w:val="left"/>
              <w:textAlignment w:val="center"/>
              <w:rPr>
                <w:rFonts w:ascii="宋体" w:cs="Times New Roman"/>
              </w:rPr>
            </w:pPr>
            <w:r>
              <w:rPr>
                <w:rFonts w:hint="eastAsia" w:ascii="宋体" w:hAnsi="宋体" w:cs="宋体"/>
                <w:kern w:val="0"/>
              </w:rPr>
              <w:t>全员劳动生产率（万元</w:t>
            </w:r>
            <w:r>
              <w:rPr>
                <w:rFonts w:ascii="宋体" w:hAnsi="宋体" w:cs="宋体"/>
                <w:kern w:val="0"/>
              </w:rPr>
              <w:t>/</w:t>
            </w:r>
            <w:r>
              <w:rPr>
                <w:rFonts w:hint="eastAsia" w:ascii="宋体" w:hAnsi="宋体" w:cs="宋体"/>
                <w:kern w:val="0"/>
              </w:rPr>
              <w:t>人）</w:t>
            </w:r>
          </w:p>
        </w:tc>
        <w:tc>
          <w:tcPr>
            <w:tcW w:w="1530" w:type="dxa"/>
            <w:tcBorders>
              <w:left w:val="nil"/>
            </w:tcBorders>
            <w:noWrap w:val="0"/>
            <w:vAlign w:val="center"/>
          </w:tcPr>
          <w:p>
            <w:pPr>
              <w:widowControl/>
              <w:spacing w:line="240" w:lineRule="exact"/>
              <w:jc w:val="center"/>
              <w:textAlignment w:val="center"/>
              <w:rPr>
                <w:rFonts w:ascii="宋体" w:cs="宋体"/>
                <w:sz w:val="20"/>
                <w:szCs w:val="20"/>
              </w:rPr>
            </w:pPr>
            <w:r>
              <w:rPr>
                <w:rFonts w:hint="eastAsia" w:ascii="宋体" w:cs="宋体"/>
                <w:sz w:val="20"/>
                <w:szCs w:val="20"/>
              </w:rPr>
              <w:t>-</w:t>
            </w:r>
          </w:p>
        </w:tc>
        <w:tc>
          <w:tcPr>
            <w:tcW w:w="1520" w:type="dxa"/>
            <w:tcBorders>
              <w:left w:val="nil"/>
            </w:tcBorders>
            <w:noWrap w:val="0"/>
            <w:vAlign w:val="center"/>
          </w:tcPr>
          <w:p>
            <w:pPr>
              <w:widowControl/>
              <w:jc w:val="center"/>
              <w:textAlignment w:val="center"/>
              <w:rPr>
                <w:rFonts w:hint="eastAsia" w:ascii="宋体" w:cs="宋体"/>
                <w:sz w:val="20"/>
                <w:szCs w:val="20"/>
              </w:rPr>
            </w:pPr>
            <w:r>
              <w:rPr>
                <w:rFonts w:hint="eastAsia" w:ascii="宋体" w:cs="宋体"/>
                <w:szCs w:val="21"/>
                <w:u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9" w:type="dxa"/>
            <w:vMerge w:val="continue"/>
            <w:noWrap w:val="0"/>
            <w:vAlign w:val="center"/>
          </w:tcPr>
          <w:p>
            <w:pPr>
              <w:widowControl/>
              <w:spacing w:line="240" w:lineRule="exact"/>
              <w:ind w:firstLine="420"/>
              <w:jc w:val="center"/>
              <w:rPr>
                <w:rFonts w:ascii="宋体" w:cs="Times New Roman"/>
                <w:kern w:val="0"/>
              </w:rPr>
            </w:pPr>
          </w:p>
        </w:tc>
        <w:tc>
          <w:tcPr>
            <w:tcW w:w="650" w:type="dxa"/>
            <w:noWrap w:val="0"/>
            <w:vAlign w:val="center"/>
          </w:tcPr>
          <w:p>
            <w:pPr>
              <w:widowControl/>
              <w:spacing w:line="240" w:lineRule="exact"/>
              <w:jc w:val="center"/>
              <w:textAlignment w:val="center"/>
              <w:rPr>
                <w:rFonts w:ascii="宋体" w:hAnsi="宋体" w:cs="宋体"/>
                <w:kern w:val="0"/>
              </w:rPr>
            </w:pPr>
            <w:r>
              <w:rPr>
                <w:rFonts w:ascii="宋体" w:hAnsi="宋体" w:cs="宋体"/>
                <w:kern w:val="0"/>
              </w:rPr>
              <w:t>2</w:t>
            </w:r>
          </w:p>
        </w:tc>
        <w:tc>
          <w:tcPr>
            <w:tcW w:w="4516" w:type="dxa"/>
            <w:gridSpan w:val="2"/>
            <w:tcBorders>
              <w:left w:val="nil"/>
            </w:tcBorders>
            <w:noWrap w:val="0"/>
            <w:vAlign w:val="center"/>
          </w:tcPr>
          <w:p>
            <w:pPr>
              <w:widowControl/>
              <w:spacing w:line="240" w:lineRule="exact"/>
              <w:jc w:val="left"/>
              <w:textAlignment w:val="center"/>
              <w:rPr>
                <w:rFonts w:ascii="宋体" w:cs="Times New Roman"/>
              </w:rPr>
            </w:pPr>
            <w:r>
              <w:rPr>
                <w:rFonts w:hint="eastAsia" w:ascii="宋体" w:hAnsi="宋体" w:cs="宋体"/>
                <w:kern w:val="0"/>
              </w:rPr>
              <w:t>地区生产总值增速（</w:t>
            </w:r>
            <w:r>
              <w:rPr>
                <w:rFonts w:ascii="宋体" w:hAnsi="宋体" w:cs="宋体"/>
                <w:kern w:val="0"/>
              </w:rPr>
              <w:t>%</w:t>
            </w:r>
            <w:r>
              <w:rPr>
                <w:rFonts w:hint="eastAsia" w:ascii="宋体" w:hAnsi="宋体" w:cs="宋体"/>
                <w:kern w:val="0"/>
              </w:rPr>
              <w:t>）</w:t>
            </w:r>
          </w:p>
        </w:tc>
        <w:tc>
          <w:tcPr>
            <w:tcW w:w="1530" w:type="dxa"/>
            <w:tcBorders>
              <w:left w:val="nil"/>
            </w:tcBorders>
            <w:noWrap w:val="0"/>
            <w:vAlign w:val="center"/>
          </w:tcPr>
          <w:p>
            <w:pPr>
              <w:widowControl/>
              <w:spacing w:line="240" w:lineRule="exact"/>
              <w:jc w:val="center"/>
              <w:textAlignment w:val="center"/>
              <w:rPr>
                <w:rFonts w:hint="eastAsia" w:ascii="宋体" w:hAnsi="宋体" w:cs="宋体"/>
                <w:sz w:val="20"/>
                <w:szCs w:val="20"/>
              </w:rPr>
            </w:pPr>
            <w:r>
              <w:rPr>
                <w:rFonts w:hint="eastAsia" w:ascii="宋体" w:hAnsi="宋体" w:cs="宋体"/>
                <w:sz w:val="20"/>
                <w:szCs w:val="20"/>
              </w:rPr>
              <w:t>5左右</w:t>
            </w:r>
          </w:p>
        </w:tc>
        <w:tc>
          <w:tcPr>
            <w:tcW w:w="1520" w:type="dxa"/>
            <w:tcBorders>
              <w:left w:val="nil"/>
            </w:tcBorders>
            <w:noWrap w:val="0"/>
            <w:vAlign w:val="center"/>
          </w:tcPr>
          <w:p>
            <w:pPr>
              <w:widowControl/>
              <w:jc w:val="center"/>
              <w:textAlignment w:val="center"/>
              <w:rPr>
                <w:rFonts w:hint="eastAsia" w:ascii="宋体" w:hAnsi="宋体" w:cs="宋体"/>
                <w:sz w:val="20"/>
                <w:szCs w:val="20"/>
              </w:rPr>
            </w:pPr>
            <w:r>
              <w:rPr>
                <w:rFonts w:hint="eastAsia" w:ascii="宋体" w:cs="宋体"/>
                <w:szCs w:val="21"/>
                <w:u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9" w:type="dxa"/>
            <w:vMerge w:val="continue"/>
            <w:noWrap w:val="0"/>
            <w:vAlign w:val="center"/>
          </w:tcPr>
          <w:p>
            <w:pPr>
              <w:widowControl/>
              <w:spacing w:line="240" w:lineRule="exact"/>
              <w:ind w:firstLine="420"/>
              <w:jc w:val="center"/>
              <w:rPr>
                <w:rFonts w:ascii="宋体" w:cs="Times New Roman"/>
                <w:kern w:val="0"/>
              </w:rPr>
            </w:pPr>
          </w:p>
        </w:tc>
        <w:tc>
          <w:tcPr>
            <w:tcW w:w="650" w:type="dxa"/>
            <w:noWrap w:val="0"/>
            <w:vAlign w:val="center"/>
          </w:tcPr>
          <w:p>
            <w:pPr>
              <w:widowControl/>
              <w:spacing w:line="240" w:lineRule="exact"/>
              <w:jc w:val="center"/>
              <w:textAlignment w:val="center"/>
              <w:rPr>
                <w:rFonts w:ascii="宋体" w:hAnsi="宋体" w:cs="宋体"/>
                <w:kern w:val="0"/>
              </w:rPr>
            </w:pPr>
            <w:r>
              <w:rPr>
                <w:rFonts w:ascii="宋体" w:hAnsi="宋体" w:cs="宋体"/>
                <w:kern w:val="0"/>
              </w:rPr>
              <w:t>3</w:t>
            </w:r>
          </w:p>
        </w:tc>
        <w:tc>
          <w:tcPr>
            <w:tcW w:w="4516" w:type="dxa"/>
            <w:gridSpan w:val="2"/>
            <w:tcBorders>
              <w:left w:val="nil"/>
            </w:tcBorders>
            <w:noWrap w:val="0"/>
            <w:vAlign w:val="center"/>
          </w:tcPr>
          <w:p>
            <w:pPr>
              <w:widowControl/>
              <w:spacing w:line="240" w:lineRule="exact"/>
              <w:jc w:val="left"/>
              <w:textAlignment w:val="center"/>
              <w:rPr>
                <w:rFonts w:ascii="宋体" w:cs="Times New Roman"/>
                <w:kern w:val="0"/>
              </w:rPr>
            </w:pPr>
            <w:r>
              <w:rPr>
                <w:rFonts w:hint="eastAsia" w:ascii="宋体" w:hAnsi="宋体" w:cs="宋体"/>
              </w:rPr>
              <w:t>高质量上市挂牌企业数量（家）</w:t>
            </w:r>
          </w:p>
        </w:tc>
        <w:tc>
          <w:tcPr>
            <w:tcW w:w="1530" w:type="dxa"/>
            <w:tcBorders>
              <w:left w:val="nil"/>
            </w:tcBorders>
            <w:noWrap w:val="0"/>
            <w:vAlign w:val="center"/>
          </w:tcPr>
          <w:p>
            <w:pPr>
              <w:widowControl/>
              <w:spacing w:line="240" w:lineRule="exact"/>
              <w:jc w:val="center"/>
              <w:textAlignment w:val="center"/>
              <w:rPr>
                <w:rFonts w:ascii="宋体" w:hAnsi="宋体" w:cs="宋体"/>
                <w:sz w:val="20"/>
                <w:szCs w:val="20"/>
              </w:rPr>
            </w:pPr>
            <w:r>
              <w:rPr>
                <w:rFonts w:hint="eastAsia" w:ascii="宋体" w:hAnsi="宋体" w:cs="宋体"/>
                <w:sz w:val="20"/>
                <w:szCs w:val="20"/>
              </w:rPr>
              <w:t>85</w:t>
            </w:r>
          </w:p>
        </w:tc>
        <w:tc>
          <w:tcPr>
            <w:tcW w:w="1520" w:type="dxa"/>
            <w:tcBorders>
              <w:left w:val="nil"/>
            </w:tcBorders>
            <w:noWrap w:val="0"/>
            <w:vAlign w:val="center"/>
          </w:tcPr>
          <w:p>
            <w:pPr>
              <w:widowControl/>
              <w:jc w:val="center"/>
              <w:textAlignment w:val="center"/>
              <w:rPr>
                <w:rFonts w:hint="eastAsia" w:ascii="宋体" w:hAnsi="宋体" w:cs="宋体"/>
                <w:sz w:val="20"/>
                <w:szCs w:val="20"/>
              </w:rPr>
            </w:pPr>
            <w:r>
              <w:rPr>
                <w:rFonts w:hint="eastAsia" w:ascii="宋体" w:cs="宋体"/>
                <w:szCs w:val="21"/>
                <w:u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9" w:type="dxa"/>
            <w:vMerge w:val="continue"/>
            <w:noWrap w:val="0"/>
            <w:vAlign w:val="center"/>
          </w:tcPr>
          <w:p>
            <w:pPr>
              <w:widowControl/>
              <w:spacing w:line="240" w:lineRule="exact"/>
              <w:ind w:firstLine="420"/>
              <w:jc w:val="center"/>
              <w:rPr>
                <w:rFonts w:ascii="宋体" w:cs="Times New Roman"/>
                <w:kern w:val="0"/>
              </w:rPr>
            </w:pPr>
          </w:p>
        </w:tc>
        <w:tc>
          <w:tcPr>
            <w:tcW w:w="650" w:type="dxa"/>
            <w:noWrap w:val="0"/>
            <w:vAlign w:val="center"/>
          </w:tcPr>
          <w:p>
            <w:pPr>
              <w:widowControl/>
              <w:spacing w:line="240" w:lineRule="exact"/>
              <w:jc w:val="center"/>
              <w:textAlignment w:val="center"/>
              <w:rPr>
                <w:rFonts w:ascii="宋体" w:hAnsi="宋体" w:cs="宋体"/>
                <w:kern w:val="0"/>
              </w:rPr>
            </w:pPr>
            <w:r>
              <w:rPr>
                <w:rFonts w:ascii="宋体" w:hAnsi="宋体" w:cs="宋体"/>
                <w:kern w:val="0"/>
              </w:rPr>
              <w:t>4</w:t>
            </w:r>
          </w:p>
        </w:tc>
        <w:tc>
          <w:tcPr>
            <w:tcW w:w="4516" w:type="dxa"/>
            <w:gridSpan w:val="2"/>
            <w:tcBorders>
              <w:left w:val="nil"/>
            </w:tcBorders>
            <w:noWrap w:val="0"/>
            <w:vAlign w:val="center"/>
          </w:tcPr>
          <w:p>
            <w:pPr>
              <w:widowControl/>
              <w:spacing w:line="240" w:lineRule="exact"/>
              <w:jc w:val="left"/>
              <w:textAlignment w:val="center"/>
              <w:rPr>
                <w:rFonts w:ascii="宋体" w:cs="Times New Roman"/>
              </w:rPr>
            </w:pPr>
            <w:r>
              <w:rPr>
                <w:rFonts w:hint="eastAsia" w:ascii="宋体" w:hAnsi="宋体" w:cs="宋体"/>
                <w:kern w:val="0"/>
              </w:rPr>
              <w:t>金融科技头部机构总量（个）</w:t>
            </w:r>
          </w:p>
        </w:tc>
        <w:tc>
          <w:tcPr>
            <w:tcW w:w="1530" w:type="dxa"/>
            <w:tcBorders>
              <w:left w:val="nil"/>
            </w:tcBorders>
            <w:noWrap w:val="0"/>
            <w:vAlign w:val="center"/>
          </w:tcPr>
          <w:p>
            <w:pPr>
              <w:widowControl/>
              <w:spacing w:line="240" w:lineRule="exact"/>
              <w:jc w:val="center"/>
              <w:textAlignment w:val="center"/>
              <w:rPr>
                <w:rFonts w:ascii="宋体" w:hAnsi="宋体" w:cs="宋体"/>
                <w:sz w:val="20"/>
                <w:szCs w:val="20"/>
              </w:rPr>
            </w:pPr>
            <w:r>
              <w:rPr>
                <w:rFonts w:hint="eastAsia" w:ascii="宋体" w:hAnsi="宋体" w:cs="宋体"/>
                <w:sz w:val="20"/>
                <w:szCs w:val="20"/>
              </w:rPr>
              <w:t>10</w:t>
            </w:r>
          </w:p>
        </w:tc>
        <w:tc>
          <w:tcPr>
            <w:tcW w:w="1520" w:type="dxa"/>
            <w:tcBorders>
              <w:left w:val="nil"/>
            </w:tcBorders>
            <w:noWrap w:val="0"/>
            <w:vAlign w:val="center"/>
          </w:tcPr>
          <w:p>
            <w:pPr>
              <w:widowControl/>
              <w:jc w:val="center"/>
              <w:textAlignment w:val="center"/>
              <w:rPr>
                <w:rFonts w:hint="eastAsia" w:ascii="宋体" w:hAnsi="宋体" w:cs="宋体"/>
                <w:sz w:val="20"/>
                <w:szCs w:val="20"/>
              </w:rPr>
            </w:pPr>
            <w:r>
              <w:rPr>
                <w:rFonts w:hint="eastAsia" w:ascii="宋体" w:cs="宋体"/>
                <w:szCs w:val="21"/>
                <w:u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789" w:type="dxa"/>
            <w:vMerge w:val="restart"/>
            <w:noWrap w:val="0"/>
            <w:vAlign w:val="center"/>
          </w:tcPr>
          <w:p>
            <w:pPr>
              <w:widowControl/>
              <w:spacing w:line="240" w:lineRule="exact"/>
              <w:jc w:val="center"/>
              <w:rPr>
                <w:rFonts w:ascii="宋体" w:cs="Times New Roman"/>
                <w:kern w:val="0"/>
              </w:rPr>
            </w:pPr>
            <w:r>
              <w:rPr>
                <w:rFonts w:hint="eastAsia" w:ascii="宋体" w:hAnsi="宋体" w:cs="宋体"/>
                <w:kern w:val="0"/>
              </w:rPr>
              <w:t>协调发展</w:t>
            </w:r>
          </w:p>
        </w:tc>
        <w:tc>
          <w:tcPr>
            <w:tcW w:w="650" w:type="dxa"/>
            <w:noWrap w:val="0"/>
            <w:vAlign w:val="center"/>
          </w:tcPr>
          <w:p>
            <w:pPr>
              <w:widowControl/>
              <w:spacing w:line="240" w:lineRule="exact"/>
              <w:jc w:val="center"/>
              <w:textAlignment w:val="center"/>
              <w:rPr>
                <w:rFonts w:ascii="宋体" w:hAnsi="宋体" w:cs="宋体"/>
                <w:kern w:val="0"/>
              </w:rPr>
            </w:pPr>
            <w:r>
              <w:rPr>
                <w:rFonts w:ascii="宋体" w:hAnsi="宋体" w:cs="宋体"/>
                <w:kern w:val="0"/>
              </w:rPr>
              <w:t>5</w:t>
            </w:r>
          </w:p>
        </w:tc>
        <w:tc>
          <w:tcPr>
            <w:tcW w:w="4516" w:type="dxa"/>
            <w:gridSpan w:val="2"/>
            <w:tcBorders>
              <w:left w:val="nil"/>
            </w:tcBorders>
            <w:noWrap w:val="0"/>
            <w:vAlign w:val="center"/>
          </w:tcPr>
          <w:p>
            <w:pPr>
              <w:widowControl/>
              <w:spacing w:line="240" w:lineRule="exact"/>
              <w:jc w:val="left"/>
              <w:textAlignment w:val="center"/>
              <w:rPr>
                <w:rFonts w:ascii="宋体" w:cs="Times New Roman"/>
              </w:rPr>
            </w:pPr>
            <w:r>
              <w:rPr>
                <w:rFonts w:hint="eastAsia" w:ascii="宋体" w:hAnsi="宋体" w:cs="宋体"/>
                <w:kern w:val="0"/>
              </w:rPr>
              <w:t>金融业增加值增幅（</w:t>
            </w:r>
            <w:r>
              <w:rPr>
                <w:rFonts w:ascii="宋体" w:hAnsi="宋体" w:cs="宋体"/>
                <w:kern w:val="0"/>
              </w:rPr>
              <w:t>%</w:t>
            </w:r>
            <w:r>
              <w:rPr>
                <w:rFonts w:hint="eastAsia" w:ascii="宋体" w:hAnsi="宋体" w:cs="宋体"/>
                <w:kern w:val="0"/>
              </w:rPr>
              <w:t>）</w:t>
            </w:r>
          </w:p>
        </w:tc>
        <w:tc>
          <w:tcPr>
            <w:tcW w:w="1530" w:type="dxa"/>
            <w:tcBorders>
              <w:left w:val="nil"/>
            </w:tcBorders>
            <w:noWrap w:val="0"/>
            <w:vAlign w:val="center"/>
          </w:tcPr>
          <w:p>
            <w:pPr>
              <w:widowControl/>
              <w:spacing w:line="240" w:lineRule="exact"/>
              <w:jc w:val="center"/>
              <w:textAlignment w:val="center"/>
              <w:rPr>
                <w:rFonts w:hint="eastAsia" w:ascii="宋体" w:hAnsi="宋体" w:cs="宋体"/>
                <w:sz w:val="20"/>
                <w:szCs w:val="20"/>
              </w:rPr>
            </w:pPr>
            <w:r>
              <w:rPr>
                <w:rFonts w:hint="eastAsia" w:ascii="宋体" w:hAnsi="宋体" w:cs="宋体"/>
                <w:sz w:val="20"/>
                <w:szCs w:val="20"/>
              </w:rPr>
              <w:t>6</w:t>
            </w:r>
          </w:p>
        </w:tc>
        <w:tc>
          <w:tcPr>
            <w:tcW w:w="1520" w:type="dxa"/>
            <w:tcBorders>
              <w:left w:val="nil"/>
            </w:tcBorders>
            <w:noWrap w:val="0"/>
            <w:vAlign w:val="center"/>
          </w:tcPr>
          <w:p>
            <w:pPr>
              <w:widowControl/>
              <w:jc w:val="center"/>
              <w:textAlignment w:val="center"/>
              <w:rPr>
                <w:rFonts w:hint="eastAsia" w:ascii="宋体" w:hAnsi="宋体" w:cs="宋体"/>
                <w:sz w:val="20"/>
                <w:szCs w:val="20"/>
              </w:rPr>
            </w:pPr>
            <w:r>
              <w:rPr>
                <w:rFonts w:hint="eastAsia" w:ascii="宋体" w:cs="宋体"/>
                <w:szCs w:val="21"/>
                <w:u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9" w:type="dxa"/>
            <w:vMerge w:val="continue"/>
            <w:noWrap w:val="0"/>
            <w:vAlign w:val="center"/>
          </w:tcPr>
          <w:p>
            <w:pPr>
              <w:widowControl/>
              <w:spacing w:line="240" w:lineRule="exact"/>
              <w:ind w:firstLine="420"/>
              <w:jc w:val="center"/>
              <w:rPr>
                <w:rFonts w:ascii="宋体" w:cs="Times New Roman"/>
                <w:kern w:val="0"/>
              </w:rPr>
            </w:pPr>
          </w:p>
        </w:tc>
        <w:tc>
          <w:tcPr>
            <w:tcW w:w="650" w:type="dxa"/>
            <w:noWrap w:val="0"/>
            <w:vAlign w:val="center"/>
          </w:tcPr>
          <w:p>
            <w:pPr>
              <w:widowControl/>
              <w:spacing w:line="240" w:lineRule="exact"/>
              <w:jc w:val="center"/>
              <w:textAlignment w:val="center"/>
              <w:rPr>
                <w:rFonts w:ascii="宋体" w:hAnsi="宋体" w:cs="宋体"/>
                <w:kern w:val="0"/>
              </w:rPr>
            </w:pPr>
            <w:r>
              <w:rPr>
                <w:rFonts w:ascii="宋体" w:hAnsi="宋体" w:cs="宋体"/>
                <w:kern w:val="0"/>
              </w:rPr>
              <w:t>6</w:t>
            </w:r>
          </w:p>
        </w:tc>
        <w:tc>
          <w:tcPr>
            <w:tcW w:w="4516" w:type="dxa"/>
            <w:gridSpan w:val="2"/>
            <w:tcBorders>
              <w:left w:val="nil"/>
            </w:tcBorders>
            <w:noWrap w:val="0"/>
            <w:vAlign w:val="center"/>
          </w:tcPr>
          <w:p>
            <w:pPr>
              <w:widowControl/>
              <w:spacing w:line="240" w:lineRule="exact"/>
              <w:jc w:val="left"/>
              <w:textAlignment w:val="center"/>
              <w:rPr>
                <w:rFonts w:ascii="宋体" w:cs="Times New Roman"/>
              </w:rPr>
            </w:pPr>
            <w:r>
              <w:rPr>
                <w:rFonts w:hint="eastAsia" w:ascii="宋体" w:hAnsi="宋体" w:cs="宋体"/>
                <w:kern w:val="0"/>
              </w:rPr>
              <w:t>非金融地区重点楼宇税收增速（</w:t>
            </w:r>
            <w:r>
              <w:rPr>
                <w:rFonts w:ascii="宋体" w:hAnsi="宋体" w:cs="宋体"/>
                <w:kern w:val="0"/>
              </w:rPr>
              <w:t>%</w:t>
            </w:r>
            <w:r>
              <w:rPr>
                <w:rFonts w:hint="eastAsia" w:ascii="宋体" w:hAnsi="宋体" w:cs="宋体"/>
                <w:kern w:val="0"/>
              </w:rPr>
              <w:t>）</w:t>
            </w:r>
          </w:p>
        </w:tc>
        <w:tc>
          <w:tcPr>
            <w:tcW w:w="1530" w:type="dxa"/>
            <w:tcBorders>
              <w:left w:val="nil"/>
            </w:tcBorders>
            <w:noWrap w:val="0"/>
            <w:vAlign w:val="center"/>
          </w:tcPr>
          <w:p>
            <w:pPr>
              <w:widowControl/>
              <w:spacing w:line="240" w:lineRule="exact"/>
              <w:jc w:val="center"/>
              <w:textAlignment w:val="center"/>
              <w:rPr>
                <w:rFonts w:hint="eastAsia" w:ascii="宋体" w:hAnsi="宋体" w:cs="宋体"/>
                <w:sz w:val="20"/>
                <w:szCs w:val="20"/>
              </w:rPr>
            </w:pPr>
            <w:r>
              <w:rPr>
                <w:rFonts w:hint="eastAsia" w:ascii="宋体" w:hAnsi="宋体" w:cs="宋体"/>
                <w:sz w:val="20"/>
                <w:szCs w:val="20"/>
              </w:rPr>
              <w:t>9</w:t>
            </w:r>
          </w:p>
        </w:tc>
        <w:tc>
          <w:tcPr>
            <w:tcW w:w="1520" w:type="dxa"/>
            <w:tcBorders>
              <w:left w:val="nil"/>
            </w:tcBorders>
            <w:noWrap w:val="0"/>
            <w:vAlign w:val="center"/>
          </w:tcPr>
          <w:p>
            <w:pPr>
              <w:widowControl/>
              <w:jc w:val="center"/>
              <w:textAlignment w:val="center"/>
              <w:rPr>
                <w:rFonts w:hint="eastAsia" w:ascii="宋体" w:hAnsi="宋体" w:cs="宋体"/>
                <w:sz w:val="20"/>
                <w:szCs w:val="20"/>
              </w:rPr>
            </w:pPr>
            <w:r>
              <w:rPr>
                <w:rFonts w:hint="eastAsia" w:ascii="宋体" w:cs="宋体"/>
                <w:szCs w:val="21"/>
                <w:u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9" w:type="dxa"/>
            <w:vMerge w:val="restart"/>
            <w:noWrap w:val="0"/>
            <w:vAlign w:val="center"/>
          </w:tcPr>
          <w:p>
            <w:pPr>
              <w:widowControl/>
              <w:spacing w:line="240" w:lineRule="exact"/>
              <w:jc w:val="center"/>
              <w:rPr>
                <w:rFonts w:ascii="宋体" w:cs="Times New Roman"/>
                <w:kern w:val="0"/>
              </w:rPr>
            </w:pPr>
            <w:r>
              <w:rPr>
                <w:rFonts w:hint="eastAsia" w:ascii="宋体" w:hAnsi="宋体" w:cs="宋体"/>
                <w:kern w:val="0"/>
              </w:rPr>
              <w:t>绿色发展</w:t>
            </w:r>
          </w:p>
        </w:tc>
        <w:tc>
          <w:tcPr>
            <w:tcW w:w="650" w:type="dxa"/>
            <w:noWrap w:val="0"/>
            <w:vAlign w:val="center"/>
          </w:tcPr>
          <w:p>
            <w:pPr>
              <w:widowControl/>
              <w:spacing w:line="240" w:lineRule="exact"/>
              <w:jc w:val="center"/>
              <w:textAlignment w:val="center"/>
              <w:rPr>
                <w:rFonts w:ascii="宋体" w:hAnsi="宋体" w:cs="宋体"/>
                <w:kern w:val="0"/>
              </w:rPr>
            </w:pPr>
            <w:r>
              <w:rPr>
                <w:rFonts w:ascii="宋体" w:hAnsi="宋体" w:cs="宋体"/>
                <w:kern w:val="0"/>
              </w:rPr>
              <w:t>7</w:t>
            </w:r>
          </w:p>
        </w:tc>
        <w:tc>
          <w:tcPr>
            <w:tcW w:w="4516" w:type="dxa"/>
            <w:gridSpan w:val="2"/>
            <w:tcBorders>
              <w:left w:val="nil"/>
            </w:tcBorders>
            <w:noWrap w:val="0"/>
            <w:vAlign w:val="center"/>
          </w:tcPr>
          <w:p>
            <w:pPr>
              <w:widowControl/>
              <w:spacing w:line="240" w:lineRule="exact"/>
              <w:jc w:val="left"/>
              <w:textAlignment w:val="center"/>
              <w:rPr>
                <w:rFonts w:ascii="宋体" w:cs="Times New Roman"/>
              </w:rPr>
            </w:pPr>
            <w:r>
              <w:rPr>
                <w:rFonts w:ascii="宋体" w:hAnsi="宋体" w:cs="宋体"/>
              </w:rPr>
              <w:t>细颗粒物（PM</w:t>
            </w:r>
            <w:r>
              <w:rPr>
                <w:rFonts w:ascii="宋体" w:hAnsi="宋体" w:cs="宋体"/>
                <w:vertAlign w:val="subscript"/>
              </w:rPr>
              <w:t>2.5</w:t>
            </w:r>
            <w:r>
              <w:rPr>
                <w:rFonts w:ascii="宋体" w:hAnsi="宋体" w:cs="宋体"/>
              </w:rPr>
              <w:t>）年均浓度（微克/立方米）</w:t>
            </w:r>
          </w:p>
        </w:tc>
        <w:tc>
          <w:tcPr>
            <w:tcW w:w="1530" w:type="dxa"/>
            <w:tcBorders>
              <w:left w:val="nil"/>
            </w:tcBorders>
            <w:noWrap w:val="0"/>
            <w:vAlign w:val="center"/>
          </w:tcPr>
          <w:p>
            <w:pPr>
              <w:widowControl/>
              <w:spacing w:line="240" w:lineRule="exact"/>
              <w:jc w:val="center"/>
              <w:textAlignment w:val="center"/>
              <w:rPr>
                <w:rFonts w:ascii="宋体" w:hAnsi="宋体" w:cs="宋体"/>
                <w:sz w:val="20"/>
                <w:szCs w:val="20"/>
              </w:rPr>
            </w:pPr>
            <w:r>
              <w:rPr>
                <w:rFonts w:hint="eastAsia" w:ascii="宋体" w:hAnsi="宋体" w:cs="宋体"/>
                <w:sz w:val="20"/>
                <w:szCs w:val="20"/>
              </w:rPr>
              <w:t>达到</w:t>
            </w:r>
          </w:p>
          <w:p>
            <w:pPr>
              <w:widowControl/>
              <w:spacing w:line="240" w:lineRule="exact"/>
              <w:jc w:val="center"/>
              <w:textAlignment w:val="center"/>
              <w:rPr>
                <w:rFonts w:ascii="宋体" w:hAnsi="宋体" w:cs="宋体"/>
                <w:sz w:val="20"/>
                <w:szCs w:val="20"/>
                <w:lang w:val="zh-TW"/>
              </w:rPr>
            </w:pPr>
            <w:r>
              <w:rPr>
                <w:rFonts w:hint="eastAsia" w:ascii="宋体" w:hAnsi="宋体" w:cs="宋体"/>
                <w:sz w:val="20"/>
                <w:szCs w:val="20"/>
              </w:rPr>
              <w:t>市级要求</w:t>
            </w:r>
          </w:p>
        </w:tc>
        <w:tc>
          <w:tcPr>
            <w:tcW w:w="1520" w:type="dxa"/>
            <w:tcBorders>
              <w:left w:val="nil"/>
            </w:tcBorders>
            <w:noWrap w:val="0"/>
            <w:vAlign w:val="center"/>
          </w:tcPr>
          <w:p>
            <w:pPr>
              <w:widowControl/>
              <w:jc w:val="center"/>
              <w:textAlignment w:val="center"/>
              <w:rPr>
                <w:rFonts w:hint="eastAsia" w:ascii="宋体" w:hAnsi="宋体" w:cs="宋体"/>
                <w:sz w:val="20"/>
                <w:szCs w:val="20"/>
              </w:rPr>
            </w:pPr>
            <w:r>
              <w:rPr>
                <w:rFonts w:hint="eastAsia" w:ascii="宋体" w:hAnsi="宋体" w:cs="宋体"/>
                <w:szCs w:val="21"/>
                <w:u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9" w:type="dxa"/>
            <w:vMerge w:val="continue"/>
            <w:noWrap w:val="0"/>
            <w:vAlign w:val="center"/>
          </w:tcPr>
          <w:p>
            <w:pPr>
              <w:widowControl/>
              <w:spacing w:line="240" w:lineRule="exact"/>
              <w:ind w:firstLine="420"/>
              <w:jc w:val="center"/>
              <w:rPr>
                <w:rFonts w:ascii="宋体" w:cs="Times New Roman"/>
                <w:kern w:val="0"/>
              </w:rPr>
            </w:pPr>
          </w:p>
        </w:tc>
        <w:tc>
          <w:tcPr>
            <w:tcW w:w="650" w:type="dxa"/>
            <w:noWrap w:val="0"/>
            <w:vAlign w:val="center"/>
          </w:tcPr>
          <w:p>
            <w:pPr>
              <w:widowControl/>
              <w:spacing w:line="240" w:lineRule="exact"/>
              <w:jc w:val="center"/>
              <w:textAlignment w:val="center"/>
              <w:rPr>
                <w:rFonts w:ascii="宋体" w:hAnsi="宋体" w:cs="宋体"/>
                <w:kern w:val="0"/>
              </w:rPr>
            </w:pPr>
            <w:r>
              <w:rPr>
                <w:rFonts w:ascii="宋体" w:hAnsi="宋体" w:cs="宋体"/>
                <w:kern w:val="0"/>
              </w:rPr>
              <w:t>8</w:t>
            </w:r>
          </w:p>
        </w:tc>
        <w:tc>
          <w:tcPr>
            <w:tcW w:w="4516" w:type="dxa"/>
            <w:gridSpan w:val="2"/>
            <w:tcBorders>
              <w:left w:val="nil"/>
            </w:tcBorders>
            <w:noWrap w:val="0"/>
            <w:vAlign w:val="center"/>
          </w:tcPr>
          <w:p>
            <w:pPr>
              <w:widowControl/>
              <w:spacing w:line="240" w:lineRule="exact"/>
              <w:textAlignment w:val="center"/>
              <w:rPr>
                <w:rFonts w:ascii="宋体" w:cs="Times New Roman"/>
              </w:rPr>
            </w:pPr>
            <w:r>
              <w:rPr>
                <w:rFonts w:hint="eastAsia" w:ascii="宋体" w:hAnsi="宋体" w:cs="宋体"/>
                <w:spacing w:val="-20"/>
                <w:kern w:val="0"/>
                <w:sz w:val="20"/>
                <w:szCs w:val="20"/>
              </w:rPr>
              <w:t>非历史文化街区地区公园绿地</w:t>
            </w:r>
            <w:r>
              <w:rPr>
                <w:rFonts w:ascii="宋体" w:hAnsi="宋体" w:cs="宋体"/>
                <w:spacing w:val="-20"/>
                <w:kern w:val="0"/>
                <w:sz w:val="20"/>
                <w:szCs w:val="20"/>
              </w:rPr>
              <w:t>500</w:t>
            </w:r>
            <w:r>
              <w:rPr>
                <w:rFonts w:hint="eastAsia" w:ascii="宋体" w:hAnsi="宋体" w:cs="宋体"/>
                <w:spacing w:val="-20"/>
                <w:kern w:val="0"/>
                <w:sz w:val="20"/>
                <w:szCs w:val="20"/>
              </w:rPr>
              <w:t>米服务半径覆盖率（</w:t>
            </w:r>
            <w:r>
              <w:rPr>
                <w:rFonts w:ascii="宋体" w:hAnsi="宋体" w:cs="宋体"/>
                <w:spacing w:val="-20"/>
                <w:kern w:val="0"/>
                <w:sz w:val="20"/>
                <w:szCs w:val="20"/>
              </w:rPr>
              <w:t>%</w:t>
            </w:r>
            <w:r>
              <w:rPr>
                <w:rFonts w:hint="eastAsia" w:ascii="宋体" w:hAnsi="宋体" w:cs="宋体"/>
                <w:spacing w:val="-20"/>
                <w:kern w:val="0"/>
                <w:sz w:val="20"/>
                <w:szCs w:val="20"/>
              </w:rPr>
              <w:t>）</w:t>
            </w:r>
          </w:p>
        </w:tc>
        <w:tc>
          <w:tcPr>
            <w:tcW w:w="1530" w:type="dxa"/>
            <w:tcBorders>
              <w:left w:val="nil"/>
            </w:tcBorders>
            <w:noWrap w:val="0"/>
            <w:vAlign w:val="center"/>
          </w:tcPr>
          <w:p>
            <w:pPr>
              <w:widowControl/>
              <w:spacing w:line="240" w:lineRule="exact"/>
              <w:jc w:val="center"/>
              <w:textAlignment w:val="center"/>
              <w:rPr>
                <w:rFonts w:ascii="宋体" w:hAnsi="宋体" w:cs="宋体"/>
                <w:sz w:val="20"/>
                <w:szCs w:val="20"/>
              </w:rPr>
            </w:pPr>
            <w:r>
              <w:rPr>
                <w:rFonts w:hint="eastAsia" w:ascii="宋体" w:hAnsi="宋体" w:cs="宋体"/>
                <w:sz w:val="20"/>
                <w:szCs w:val="20"/>
              </w:rPr>
              <w:t>100</w:t>
            </w:r>
          </w:p>
        </w:tc>
        <w:tc>
          <w:tcPr>
            <w:tcW w:w="1520" w:type="dxa"/>
            <w:tcBorders>
              <w:left w:val="nil"/>
            </w:tcBorders>
            <w:noWrap w:val="0"/>
            <w:vAlign w:val="center"/>
          </w:tcPr>
          <w:p>
            <w:pPr>
              <w:widowControl/>
              <w:jc w:val="center"/>
              <w:textAlignment w:val="center"/>
              <w:rPr>
                <w:rFonts w:hint="eastAsia" w:ascii="宋体" w:hAnsi="宋体" w:cs="宋体"/>
                <w:sz w:val="20"/>
                <w:szCs w:val="20"/>
              </w:rPr>
            </w:pPr>
            <w:r>
              <w:rPr>
                <w:rFonts w:hint="eastAsia" w:ascii="宋体" w:hAnsi="宋体" w:cs="宋体"/>
                <w:szCs w:val="21"/>
                <w:u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89" w:type="dxa"/>
            <w:vMerge w:val="continue"/>
            <w:noWrap w:val="0"/>
            <w:vAlign w:val="center"/>
          </w:tcPr>
          <w:p>
            <w:pPr>
              <w:widowControl/>
              <w:spacing w:line="240" w:lineRule="exact"/>
              <w:ind w:firstLine="420"/>
              <w:jc w:val="center"/>
              <w:rPr>
                <w:rFonts w:ascii="宋体" w:cs="Times New Roman"/>
                <w:kern w:val="0"/>
              </w:rPr>
            </w:pPr>
          </w:p>
        </w:tc>
        <w:tc>
          <w:tcPr>
            <w:tcW w:w="650" w:type="dxa"/>
            <w:noWrap w:val="0"/>
            <w:vAlign w:val="center"/>
          </w:tcPr>
          <w:p>
            <w:pPr>
              <w:widowControl/>
              <w:spacing w:line="240" w:lineRule="exact"/>
              <w:jc w:val="center"/>
              <w:textAlignment w:val="center"/>
              <w:rPr>
                <w:rFonts w:ascii="宋体" w:hAnsi="宋体" w:cs="宋体"/>
                <w:kern w:val="0"/>
              </w:rPr>
            </w:pPr>
            <w:r>
              <w:rPr>
                <w:rFonts w:ascii="宋体" w:hAnsi="宋体" w:cs="宋体"/>
                <w:kern w:val="0"/>
              </w:rPr>
              <w:t>9</w:t>
            </w:r>
          </w:p>
        </w:tc>
        <w:tc>
          <w:tcPr>
            <w:tcW w:w="4516" w:type="dxa"/>
            <w:gridSpan w:val="2"/>
            <w:tcBorders>
              <w:left w:val="nil"/>
            </w:tcBorders>
            <w:noWrap w:val="0"/>
            <w:vAlign w:val="center"/>
          </w:tcPr>
          <w:p>
            <w:pPr>
              <w:widowControl/>
              <w:spacing w:line="240" w:lineRule="exact"/>
              <w:jc w:val="left"/>
              <w:textAlignment w:val="center"/>
              <w:rPr>
                <w:rFonts w:ascii="宋体" w:cs="Times New Roman"/>
              </w:rPr>
            </w:pPr>
            <w:r>
              <w:rPr>
                <w:rFonts w:hint="eastAsia" w:ascii="宋体" w:hAnsi="宋体" w:cs="宋体"/>
              </w:rPr>
              <w:t>优质外向型企业及项目引入数量（个）</w:t>
            </w:r>
          </w:p>
        </w:tc>
        <w:tc>
          <w:tcPr>
            <w:tcW w:w="1530" w:type="dxa"/>
            <w:tcBorders>
              <w:left w:val="nil"/>
            </w:tcBorders>
            <w:noWrap w:val="0"/>
            <w:vAlign w:val="center"/>
          </w:tcPr>
          <w:p>
            <w:pPr>
              <w:widowControl/>
              <w:spacing w:line="240" w:lineRule="exact"/>
              <w:jc w:val="center"/>
              <w:textAlignment w:val="center"/>
              <w:rPr>
                <w:rFonts w:ascii="宋体" w:hAnsi="宋体" w:cs="宋体"/>
                <w:sz w:val="20"/>
                <w:szCs w:val="20"/>
              </w:rPr>
            </w:pPr>
            <w:r>
              <w:rPr>
                <w:rFonts w:hint="eastAsia" w:ascii="宋体" w:hAnsi="宋体" w:cs="宋体"/>
                <w:sz w:val="20"/>
                <w:szCs w:val="20"/>
              </w:rPr>
              <w:t>120</w:t>
            </w:r>
          </w:p>
        </w:tc>
        <w:tc>
          <w:tcPr>
            <w:tcW w:w="1520" w:type="dxa"/>
            <w:tcBorders>
              <w:left w:val="nil"/>
            </w:tcBorders>
            <w:noWrap w:val="0"/>
            <w:vAlign w:val="center"/>
          </w:tcPr>
          <w:p>
            <w:pPr>
              <w:widowControl/>
              <w:jc w:val="center"/>
              <w:textAlignment w:val="center"/>
              <w:rPr>
                <w:rFonts w:hint="eastAsia" w:ascii="宋体" w:hAnsi="宋体" w:cs="宋体"/>
                <w:sz w:val="20"/>
                <w:szCs w:val="20"/>
              </w:rPr>
            </w:pPr>
            <w:r>
              <w:rPr>
                <w:rFonts w:hint="eastAsia" w:ascii="宋体" w:cs="宋体"/>
                <w:szCs w:val="21"/>
                <w:u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9" w:type="dxa"/>
            <w:vMerge w:val="restart"/>
            <w:noWrap w:val="0"/>
            <w:vAlign w:val="center"/>
          </w:tcPr>
          <w:p>
            <w:pPr>
              <w:widowControl/>
              <w:spacing w:line="240" w:lineRule="exact"/>
              <w:jc w:val="center"/>
              <w:rPr>
                <w:rFonts w:ascii="宋体" w:cs="Times New Roman"/>
                <w:kern w:val="0"/>
              </w:rPr>
            </w:pPr>
            <w:r>
              <w:rPr>
                <w:rFonts w:hint="eastAsia" w:ascii="宋体" w:hAnsi="宋体" w:cs="宋体"/>
                <w:kern w:val="0"/>
              </w:rPr>
              <w:t>共享发展</w:t>
            </w:r>
          </w:p>
        </w:tc>
        <w:tc>
          <w:tcPr>
            <w:tcW w:w="650" w:type="dxa"/>
            <w:noWrap w:val="0"/>
            <w:vAlign w:val="center"/>
          </w:tcPr>
          <w:p>
            <w:pPr>
              <w:widowControl/>
              <w:spacing w:line="240" w:lineRule="exact"/>
              <w:jc w:val="center"/>
              <w:textAlignment w:val="center"/>
              <w:rPr>
                <w:rFonts w:ascii="宋体" w:hAnsi="宋体" w:cs="宋体"/>
                <w:kern w:val="0"/>
              </w:rPr>
            </w:pPr>
            <w:r>
              <w:rPr>
                <w:rFonts w:ascii="宋体" w:hAnsi="宋体" w:cs="宋体"/>
                <w:kern w:val="0"/>
              </w:rPr>
              <w:t>10</w:t>
            </w:r>
          </w:p>
        </w:tc>
        <w:tc>
          <w:tcPr>
            <w:tcW w:w="4516" w:type="dxa"/>
            <w:gridSpan w:val="2"/>
            <w:tcBorders>
              <w:left w:val="nil"/>
            </w:tcBorders>
            <w:noWrap w:val="0"/>
            <w:vAlign w:val="center"/>
          </w:tcPr>
          <w:p>
            <w:pPr>
              <w:widowControl/>
              <w:spacing w:line="240" w:lineRule="exact"/>
              <w:jc w:val="left"/>
              <w:textAlignment w:val="center"/>
              <w:rPr>
                <w:rFonts w:ascii="宋体" w:cs="Times New Roman"/>
              </w:rPr>
            </w:pPr>
            <w:r>
              <w:rPr>
                <w:rFonts w:hint="eastAsia" w:ascii="宋体" w:hAnsi="宋体" w:cs="宋体"/>
                <w:kern w:val="0"/>
              </w:rPr>
              <w:t>居民人均可支配收入增速（</w:t>
            </w:r>
            <w:r>
              <w:rPr>
                <w:rFonts w:ascii="宋体" w:hAnsi="宋体" w:cs="宋体"/>
                <w:kern w:val="0"/>
              </w:rPr>
              <w:t>%</w:t>
            </w:r>
            <w:r>
              <w:rPr>
                <w:rFonts w:hint="eastAsia" w:ascii="宋体" w:hAnsi="宋体" w:cs="宋体"/>
                <w:kern w:val="0"/>
              </w:rPr>
              <w:t>）</w:t>
            </w:r>
          </w:p>
        </w:tc>
        <w:tc>
          <w:tcPr>
            <w:tcW w:w="1530" w:type="dxa"/>
            <w:tcBorders>
              <w:left w:val="nil"/>
            </w:tcBorders>
            <w:noWrap w:val="0"/>
            <w:vAlign w:val="center"/>
          </w:tcPr>
          <w:p>
            <w:pPr>
              <w:widowControl/>
              <w:spacing w:line="240" w:lineRule="exact"/>
              <w:jc w:val="center"/>
              <w:textAlignment w:val="center"/>
              <w:rPr>
                <w:rFonts w:ascii="宋体" w:hAnsi="宋体" w:cs="宋体"/>
                <w:sz w:val="20"/>
                <w:szCs w:val="20"/>
              </w:rPr>
            </w:pPr>
            <w:r>
              <w:rPr>
                <w:rFonts w:hint="eastAsia" w:ascii="宋体" w:hAnsi="宋体" w:cs="宋体"/>
                <w:sz w:val="20"/>
                <w:szCs w:val="20"/>
              </w:rPr>
              <w:t>与经济增长</w:t>
            </w:r>
          </w:p>
          <w:p>
            <w:pPr>
              <w:widowControl/>
              <w:spacing w:line="240" w:lineRule="exact"/>
              <w:jc w:val="center"/>
              <w:textAlignment w:val="center"/>
              <w:rPr>
                <w:rFonts w:hint="eastAsia" w:ascii="宋体" w:hAnsi="宋体" w:cs="宋体"/>
                <w:sz w:val="20"/>
                <w:szCs w:val="20"/>
              </w:rPr>
            </w:pPr>
            <w:r>
              <w:rPr>
                <w:rFonts w:hint="eastAsia" w:ascii="宋体" w:hAnsi="宋体" w:cs="宋体"/>
                <w:sz w:val="20"/>
                <w:szCs w:val="20"/>
              </w:rPr>
              <w:t>同步</w:t>
            </w:r>
          </w:p>
        </w:tc>
        <w:tc>
          <w:tcPr>
            <w:tcW w:w="1520" w:type="dxa"/>
            <w:tcBorders>
              <w:left w:val="nil"/>
            </w:tcBorders>
            <w:noWrap w:val="0"/>
            <w:vAlign w:val="center"/>
          </w:tcPr>
          <w:p>
            <w:pPr>
              <w:widowControl/>
              <w:jc w:val="center"/>
              <w:textAlignment w:val="center"/>
              <w:rPr>
                <w:rFonts w:hint="eastAsia" w:ascii="宋体" w:hAnsi="宋体" w:cs="宋体"/>
                <w:sz w:val="20"/>
                <w:szCs w:val="20"/>
              </w:rPr>
            </w:pPr>
            <w:r>
              <w:rPr>
                <w:rFonts w:hint="eastAsia" w:ascii="宋体" w:cs="宋体"/>
                <w:szCs w:val="21"/>
                <w:u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89" w:type="dxa"/>
            <w:vMerge w:val="continue"/>
            <w:noWrap w:val="0"/>
            <w:vAlign w:val="center"/>
          </w:tcPr>
          <w:p>
            <w:pPr>
              <w:widowControl/>
              <w:spacing w:line="240" w:lineRule="exact"/>
              <w:ind w:firstLine="420"/>
              <w:jc w:val="center"/>
              <w:rPr>
                <w:rFonts w:ascii="宋体" w:cs="Times New Roman"/>
                <w:kern w:val="0"/>
              </w:rPr>
            </w:pPr>
          </w:p>
        </w:tc>
        <w:tc>
          <w:tcPr>
            <w:tcW w:w="650" w:type="dxa"/>
            <w:noWrap w:val="0"/>
            <w:vAlign w:val="center"/>
          </w:tcPr>
          <w:p>
            <w:pPr>
              <w:widowControl/>
              <w:spacing w:line="240" w:lineRule="exact"/>
              <w:jc w:val="center"/>
              <w:textAlignment w:val="center"/>
              <w:rPr>
                <w:rFonts w:ascii="宋体" w:hAnsi="宋体" w:cs="宋体"/>
                <w:kern w:val="0"/>
              </w:rPr>
            </w:pPr>
            <w:r>
              <w:rPr>
                <w:rFonts w:ascii="宋体" w:hAnsi="宋体" w:cs="宋体"/>
                <w:kern w:val="0"/>
              </w:rPr>
              <w:t>11</w:t>
            </w:r>
          </w:p>
        </w:tc>
        <w:tc>
          <w:tcPr>
            <w:tcW w:w="4516" w:type="dxa"/>
            <w:gridSpan w:val="2"/>
            <w:tcBorders>
              <w:left w:val="nil"/>
            </w:tcBorders>
            <w:noWrap w:val="0"/>
            <w:vAlign w:val="center"/>
          </w:tcPr>
          <w:p>
            <w:pPr>
              <w:widowControl/>
              <w:spacing w:line="240" w:lineRule="exact"/>
              <w:jc w:val="left"/>
              <w:textAlignment w:val="center"/>
              <w:rPr>
                <w:rFonts w:ascii="宋体" w:cs="Times New Roman"/>
              </w:rPr>
            </w:pPr>
            <w:r>
              <w:rPr>
                <w:rFonts w:hint="eastAsia" w:ascii="宋体" w:hAnsi="宋体" w:cs="宋体"/>
                <w:kern w:val="0"/>
              </w:rPr>
              <w:t>登记失业率（</w:t>
            </w:r>
            <w:r>
              <w:rPr>
                <w:rFonts w:ascii="宋体" w:hAnsi="宋体" w:cs="宋体"/>
                <w:kern w:val="0"/>
              </w:rPr>
              <w:t>%</w:t>
            </w:r>
            <w:r>
              <w:rPr>
                <w:rFonts w:hint="eastAsia" w:ascii="宋体" w:hAnsi="宋体" w:cs="宋体"/>
                <w:kern w:val="0"/>
              </w:rPr>
              <w:t>）</w:t>
            </w:r>
          </w:p>
        </w:tc>
        <w:tc>
          <w:tcPr>
            <w:tcW w:w="1530" w:type="dxa"/>
            <w:tcBorders>
              <w:left w:val="nil"/>
            </w:tcBorders>
            <w:noWrap w:val="0"/>
            <w:vAlign w:val="center"/>
          </w:tcPr>
          <w:p>
            <w:pPr>
              <w:widowControl/>
              <w:spacing w:line="240" w:lineRule="exact"/>
              <w:jc w:val="center"/>
              <w:textAlignment w:val="center"/>
              <w:rPr>
                <w:rFonts w:ascii="宋体" w:hAnsi="宋体" w:cs="宋体"/>
                <w:sz w:val="20"/>
                <w:szCs w:val="20"/>
              </w:rPr>
            </w:pPr>
            <w:r>
              <w:rPr>
                <w:rFonts w:hint="eastAsia" w:ascii="宋体" w:hAnsi="宋体" w:cs="宋体"/>
                <w:sz w:val="20"/>
                <w:szCs w:val="20"/>
              </w:rPr>
              <w:t>&lt;3.5</w:t>
            </w:r>
          </w:p>
        </w:tc>
        <w:tc>
          <w:tcPr>
            <w:tcW w:w="1520" w:type="dxa"/>
            <w:tcBorders>
              <w:left w:val="nil"/>
            </w:tcBorders>
            <w:noWrap w:val="0"/>
            <w:vAlign w:val="center"/>
          </w:tcPr>
          <w:p>
            <w:pPr>
              <w:widowControl/>
              <w:jc w:val="center"/>
              <w:textAlignment w:val="center"/>
              <w:rPr>
                <w:rFonts w:hint="eastAsia" w:ascii="宋体" w:hAnsi="宋体" w:cs="宋体"/>
                <w:sz w:val="20"/>
                <w:szCs w:val="20"/>
              </w:rPr>
            </w:pPr>
            <w:r>
              <w:rPr>
                <w:rFonts w:hint="eastAsia" w:ascii="宋体" w:cs="宋体"/>
                <w:szCs w:val="21"/>
                <w:u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89" w:type="dxa"/>
            <w:vMerge w:val="continue"/>
            <w:noWrap w:val="0"/>
            <w:vAlign w:val="center"/>
          </w:tcPr>
          <w:p>
            <w:pPr>
              <w:widowControl/>
              <w:spacing w:line="240" w:lineRule="exact"/>
              <w:ind w:firstLine="420"/>
              <w:jc w:val="center"/>
              <w:rPr>
                <w:rFonts w:ascii="宋体" w:cs="Times New Roman"/>
                <w:kern w:val="0"/>
              </w:rPr>
            </w:pPr>
          </w:p>
        </w:tc>
        <w:tc>
          <w:tcPr>
            <w:tcW w:w="650" w:type="dxa"/>
            <w:noWrap w:val="0"/>
            <w:vAlign w:val="center"/>
          </w:tcPr>
          <w:p>
            <w:pPr>
              <w:widowControl/>
              <w:spacing w:line="240" w:lineRule="exact"/>
              <w:jc w:val="center"/>
              <w:textAlignment w:val="center"/>
              <w:rPr>
                <w:rFonts w:ascii="宋体" w:hAnsi="宋体" w:cs="宋体"/>
                <w:kern w:val="0"/>
              </w:rPr>
            </w:pPr>
            <w:r>
              <w:rPr>
                <w:rFonts w:ascii="宋体" w:hAnsi="宋体" w:cs="宋体"/>
                <w:kern w:val="0"/>
              </w:rPr>
              <w:t>12</w:t>
            </w:r>
          </w:p>
        </w:tc>
        <w:tc>
          <w:tcPr>
            <w:tcW w:w="4516" w:type="dxa"/>
            <w:gridSpan w:val="2"/>
            <w:tcBorders>
              <w:left w:val="nil"/>
            </w:tcBorders>
            <w:noWrap w:val="0"/>
            <w:vAlign w:val="center"/>
          </w:tcPr>
          <w:p>
            <w:pPr>
              <w:widowControl/>
              <w:spacing w:line="240" w:lineRule="exact"/>
              <w:jc w:val="left"/>
              <w:textAlignment w:val="center"/>
              <w:rPr>
                <w:rFonts w:ascii="宋体" w:cs="Times New Roman"/>
              </w:rPr>
            </w:pPr>
            <w:r>
              <w:rPr>
                <w:rFonts w:hint="eastAsia" w:ascii="宋体" w:hAnsi="宋体" w:cs="宋体"/>
                <w:kern w:val="0"/>
              </w:rPr>
              <w:t>人均公共文化服务设施建筑面积（平方米）</w:t>
            </w:r>
          </w:p>
        </w:tc>
        <w:tc>
          <w:tcPr>
            <w:tcW w:w="1530" w:type="dxa"/>
            <w:tcBorders>
              <w:left w:val="nil"/>
            </w:tcBorders>
            <w:noWrap w:val="0"/>
            <w:vAlign w:val="center"/>
          </w:tcPr>
          <w:p>
            <w:pPr>
              <w:widowControl/>
              <w:spacing w:line="240" w:lineRule="exact"/>
              <w:jc w:val="center"/>
              <w:textAlignment w:val="center"/>
              <w:rPr>
                <w:rFonts w:ascii="宋体" w:hAnsi="宋体" w:cs="宋体"/>
                <w:sz w:val="20"/>
                <w:szCs w:val="20"/>
              </w:rPr>
            </w:pPr>
            <w:r>
              <w:rPr>
                <w:rFonts w:hint="eastAsia" w:ascii="宋体" w:hAnsi="宋体" w:cs="宋体"/>
                <w:sz w:val="20"/>
                <w:szCs w:val="20"/>
              </w:rPr>
              <w:t>2.1</w:t>
            </w:r>
          </w:p>
        </w:tc>
        <w:tc>
          <w:tcPr>
            <w:tcW w:w="1520" w:type="dxa"/>
            <w:tcBorders>
              <w:left w:val="nil"/>
            </w:tcBorders>
            <w:noWrap w:val="0"/>
            <w:vAlign w:val="center"/>
          </w:tcPr>
          <w:p>
            <w:pPr>
              <w:widowControl/>
              <w:jc w:val="center"/>
              <w:textAlignment w:val="center"/>
              <w:rPr>
                <w:rFonts w:hint="eastAsia" w:ascii="宋体" w:hAnsi="宋体" w:cs="宋体"/>
                <w:sz w:val="20"/>
                <w:szCs w:val="20"/>
              </w:rPr>
            </w:pPr>
            <w:r>
              <w:rPr>
                <w:rFonts w:hint="eastAsia" w:ascii="宋体" w:cs="宋体"/>
                <w:szCs w:val="21"/>
                <w:u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89" w:type="dxa"/>
            <w:vMerge w:val="continue"/>
            <w:noWrap w:val="0"/>
            <w:vAlign w:val="center"/>
          </w:tcPr>
          <w:p>
            <w:pPr>
              <w:widowControl/>
              <w:spacing w:line="240" w:lineRule="exact"/>
              <w:ind w:firstLine="420"/>
              <w:jc w:val="center"/>
              <w:rPr>
                <w:rFonts w:ascii="宋体" w:cs="Times New Roman"/>
                <w:kern w:val="0"/>
              </w:rPr>
            </w:pPr>
          </w:p>
        </w:tc>
        <w:tc>
          <w:tcPr>
            <w:tcW w:w="650" w:type="dxa"/>
            <w:tcBorders>
              <w:top w:val="nil"/>
            </w:tcBorders>
            <w:noWrap w:val="0"/>
            <w:vAlign w:val="center"/>
          </w:tcPr>
          <w:p>
            <w:pPr>
              <w:widowControl/>
              <w:spacing w:line="240" w:lineRule="exact"/>
              <w:jc w:val="center"/>
              <w:textAlignment w:val="center"/>
              <w:rPr>
                <w:rFonts w:ascii="宋体" w:hAnsi="宋体" w:cs="宋体"/>
                <w:kern w:val="0"/>
              </w:rPr>
            </w:pPr>
            <w:r>
              <w:rPr>
                <w:rFonts w:ascii="宋体" w:hAnsi="宋体" w:cs="宋体"/>
                <w:kern w:val="0"/>
              </w:rPr>
              <w:t>13</w:t>
            </w:r>
          </w:p>
        </w:tc>
        <w:tc>
          <w:tcPr>
            <w:tcW w:w="4516" w:type="dxa"/>
            <w:gridSpan w:val="2"/>
            <w:tcBorders>
              <w:left w:val="nil"/>
            </w:tcBorders>
            <w:noWrap w:val="0"/>
            <w:vAlign w:val="center"/>
          </w:tcPr>
          <w:p>
            <w:pPr>
              <w:widowControl/>
              <w:spacing w:line="240" w:lineRule="exact"/>
              <w:jc w:val="left"/>
              <w:textAlignment w:val="center"/>
              <w:rPr>
                <w:rFonts w:ascii="宋体" w:cs="Times New Roman"/>
              </w:rPr>
            </w:pPr>
            <w:r>
              <w:rPr>
                <w:rFonts w:hint="eastAsia" w:ascii="宋体" w:hAnsi="宋体" w:cs="宋体"/>
                <w:kern w:val="0"/>
              </w:rPr>
              <w:t>教育支出占一般公共预算支出比例（</w:t>
            </w:r>
            <w:r>
              <w:rPr>
                <w:rFonts w:ascii="宋体" w:hAnsi="宋体" w:cs="宋体"/>
                <w:kern w:val="0"/>
              </w:rPr>
              <w:t>%</w:t>
            </w:r>
            <w:r>
              <w:rPr>
                <w:rFonts w:hint="eastAsia" w:ascii="宋体" w:hAnsi="宋体" w:cs="宋体"/>
                <w:kern w:val="0"/>
              </w:rPr>
              <w:t>）</w:t>
            </w:r>
          </w:p>
        </w:tc>
        <w:tc>
          <w:tcPr>
            <w:tcW w:w="1530" w:type="dxa"/>
            <w:tcBorders>
              <w:left w:val="nil"/>
            </w:tcBorders>
            <w:noWrap w:val="0"/>
            <w:vAlign w:val="center"/>
          </w:tcPr>
          <w:p>
            <w:pPr>
              <w:widowControl/>
              <w:spacing w:line="240" w:lineRule="exact"/>
              <w:jc w:val="center"/>
              <w:textAlignment w:val="center"/>
              <w:rPr>
                <w:rFonts w:hint="eastAsia" w:ascii="宋体" w:hAnsi="宋体" w:cs="宋体"/>
                <w:sz w:val="20"/>
                <w:szCs w:val="20"/>
              </w:rPr>
            </w:pPr>
            <w:r>
              <w:rPr>
                <w:rFonts w:hint="eastAsia" w:ascii="宋体" w:hAnsi="宋体" w:cs="宋体"/>
                <w:sz w:val="20"/>
                <w:szCs w:val="20"/>
              </w:rPr>
              <w:t>与一般公共</w:t>
            </w:r>
          </w:p>
          <w:p>
            <w:pPr>
              <w:widowControl/>
              <w:spacing w:line="240" w:lineRule="exact"/>
              <w:jc w:val="center"/>
              <w:textAlignment w:val="center"/>
              <w:rPr>
                <w:rFonts w:hint="eastAsia" w:ascii="宋体" w:hAnsi="宋体" w:cs="宋体"/>
                <w:sz w:val="20"/>
                <w:szCs w:val="20"/>
              </w:rPr>
            </w:pPr>
            <w:r>
              <w:rPr>
                <w:rFonts w:hint="eastAsia" w:ascii="宋体" w:hAnsi="宋体" w:cs="宋体"/>
                <w:sz w:val="20"/>
                <w:szCs w:val="20"/>
              </w:rPr>
              <w:t>预算支出</w:t>
            </w:r>
          </w:p>
          <w:p>
            <w:pPr>
              <w:widowControl/>
              <w:spacing w:line="240" w:lineRule="exact"/>
              <w:jc w:val="center"/>
              <w:textAlignment w:val="center"/>
              <w:rPr>
                <w:rFonts w:hint="eastAsia" w:ascii="宋体" w:hAnsi="宋体" w:cs="宋体"/>
                <w:sz w:val="20"/>
                <w:szCs w:val="20"/>
              </w:rPr>
            </w:pPr>
            <w:r>
              <w:rPr>
                <w:rFonts w:hint="eastAsia" w:ascii="宋体" w:hAnsi="宋体" w:cs="宋体"/>
                <w:sz w:val="20"/>
                <w:szCs w:val="20"/>
              </w:rPr>
              <w:t>基本同步</w:t>
            </w:r>
          </w:p>
        </w:tc>
        <w:tc>
          <w:tcPr>
            <w:tcW w:w="1520" w:type="dxa"/>
            <w:tcBorders>
              <w:left w:val="nil"/>
            </w:tcBorders>
            <w:noWrap w:val="0"/>
            <w:vAlign w:val="center"/>
          </w:tcPr>
          <w:p>
            <w:pPr>
              <w:widowControl/>
              <w:jc w:val="center"/>
              <w:textAlignment w:val="center"/>
              <w:rPr>
                <w:rFonts w:hint="eastAsia" w:ascii="宋体" w:hAnsi="宋体" w:cs="宋体"/>
                <w:sz w:val="20"/>
                <w:szCs w:val="20"/>
              </w:rPr>
            </w:pPr>
            <w:r>
              <w:rPr>
                <w:rFonts w:hint="eastAsia" w:ascii="宋体" w:cs="宋体"/>
                <w:szCs w:val="21"/>
                <w:u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89" w:type="dxa"/>
            <w:vMerge w:val="continue"/>
            <w:noWrap w:val="0"/>
            <w:vAlign w:val="center"/>
          </w:tcPr>
          <w:p>
            <w:pPr>
              <w:widowControl/>
              <w:spacing w:line="240" w:lineRule="exact"/>
              <w:ind w:firstLine="420"/>
              <w:jc w:val="center"/>
              <w:rPr>
                <w:rFonts w:ascii="宋体" w:cs="Times New Roman"/>
                <w:kern w:val="0"/>
              </w:rPr>
            </w:pPr>
          </w:p>
        </w:tc>
        <w:tc>
          <w:tcPr>
            <w:tcW w:w="650" w:type="dxa"/>
            <w:noWrap w:val="0"/>
            <w:vAlign w:val="center"/>
          </w:tcPr>
          <w:p>
            <w:pPr>
              <w:widowControl/>
              <w:spacing w:line="240" w:lineRule="exact"/>
              <w:jc w:val="center"/>
              <w:textAlignment w:val="center"/>
              <w:rPr>
                <w:rFonts w:ascii="宋体" w:hAnsi="宋体" w:cs="宋体"/>
                <w:kern w:val="0"/>
              </w:rPr>
            </w:pPr>
            <w:r>
              <w:rPr>
                <w:rFonts w:ascii="宋体" w:hAnsi="宋体" w:cs="宋体"/>
                <w:kern w:val="0"/>
              </w:rPr>
              <w:t>14</w:t>
            </w:r>
          </w:p>
        </w:tc>
        <w:tc>
          <w:tcPr>
            <w:tcW w:w="4516" w:type="dxa"/>
            <w:gridSpan w:val="2"/>
            <w:tcBorders>
              <w:left w:val="nil"/>
            </w:tcBorders>
            <w:noWrap w:val="0"/>
            <w:vAlign w:val="center"/>
          </w:tcPr>
          <w:p>
            <w:pPr>
              <w:widowControl/>
              <w:spacing w:line="240" w:lineRule="exact"/>
              <w:jc w:val="left"/>
              <w:textAlignment w:val="center"/>
              <w:rPr>
                <w:rFonts w:ascii="宋体" w:cs="Times New Roman"/>
              </w:rPr>
            </w:pPr>
            <w:r>
              <w:rPr>
                <w:rFonts w:hint="eastAsia" w:ascii="宋体" w:hAnsi="宋体" w:cs="宋体"/>
                <w:kern w:val="0"/>
              </w:rPr>
              <w:t>千人居家为老服务床位与机构养老床位数（张）</w:t>
            </w:r>
          </w:p>
        </w:tc>
        <w:tc>
          <w:tcPr>
            <w:tcW w:w="1530" w:type="dxa"/>
            <w:tcBorders>
              <w:left w:val="nil"/>
            </w:tcBorders>
            <w:noWrap w:val="0"/>
            <w:vAlign w:val="center"/>
          </w:tcPr>
          <w:p>
            <w:pPr>
              <w:widowControl/>
              <w:spacing w:line="240" w:lineRule="exact"/>
              <w:jc w:val="center"/>
              <w:textAlignment w:val="center"/>
              <w:rPr>
                <w:rFonts w:ascii="宋体" w:hAnsi="宋体" w:cs="宋体"/>
                <w:sz w:val="20"/>
                <w:szCs w:val="20"/>
              </w:rPr>
            </w:pPr>
            <w:r>
              <w:rPr>
                <w:rFonts w:hint="eastAsia" w:ascii="宋体" w:hAnsi="宋体" w:cs="宋体"/>
                <w:sz w:val="20"/>
                <w:szCs w:val="20"/>
              </w:rPr>
              <w:t>7</w:t>
            </w:r>
            <w:r>
              <w:rPr>
                <w:rFonts w:ascii="宋体" w:hAnsi="宋体" w:cs="宋体"/>
                <w:sz w:val="20"/>
                <w:szCs w:val="20"/>
              </w:rPr>
              <w:t>.8</w:t>
            </w:r>
          </w:p>
        </w:tc>
        <w:tc>
          <w:tcPr>
            <w:tcW w:w="1520" w:type="dxa"/>
            <w:tcBorders>
              <w:left w:val="nil"/>
            </w:tcBorders>
            <w:noWrap w:val="0"/>
            <w:vAlign w:val="center"/>
          </w:tcPr>
          <w:p>
            <w:pPr>
              <w:widowControl/>
              <w:jc w:val="center"/>
              <w:textAlignment w:val="center"/>
              <w:rPr>
                <w:rFonts w:hint="eastAsia" w:ascii="宋体" w:hAnsi="宋体" w:cs="宋体"/>
                <w:sz w:val="20"/>
                <w:szCs w:val="20"/>
              </w:rPr>
            </w:pPr>
            <w:r>
              <w:rPr>
                <w:rFonts w:hint="eastAsia" w:ascii="宋体" w:cs="宋体"/>
                <w:szCs w:val="21"/>
                <w:u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89" w:type="dxa"/>
            <w:vMerge w:val="continue"/>
            <w:noWrap w:val="0"/>
            <w:vAlign w:val="center"/>
          </w:tcPr>
          <w:p>
            <w:pPr>
              <w:widowControl/>
              <w:spacing w:line="240" w:lineRule="exact"/>
              <w:ind w:firstLine="420"/>
              <w:jc w:val="center"/>
              <w:rPr>
                <w:rFonts w:ascii="宋体" w:cs="Times New Roman"/>
                <w:kern w:val="0"/>
              </w:rPr>
            </w:pPr>
          </w:p>
        </w:tc>
        <w:tc>
          <w:tcPr>
            <w:tcW w:w="650" w:type="dxa"/>
            <w:noWrap w:val="0"/>
            <w:vAlign w:val="center"/>
          </w:tcPr>
          <w:p>
            <w:pPr>
              <w:widowControl/>
              <w:spacing w:line="240" w:lineRule="exact"/>
              <w:jc w:val="center"/>
              <w:textAlignment w:val="center"/>
              <w:rPr>
                <w:rFonts w:ascii="宋体" w:hAnsi="宋体" w:cs="宋体"/>
                <w:kern w:val="0"/>
              </w:rPr>
            </w:pPr>
            <w:r>
              <w:rPr>
                <w:rFonts w:ascii="宋体" w:hAnsi="宋体" w:cs="宋体"/>
                <w:kern w:val="0"/>
              </w:rPr>
              <w:t>15</w:t>
            </w:r>
          </w:p>
        </w:tc>
        <w:tc>
          <w:tcPr>
            <w:tcW w:w="4516" w:type="dxa"/>
            <w:gridSpan w:val="2"/>
            <w:tcBorders>
              <w:left w:val="nil"/>
            </w:tcBorders>
            <w:noWrap w:val="0"/>
            <w:vAlign w:val="center"/>
          </w:tcPr>
          <w:p>
            <w:pPr>
              <w:widowControl/>
              <w:spacing w:line="240" w:lineRule="exact"/>
              <w:jc w:val="left"/>
              <w:textAlignment w:val="center"/>
              <w:rPr>
                <w:rFonts w:ascii="宋体" w:cs="Times New Roman"/>
              </w:rPr>
            </w:pPr>
            <w:r>
              <w:rPr>
                <w:rFonts w:hint="eastAsia" w:ascii="宋体" w:hAnsi="宋体" w:cs="宋体"/>
                <w:kern w:val="0"/>
              </w:rPr>
              <w:t>物业服务覆盖率（</w:t>
            </w:r>
            <w:r>
              <w:rPr>
                <w:rFonts w:ascii="宋体" w:hAnsi="宋体" w:cs="宋体"/>
                <w:kern w:val="0"/>
              </w:rPr>
              <w:t>%</w:t>
            </w:r>
            <w:r>
              <w:rPr>
                <w:rFonts w:hint="eastAsia" w:ascii="宋体" w:hAnsi="宋体" w:cs="宋体"/>
                <w:kern w:val="0"/>
              </w:rPr>
              <w:t>）</w:t>
            </w:r>
          </w:p>
        </w:tc>
        <w:tc>
          <w:tcPr>
            <w:tcW w:w="1530" w:type="dxa"/>
            <w:tcBorders>
              <w:left w:val="nil"/>
            </w:tcBorders>
            <w:noWrap w:val="0"/>
            <w:vAlign w:val="center"/>
          </w:tcPr>
          <w:p>
            <w:pPr>
              <w:widowControl/>
              <w:spacing w:line="240" w:lineRule="exact"/>
              <w:jc w:val="center"/>
              <w:textAlignment w:val="center"/>
              <w:rPr>
                <w:rFonts w:ascii="宋体" w:hAnsi="宋体" w:cs="宋体"/>
                <w:sz w:val="20"/>
                <w:szCs w:val="20"/>
              </w:rPr>
            </w:pPr>
            <w:r>
              <w:rPr>
                <w:rFonts w:hint="eastAsia" w:ascii="宋体" w:hAnsi="宋体" w:cs="宋体"/>
                <w:sz w:val="20"/>
                <w:szCs w:val="20"/>
              </w:rPr>
              <w:t>100</w:t>
            </w:r>
          </w:p>
        </w:tc>
        <w:tc>
          <w:tcPr>
            <w:tcW w:w="1520" w:type="dxa"/>
            <w:tcBorders>
              <w:left w:val="nil"/>
            </w:tcBorders>
            <w:noWrap w:val="0"/>
            <w:vAlign w:val="center"/>
          </w:tcPr>
          <w:p>
            <w:pPr>
              <w:widowControl/>
              <w:jc w:val="center"/>
              <w:textAlignment w:val="center"/>
              <w:rPr>
                <w:rFonts w:hint="eastAsia" w:ascii="宋体" w:hAnsi="宋体" w:cs="宋体"/>
                <w:sz w:val="20"/>
                <w:szCs w:val="20"/>
              </w:rPr>
            </w:pPr>
            <w:r>
              <w:rPr>
                <w:rFonts w:hint="eastAsia" w:ascii="宋体" w:cs="宋体"/>
                <w:szCs w:val="21"/>
                <w:u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9" w:type="dxa"/>
            <w:vMerge w:val="restart"/>
            <w:noWrap w:val="0"/>
            <w:vAlign w:val="center"/>
          </w:tcPr>
          <w:p>
            <w:pPr>
              <w:widowControl/>
              <w:spacing w:line="240" w:lineRule="exact"/>
              <w:jc w:val="center"/>
              <w:rPr>
                <w:rFonts w:ascii="宋体"/>
                <w:kern w:val="0"/>
              </w:rPr>
            </w:pPr>
            <w:r>
              <w:rPr>
                <w:rFonts w:hint="eastAsia" w:ascii="宋体" w:hAnsi="宋体" w:cs="宋体"/>
                <w:kern w:val="0"/>
              </w:rPr>
              <w:t>安全稳定</w:t>
            </w:r>
          </w:p>
        </w:tc>
        <w:tc>
          <w:tcPr>
            <w:tcW w:w="650" w:type="dxa"/>
            <w:vMerge w:val="restart"/>
            <w:noWrap w:val="0"/>
            <w:vAlign w:val="center"/>
          </w:tcPr>
          <w:p>
            <w:pPr>
              <w:widowControl/>
              <w:spacing w:line="240" w:lineRule="exact"/>
              <w:jc w:val="center"/>
              <w:textAlignment w:val="center"/>
              <w:rPr>
                <w:rFonts w:ascii="宋体" w:hAnsi="宋体" w:cs="宋体"/>
                <w:kern w:val="0"/>
              </w:rPr>
            </w:pPr>
            <w:r>
              <w:rPr>
                <w:rFonts w:ascii="宋体" w:hAnsi="宋体" w:cs="宋体"/>
                <w:kern w:val="0"/>
              </w:rPr>
              <w:t>16</w:t>
            </w:r>
          </w:p>
        </w:tc>
        <w:tc>
          <w:tcPr>
            <w:tcW w:w="2028" w:type="dxa"/>
            <w:vMerge w:val="restart"/>
            <w:tcBorders>
              <w:left w:val="nil"/>
            </w:tcBorders>
            <w:noWrap w:val="0"/>
            <w:vAlign w:val="center"/>
          </w:tcPr>
          <w:p>
            <w:pPr>
              <w:widowControl/>
              <w:spacing w:line="240" w:lineRule="exact"/>
              <w:jc w:val="center"/>
              <w:rPr>
                <w:rFonts w:hint="eastAsia" w:ascii="宋体" w:hAnsi="宋体" w:cs="宋体"/>
                <w:kern w:val="0"/>
              </w:rPr>
            </w:pPr>
            <w:r>
              <w:rPr>
                <w:rFonts w:hint="eastAsia" w:ascii="宋体" w:hAnsi="宋体" w:cs="宋体"/>
                <w:kern w:val="0"/>
              </w:rPr>
              <w:t>食品药品</w:t>
            </w:r>
          </w:p>
          <w:p>
            <w:pPr>
              <w:widowControl/>
              <w:spacing w:line="240" w:lineRule="exact"/>
              <w:jc w:val="center"/>
              <w:rPr>
                <w:rFonts w:ascii="宋体"/>
                <w:kern w:val="0"/>
              </w:rPr>
            </w:pPr>
            <w:r>
              <w:rPr>
                <w:rFonts w:hint="eastAsia" w:ascii="宋体" w:hAnsi="宋体" w:cs="宋体"/>
                <w:kern w:val="0"/>
              </w:rPr>
              <w:t>安全</w:t>
            </w:r>
          </w:p>
        </w:tc>
        <w:tc>
          <w:tcPr>
            <w:tcW w:w="2488" w:type="dxa"/>
            <w:tcBorders>
              <w:left w:val="nil"/>
            </w:tcBorders>
            <w:noWrap w:val="0"/>
            <w:vAlign w:val="center"/>
          </w:tcPr>
          <w:p>
            <w:pPr>
              <w:widowControl/>
              <w:spacing w:line="240" w:lineRule="exact"/>
              <w:jc w:val="center"/>
              <w:textAlignment w:val="center"/>
              <w:rPr>
                <w:rFonts w:ascii="宋体"/>
                <w:kern w:val="0"/>
              </w:rPr>
            </w:pPr>
            <w:r>
              <w:rPr>
                <w:rFonts w:hint="eastAsia" w:ascii="宋体" w:hAnsi="宋体" w:cs="宋体"/>
                <w:spacing w:val="-6"/>
                <w:kern w:val="0"/>
              </w:rPr>
              <w:t>食品安全抽检合格率（</w:t>
            </w:r>
            <w:r>
              <w:rPr>
                <w:rFonts w:ascii="宋体" w:hAnsi="宋体" w:cs="宋体"/>
                <w:spacing w:val="-6"/>
                <w:kern w:val="0"/>
              </w:rPr>
              <w:t>%</w:t>
            </w:r>
            <w:r>
              <w:rPr>
                <w:rFonts w:hint="eastAsia" w:ascii="宋体" w:hAnsi="宋体" w:cs="宋体"/>
                <w:spacing w:val="-6"/>
                <w:kern w:val="0"/>
              </w:rPr>
              <w:t>）</w:t>
            </w:r>
          </w:p>
        </w:tc>
        <w:tc>
          <w:tcPr>
            <w:tcW w:w="1530" w:type="dxa"/>
            <w:tcBorders>
              <w:left w:val="nil"/>
            </w:tcBorders>
            <w:noWrap w:val="0"/>
            <w:vAlign w:val="center"/>
          </w:tcPr>
          <w:p>
            <w:pPr>
              <w:widowControl/>
              <w:spacing w:line="240" w:lineRule="exact"/>
              <w:jc w:val="center"/>
              <w:textAlignment w:val="center"/>
              <w:rPr>
                <w:rFonts w:hint="eastAsia" w:ascii="宋体" w:hAnsi="宋体" w:cs="宋体"/>
                <w:sz w:val="20"/>
                <w:szCs w:val="20"/>
              </w:rPr>
            </w:pPr>
            <w:r>
              <w:rPr>
                <w:rFonts w:hint="eastAsia" w:ascii="宋体" w:hAnsi="宋体" w:cs="宋体"/>
                <w:sz w:val="20"/>
                <w:szCs w:val="20"/>
              </w:rPr>
              <w:t>稳定在</w:t>
            </w:r>
          </w:p>
          <w:p>
            <w:pPr>
              <w:widowControl/>
              <w:spacing w:line="240" w:lineRule="exact"/>
              <w:jc w:val="center"/>
              <w:textAlignment w:val="center"/>
              <w:rPr>
                <w:rFonts w:hint="eastAsia" w:ascii="宋体" w:hAnsi="宋体" w:cs="宋体"/>
                <w:sz w:val="20"/>
                <w:szCs w:val="20"/>
              </w:rPr>
            </w:pPr>
            <w:r>
              <w:rPr>
                <w:rFonts w:hint="eastAsia" w:ascii="宋体" w:hAnsi="宋体" w:cs="宋体"/>
                <w:sz w:val="20"/>
                <w:szCs w:val="20"/>
              </w:rPr>
              <w:t>98.5以上</w:t>
            </w:r>
          </w:p>
        </w:tc>
        <w:tc>
          <w:tcPr>
            <w:tcW w:w="1520" w:type="dxa"/>
            <w:vMerge w:val="restart"/>
            <w:tcBorders>
              <w:left w:val="nil"/>
            </w:tcBorders>
            <w:noWrap w:val="0"/>
            <w:vAlign w:val="center"/>
          </w:tcPr>
          <w:p>
            <w:pPr>
              <w:widowControl/>
              <w:spacing w:line="240" w:lineRule="exact"/>
              <w:jc w:val="center"/>
              <w:textAlignment w:val="auto"/>
              <w:rPr>
                <w:rFonts w:hint="eastAsia" w:ascii="宋体" w:hAnsi="宋体" w:cs="宋体"/>
                <w:sz w:val="20"/>
                <w:szCs w:val="20"/>
              </w:rPr>
            </w:pPr>
            <w:r>
              <w:rPr>
                <w:rFonts w:hint="eastAsia" w:ascii="宋体" w:hAnsi="宋体" w:cs="宋体"/>
                <w:szCs w:val="21"/>
                <w:u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jc w:val="center"/>
        </w:trPr>
        <w:tc>
          <w:tcPr>
            <w:tcW w:w="789" w:type="dxa"/>
            <w:vMerge w:val="continue"/>
            <w:noWrap w:val="0"/>
            <w:vAlign w:val="center"/>
          </w:tcPr>
          <w:p>
            <w:pPr>
              <w:widowControl/>
              <w:spacing w:line="240" w:lineRule="exact"/>
              <w:jc w:val="center"/>
              <w:rPr>
                <w:rFonts w:ascii="宋体"/>
              </w:rPr>
            </w:pPr>
          </w:p>
        </w:tc>
        <w:tc>
          <w:tcPr>
            <w:tcW w:w="650" w:type="dxa"/>
            <w:vMerge w:val="continue"/>
            <w:noWrap w:val="0"/>
            <w:vAlign w:val="center"/>
          </w:tcPr>
          <w:p>
            <w:pPr>
              <w:widowControl/>
              <w:spacing w:line="240" w:lineRule="exact"/>
              <w:jc w:val="center"/>
              <w:textAlignment w:val="center"/>
              <w:rPr>
                <w:rFonts w:ascii="宋体"/>
                <w:kern w:val="0"/>
              </w:rPr>
            </w:pPr>
          </w:p>
        </w:tc>
        <w:tc>
          <w:tcPr>
            <w:tcW w:w="2028" w:type="dxa"/>
            <w:vMerge w:val="continue"/>
            <w:tcBorders>
              <w:left w:val="nil"/>
            </w:tcBorders>
            <w:noWrap w:val="0"/>
            <w:vAlign w:val="center"/>
          </w:tcPr>
          <w:p>
            <w:pPr>
              <w:widowControl/>
              <w:spacing w:line="240" w:lineRule="exact"/>
              <w:jc w:val="center"/>
              <w:rPr>
                <w:rFonts w:ascii="宋体"/>
              </w:rPr>
            </w:pPr>
          </w:p>
        </w:tc>
        <w:tc>
          <w:tcPr>
            <w:tcW w:w="2488" w:type="dxa"/>
            <w:tcBorders>
              <w:left w:val="nil"/>
            </w:tcBorders>
            <w:noWrap w:val="0"/>
            <w:vAlign w:val="center"/>
          </w:tcPr>
          <w:p>
            <w:pPr>
              <w:widowControl/>
              <w:spacing w:line="240" w:lineRule="exact"/>
              <w:jc w:val="center"/>
              <w:textAlignment w:val="center"/>
              <w:rPr>
                <w:rFonts w:ascii="宋体"/>
                <w:kern w:val="0"/>
              </w:rPr>
            </w:pPr>
            <w:r>
              <w:rPr>
                <w:rFonts w:hint="eastAsia" w:ascii="宋体" w:hAnsi="宋体" w:cs="宋体"/>
                <w:spacing w:val="-6"/>
                <w:kern w:val="0"/>
              </w:rPr>
              <w:t>药品抽检合格率（</w:t>
            </w:r>
            <w:r>
              <w:rPr>
                <w:rFonts w:ascii="宋体" w:hAnsi="宋体" w:cs="宋体"/>
                <w:spacing w:val="-6"/>
                <w:kern w:val="0"/>
              </w:rPr>
              <w:t>%</w:t>
            </w:r>
            <w:r>
              <w:rPr>
                <w:rFonts w:hint="eastAsia" w:ascii="宋体" w:hAnsi="宋体" w:cs="宋体"/>
                <w:spacing w:val="-6"/>
                <w:kern w:val="0"/>
              </w:rPr>
              <w:t>）</w:t>
            </w:r>
          </w:p>
        </w:tc>
        <w:tc>
          <w:tcPr>
            <w:tcW w:w="1530" w:type="dxa"/>
            <w:tcBorders>
              <w:left w:val="nil"/>
            </w:tcBorders>
            <w:noWrap w:val="0"/>
            <w:vAlign w:val="center"/>
          </w:tcPr>
          <w:p>
            <w:pPr>
              <w:widowControl/>
              <w:spacing w:line="240" w:lineRule="exact"/>
              <w:jc w:val="center"/>
              <w:textAlignment w:val="center"/>
              <w:rPr>
                <w:rFonts w:hint="eastAsia" w:ascii="宋体" w:hAnsi="宋体" w:cs="宋体"/>
                <w:sz w:val="20"/>
                <w:szCs w:val="20"/>
              </w:rPr>
            </w:pPr>
            <w:r>
              <w:rPr>
                <w:rFonts w:hint="eastAsia" w:ascii="宋体" w:hAnsi="宋体" w:cs="宋体"/>
                <w:sz w:val="20"/>
                <w:szCs w:val="20"/>
              </w:rPr>
              <w:t>稳定在</w:t>
            </w:r>
          </w:p>
          <w:p>
            <w:pPr>
              <w:widowControl/>
              <w:spacing w:line="240" w:lineRule="exact"/>
              <w:jc w:val="center"/>
              <w:textAlignment w:val="center"/>
              <w:rPr>
                <w:rFonts w:ascii="宋体" w:hAnsi="宋体" w:cs="宋体"/>
                <w:sz w:val="20"/>
                <w:szCs w:val="20"/>
              </w:rPr>
            </w:pPr>
            <w:r>
              <w:rPr>
                <w:rFonts w:hint="eastAsia" w:ascii="宋体" w:hAnsi="宋体" w:cs="宋体"/>
                <w:sz w:val="20"/>
                <w:szCs w:val="20"/>
              </w:rPr>
              <w:t>99以上</w:t>
            </w:r>
          </w:p>
        </w:tc>
        <w:tc>
          <w:tcPr>
            <w:tcW w:w="1520" w:type="dxa"/>
            <w:vMerge w:val="continue"/>
            <w:tcBorders>
              <w:left w:val="nil"/>
            </w:tcBorders>
            <w:noWrap w:val="0"/>
            <w:vAlign w:val="center"/>
          </w:tcPr>
          <w:p>
            <w:pPr>
              <w:widowControl/>
              <w:jc w:val="center"/>
              <w:textAlignment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89" w:type="dxa"/>
            <w:vMerge w:val="continue"/>
            <w:noWrap w:val="0"/>
            <w:vAlign w:val="center"/>
          </w:tcPr>
          <w:p>
            <w:pPr>
              <w:widowControl/>
              <w:spacing w:line="240" w:lineRule="exact"/>
              <w:ind w:firstLine="420"/>
              <w:jc w:val="center"/>
              <w:rPr>
                <w:rFonts w:ascii="宋体"/>
                <w:kern w:val="0"/>
              </w:rPr>
            </w:pPr>
          </w:p>
        </w:tc>
        <w:tc>
          <w:tcPr>
            <w:tcW w:w="650" w:type="dxa"/>
            <w:noWrap w:val="0"/>
            <w:vAlign w:val="center"/>
          </w:tcPr>
          <w:p>
            <w:pPr>
              <w:widowControl/>
              <w:spacing w:line="240" w:lineRule="exact"/>
              <w:jc w:val="center"/>
              <w:textAlignment w:val="center"/>
              <w:rPr>
                <w:rFonts w:ascii="宋体" w:hAnsi="宋体" w:cs="宋体"/>
                <w:kern w:val="0"/>
              </w:rPr>
            </w:pPr>
            <w:r>
              <w:rPr>
                <w:rFonts w:ascii="宋体" w:hAnsi="宋体" w:cs="宋体"/>
                <w:kern w:val="0"/>
              </w:rPr>
              <w:t>17</w:t>
            </w:r>
          </w:p>
        </w:tc>
        <w:tc>
          <w:tcPr>
            <w:tcW w:w="4516" w:type="dxa"/>
            <w:gridSpan w:val="2"/>
            <w:tcBorders>
              <w:left w:val="nil"/>
            </w:tcBorders>
            <w:noWrap w:val="0"/>
            <w:vAlign w:val="center"/>
          </w:tcPr>
          <w:p>
            <w:pPr>
              <w:spacing w:line="240" w:lineRule="exact"/>
              <w:jc w:val="left"/>
              <w:rPr>
                <w:rFonts w:ascii="宋体"/>
              </w:rPr>
            </w:pPr>
            <w:r>
              <w:rPr>
                <w:rFonts w:hint="eastAsia" w:ascii="宋体" w:hAnsi="宋体" w:cs="宋体"/>
              </w:rPr>
              <w:t>单位地区生产总值生产安全事故死亡率</w:t>
            </w:r>
          </w:p>
          <w:p>
            <w:pPr>
              <w:spacing w:line="240" w:lineRule="exact"/>
              <w:jc w:val="left"/>
              <w:rPr>
                <w:rFonts w:ascii="宋体"/>
              </w:rPr>
            </w:pPr>
            <w:r>
              <w:rPr>
                <w:rFonts w:hint="eastAsia" w:ascii="宋体" w:hAnsi="宋体" w:cs="宋体"/>
              </w:rPr>
              <w:t>（人</w:t>
            </w:r>
            <w:r>
              <w:rPr>
                <w:rFonts w:ascii="宋体" w:hAnsi="宋体" w:cs="宋体"/>
              </w:rPr>
              <w:t>/</w:t>
            </w:r>
            <w:r>
              <w:rPr>
                <w:rFonts w:hint="eastAsia" w:ascii="宋体" w:hAnsi="宋体" w:cs="宋体"/>
              </w:rPr>
              <w:t>百亿元）</w:t>
            </w:r>
          </w:p>
        </w:tc>
        <w:tc>
          <w:tcPr>
            <w:tcW w:w="1530" w:type="dxa"/>
            <w:tcBorders>
              <w:left w:val="nil"/>
            </w:tcBorders>
            <w:noWrap w:val="0"/>
            <w:vAlign w:val="center"/>
          </w:tcPr>
          <w:p>
            <w:pPr>
              <w:widowControl/>
              <w:spacing w:line="240" w:lineRule="exact"/>
              <w:jc w:val="center"/>
              <w:textAlignment w:val="center"/>
              <w:rPr>
                <w:rFonts w:hint="eastAsia" w:ascii="宋体" w:hAnsi="宋体" w:cs="宋体"/>
                <w:sz w:val="20"/>
                <w:szCs w:val="20"/>
              </w:rPr>
            </w:pPr>
            <w:r>
              <w:rPr>
                <w:rFonts w:hint="eastAsia" w:ascii="宋体" w:hAnsi="宋体" w:cs="宋体"/>
                <w:sz w:val="20"/>
                <w:szCs w:val="20"/>
              </w:rPr>
              <w:t>达到</w:t>
            </w:r>
          </w:p>
          <w:p>
            <w:pPr>
              <w:widowControl/>
              <w:spacing w:line="240" w:lineRule="exact"/>
              <w:jc w:val="center"/>
              <w:textAlignment w:val="center"/>
              <w:rPr>
                <w:rFonts w:hint="eastAsia" w:ascii="宋体" w:hAnsi="宋体" w:cs="宋体"/>
                <w:sz w:val="20"/>
                <w:szCs w:val="20"/>
              </w:rPr>
            </w:pPr>
            <w:r>
              <w:rPr>
                <w:rFonts w:hint="eastAsia" w:ascii="宋体" w:hAnsi="宋体" w:cs="宋体"/>
                <w:sz w:val="20"/>
                <w:szCs w:val="20"/>
              </w:rPr>
              <w:t>市级要求</w:t>
            </w:r>
          </w:p>
        </w:tc>
        <w:tc>
          <w:tcPr>
            <w:tcW w:w="1520" w:type="dxa"/>
            <w:tcBorders>
              <w:left w:val="nil"/>
            </w:tcBorders>
            <w:noWrap w:val="0"/>
            <w:vAlign w:val="center"/>
          </w:tcPr>
          <w:p>
            <w:pPr>
              <w:widowControl/>
              <w:jc w:val="center"/>
              <w:textAlignment w:val="center"/>
              <w:rPr>
                <w:rFonts w:hint="eastAsia" w:ascii="宋体" w:hAnsi="宋体" w:cs="宋体"/>
                <w:sz w:val="20"/>
                <w:szCs w:val="20"/>
              </w:rPr>
            </w:pPr>
            <w:r>
              <w:rPr>
                <w:rFonts w:hint="eastAsia" w:ascii="宋体" w:hAnsi="宋体" w:cs="宋体"/>
                <w:szCs w:val="21"/>
                <w:u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789" w:type="dxa"/>
            <w:vMerge w:val="restart"/>
            <w:noWrap w:val="0"/>
            <w:vAlign w:val="center"/>
          </w:tcPr>
          <w:p>
            <w:pPr>
              <w:widowControl/>
              <w:spacing w:line="240" w:lineRule="exact"/>
              <w:jc w:val="center"/>
              <w:rPr>
                <w:rFonts w:ascii="宋体"/>
                <w:kern w:val="0"/>
              </w:rPr>
            </w:pPr>
            <w:r>
              <w:rPr>
                <w:rFonts w:hint="eastAsia" w:ascii="宋体" w:hAnsi="宋体" w:cs="宋体"/>
                <w:kern w:val="0"/>
              </w:rPr>
              <w:t>减量提质</w:t>
            </w:r>
          </w:p>
        </w:tc>
        <w:tc>
          <w:tcPr>
            <w:tcW w:w="650" w:type="dxa"/>
            <w:noWrap w:val="0"/>
            <w:vAlign w:val="center"/>
          </w:tcPr>
          <w:p>
            <w:pPr>
              <w:widowControl/>
              <w:spacing w:line="240" w:lineRule="exact"/>
              <w:jc w:val="center"/>
              <w:textAlignment w:val="center"/>
              <w:rPr>
                <w:rFonts w:ascii="宋体" w:hAnsi="宋体" w:cs="宋体"/>
                <w:kern w:val="0"/>
              </w:rPr>
            </w:pPr>
            <w:r>
              <w:rPr>
                <w:rFonts w:ascii="宋体" w:hAnsi="宋体" w:cs="宋体"/>
                <w:kern w:val="0"/>
              </w:rPr>
              <w:t>18</w:t>
            </w:r>
          </w:p>
        </w:tc>
        <w:tc>
          <w:tcPr>
            <w:tcW w:w="4516" w:type="dxa"/>
            <w:gridSpan w:val="2"/>
            <w:tcBorders>
              <w:left w:val="nil"/>
            </w:tcBorders>
            <w:noWrap w:val="0"/>
            <w:vAlign w:val="center"/>
          </w:tcPr>
          <w:p>
            <w:pPr>
              <w:widowControl/>
              <w:spacing w:line="240" w:lineRule="exact"/>
              <w:jc w:val="left"/>
              <w:textAlignment w:val="center"/>
              <w:rPr>
                <w:rFonts w:ascii="宋体"/>
                <w:kern w:val="0"/>
              </w:rPr>
            </w:pPr>
            <w:r>
              <w:rPr>
                <w:rFonts w:hint="eastAsia" w:ascii="宋体" w:hAnsi="宋体" w:cs="宋体"/>
                <w:kern w:val="0"/>
              </w:rPr>
              <w:t>万元地区生产总值能耗降幅（</w:t>
            </w:r>
            <w:r>
              <w:rPr>
                <w:rFonts w:ascii="宋体" w:hAnsi="宋体" w:cs="宋体"/>
                <w:kern w:val="0"/>
              </w:rPr>
              <w:t>%</w:t>
            </w:r>
            <w:r>
              <w:rPr>
                <w:rFonts w:hint="eastAsia" w:ascii="宋体" w:hAnsi="宋体" w:cs="宋体"/>
                <w:kern w:val="0"/>
              </w:rPr>
              <w:t>）</w:t>
            </w:r>
          </w:p>
        </w:tc>
        <w:tc>
          <w:tcPr>
            <w:tcW w:w="1530" w:type="dxa"/>
            <w:tcBorders>
              <w:left w:val="nil"/>
            </w:tcBorders>
            <w:noWrap w:val="0"/>
            <w:vAlign w:val="center"/>
          </w:tcPr>
          <w:p>
            <w:pPr>
              <w:widowControl/>
              <w:spacing w:line="240" w:lineRule="exact"/>
              <w:jc w:val="center"/>
              <w:textAlignment w:val="center"/>
              <w:rPr>
                <w:rFonts w:hint="eastAsia" w:ascii="宋体" w:hAnsi="宋体" w:cs="宋体"/>
                <w:sz w:val="20"/>
                <w:szCs w:val="20"/>
              </w:rPr>
            </w:pPr>
            <w:r>
              <w:rPr>
                <w:rFonts w:hint="eastAsia" w:ascii="宋体" w:hAnsi="宋体" w:cs="宋体"/>
                <w:sz w:val="20"/>
                <w:szCs w:val="20"/>
              </w:rPr>
              <w:t>达到</w:t>
            </w:r>
          </w:p>
          <w:p>
            <w:pPr>
              <w:widowControl/>
              <w:spacing w:line="240" w:lineRule="exact"/>
              <w:jc w:val="center"/>
              <w:textAlignment w:val="center"/>
              <w:rPr>
                <w:rFonts w:hint="eastAsia" w:ascii="宋体" w:hAnsi="宋体" w:cs="宋体"/>
                <w:sz w:val="20"/>
                <w:szCs w:val="20"/>
              </w:rPr>
            </w:pPr>
            <w:r>
              <w:rPr>
                <w:rFonts w:hint="eastAsia" w:ascii="宋体" w:hAnsi="宋体" w:cs="宋体"/>
                <w:sz w:val="20"/>
                <w:szCs w:val="20"/>
              </w:rPr>
              <w:t>市级要求</w:t>
            </w:r>
          </w:p>
        </w:tc>
        <w:tc>
          <w:tcPr>
            <w:tcW w:w="1520" w:type="dxa"/>
            <w:tcBorders>
              <w:left w:val="nil"/>
            </w:tcBorders>
            <w:noWrap w:val="0"/>
            <w:vAlign w:val="center"/>
          </w:tcPr>
          <w:p>
            <w:pPr>
              <w:widowControl/>
              <w:jc w:val="center"/>
              <w:textAlignment w:val="center"/>
              <w:rPr>
                <w:rFonts w:hint="eastAsia" w:ascii="宋体" w:hAnsi="宋体" w:cs="宋体"/>
                <w:sz w:val="20"/>
                <w:szCs w:val="20"/>
              </w:rPr>
            </w:pPr>
            <w:r>
              <w:rPr>
                <w:rFonts w:hint="eastAsia" w:ascii="宋体" w:hAnsi="宋体" w:cs="宋体"/>
                <w:szCs w:val="21"/>
                <w:u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789" w:type="dxa"/>
            <w:vMerge w:val="continue"/>
            <w:noWrap w:val="0"/>
            <w:vAlign w:val="center"/>
          </w:tcPr>
          <w:p>
            <w:pPr>
              <w:widowControl/>
              <w:spacing w:line="240" w:lineRule="exact"/>
              <w:ind w:left="420" w:hanging="420"/>
              <w:jc w:val="center"/>
              <w:rPr>
                <w:rFonts w:ascii="宋体"/>
                <w:kern w:val="0"/>
              </w:rPr>
            </w:pPr>
          </w:p>
        </w:tc>
        <w:tc>
          <w:tcPr>
            <w:tcW w:w="650" w:type="dxa"/>
            <w:noWrap w:val="0"/>
            <w:vAlign w:val="center"/>
          </w:tcPr>
          <w:p>
            <w:pPr>
              <w:widowControl/>
              <w:spacing w:line="240" w:lineRule="exact"/>
              <w:jc w:val="center"/>
              <w:textAlignment w:val="center"/>
              <w:rPr>
                <w:rFonts w:ascii="宋体" w:hAnsi="宋体" w:cs="宋体"/>
                <w:kern w:val="0"/>
              </w:rPr>
            </w:pPr>
            <w:r>
              <w:rPr>
                <w:rFonts w:ascii="宋体" w:hAnsi="宋体" w:cs="宋体"/>
                <w:kern w:val="0"/>
              </w:rPr>
              <w:t>19</w:t>
            </w:r>
          </w:p>
        </w:tc>
        <w:tc>
          <w:tcPr>
            <w:tcW w:w="4516" w:type="dxa"/>
            <w:gridSpan w:val="2"/>
            <w:tcBorders>
              <w:left w:val="nil"/>
            </w:tcBorders>
            <w:noWrap w:val="0"/>
            <w:vAlign w:val="center"/>
          </w:tcPr>
          <w:p>
            <w:pPr>
              <w:widowControl/>
              <w:spacing w:line="240" w:lineRule="exact"/>
              <w:jc w:val="left"/>
              <w:textAlignment w:val="center"/>
              <w:rPr>
                <w:rFonts w:ascii="宋体"/>
                <w:kern w:val="0"/>
              </w:rPr>
            </w:pPr>
            <w:r>
              <w:rPr>
                <w:rFonts w:hint="eastAsia" w:ascii="宋体" w:hAnsi="宋体" w:cs="宋体"/>
                <w:kern w:val="0"/>
              </w:rPr>
              <w:t>常住人口规模（万人）</w:t>
            </w:r>
          </w:p>
        </w:tc>
        <w:tc>
          <w:tcPr>
            <w:tcW w:w="1530" w:type="dxa"/>
            <w:tcBorders>
              <w:left w:val="nil"/>
            </w:tcBorders>
            <w:noWrap w:val="0"/>
            <w:vAlign w:val="center"/>
          </w:tcPr>
          <w:p>
            <w:pPr>
              <w:widowControl/>
              <w:spacing w:line="240" w:lineRule="exact"/>
              <w:jc w:val="center"/>
              <w:textAlignment w:val="center"/>
              <w:rPr>
                <w:rFonts w:hint="eastAsia" w:ascii="宋体" w:hAnsi="宋体" w:cs="宋体"/>
                <w:sz w:val="20"/>
                <w:szCs w:val="20"/>
              </w:rPr>
            </w:pPr>
            <w:r>
              <w:rPr>
                <w:rFonts w:hint="eastAsia" w:ascii="宋体" w:hAnsi="宋体" w:cs="宋体"/>
                <w:sz w:val="20"/>
                <w:szCs w:val="20"/>
              </w:rPr>
              <w:t>达到</w:t>
            </w:r>
          </w:p>
          <w:p>
            <w:pPr>
              <w:widowControl/>
              <w:spacing w:line="240" w:lineRule="exact"/>
              <w:jc w:val="center"/>
              <w:textAlignment w:val="center"/>
              <w:rPr>
                <w:rFonts w:hint="eastAsia" w:ascii="宋体" w:hAnsi="宋体" w:cs="宋体"/>
                <w:sz w:val="20"/>
                <w:szCs w:val="20"/>
              </w:rPr>
            </w:pPr>
            <w:r>
              <w:rPr>
                <w:rFonts w:hint="eastAsia" w:ascii="宋体" w:hAnsi="宋体" w:cs="宋体"/>
                <w:sz w:val="20"/>
                <w:szCs w:val="20"/>
              </w:rPr>
              <w:t>市级要求</w:t>
            </w:r>
          </w:p>
        </w:tc>
        <w:tc>
          <w:tcPr>
            <w:tcW w:w="1520" w:type="dxa"/>
            <w:tcBorders>
              <w:left w:val="nil"/>
            </w:tcBorders>
            <w:noWrap w:val="0"/>
            <w:vAlign w:val="center"/>
          </w:tcPr>
          <w:p>
            <w:pPr>
              <w:widowControl/>
              <w:spacing w:line="240" w:lineRule="exact"/>
              <w:jc w:val="center"/>
              <w:rPr>
                <w:rFonts w:hint="eastAsia" w:ascii="宋体" w:hAnsi="宋体" w:cs="宋体"/>
                <w:sz w:val="20"/>
                <w:szCs w:val="20"/>
              </w:rPr>
            </w:pPr>
            <w:r>
              <w:rPr>
                <w:rFonts w:hint="eastAsia" w:ascii="宋体" w:hAnsi="宋体" w:cs="宋体"/>
                <w:szCs w:val="21"/>
                <w:u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89" w:type="dxa"/>
            <w:vMerge w:val="continue"/>
            <w:noWrap w:val="0"/>
            <w:vAlign w:val="center"/>
          </w:tcPr>
          <w:p>
            <w:pPr>
              <w:widowControl/>
              <w:spacing w:line="240" w:lineRule="exact"/>
              <w:ind w:left="420" w:hanging="420"/>
              <w:jc w:val="center"/>
              <w:rPr>
                <w:rFonts w:ascii="宋体"/>
                <w:kern w:val="0"/>
              </w:rPr>
            </w:pPr>
          </w:p>
        </w:tc>
        <w:tc>
          <w:tcPr>
            <w:tcW w:w="650" w:type="dxa"/>
            <w:noWrap w:val="0"/>
            <w:vAlign w:val="center"/>
          </w:tcPr>
          <w:p>
            <w:pPr>
              <w:widowControl/>
              <w:spacing w:line="240" w:lineRule="exact"/>
              <w:jc w:val="center"/>
              <w:textAlignment w:val="center"/>
              <w:rPr>
                <w:rFonts w:ascii="宋体" w:hAnsi="宋体" w:cs="宋体"/>
                <w:kern w:val="0"/>
              </w:rPr>
            </w:pPr>
            <w:r>
              <w:rPr>
                <w:rFonts w:ascii="宋体" w:hAnsi="宋体" w:cs="宋体"/>
                <w:kern w:val="0"/>
              </w:rPr>
              <w:t>20</w:t>
            </w:r>
          </w:p>
        </w:tc>
        <w:tc>
          <w:tcPr>
            <w:tcW w:w="4516" w:type="dxa"/>
            <w:gridSpan w:val="2"/>
            <w:tcBorders>
              <w:left w:val="nil"/>
            </w:tcBorders>
            <w:noWrap w:val="0"/>
            <w:vAlign w:val="center"/>
          </w:tcPr>
          <w:p>
            <w:pPr>
              <w:widowControl/>
              <w:spacing w:line="240" w:lineRule="exact"/>
              <w:jc w:val="left"/>
              <w:textAlignment w:val="center"/>
              <w:rPr>
                <w:rFonts w:ascii="宋体"/>
                <w:kern w:val="0"/>
              </w:rPr>
            </w:pPr>
            <w:r>
              <w:rPr>
                <w:rFonts w:hint="eastAsia" w:ascii="宋体" w:hAnsi="宋体" w:cs="宋体"/>
              </w:rPr>
              <w:t>生产生活用水总量</w:t>
            </w:r>
            <w:r>
              <w:rPr>
                <w:rFonts w:hint="eastAsia" w:ascii="宋体" w:hAnsi="宋体" w:cs="宋体"/>
                <w:kern w:val="0"/>
              </w:rPr>
              <w:t>（亿立方米）</w:t>
            </w:r>
          </w:p>
        </w:tc>
        <w:tc>
          <w:tcPr>
            <w:tcW w:w="1530" w:type="dxa"/>
            <w:tcBorders>
              <w:left w:val="nil"/>
            </w:tcBorders>
            <w:noWrap w:val="0"/>
            <w:vAlign w:val="center"/>
          </w:tcPr>
          <w:p>
            <w:pPr>
              <w:widowControl/>
              <w:spacing w:line="240" w:lineRule="exact"/>
              <w:jc w:val="center"/>
              <w:textAlignment w:val="center"/>
              <w:rPr>
                <w:rFonts w:hint="eastAsia" w:ascii="宋体" w:hAnsi="宋体" w:cs="宋体"/>
                <w:sz w:val="20"/>
                <w:szCs w:val="20"/>
              </w:rPr>
            </w:pPr>
            <w:r>
              <w:rPr>
                <w:rFonts w:hint="eastAsia" w:ascii="宋体"/>
                <w:sz w:val="20"/>
                <w:szCs w:val="20"/>
              </w:rPr>
              <w:t>1</w:t>
            </w:r>
          </w:p>
        </w:tc>
        <w:tc>
          <w:tcPr>
            <w:tcW w:w="1520" w:type="dxa"/>
            <w:tcBorders>
              <w:left w:val="nil"/>
            </w:tcBorders>
            <w:noWrap w:val="0"/>
            <w:vAlign w:val="center"/>
          </w:tcPr>
          <w:p>
            <w:pPr>
              <w:widowControl/>
              <w:spacing w:line="240" w:lineRule="exact"/>
              <w:jc w:val="center"/>
              <w:rPr>
                <w:rFonts w:hint="eastAsia" w:ascii="宋体"/>
                <w:sz w:val="20"/>
                <w:szCs w:val="20"/>
              </w:rPr>
            </w:pPr>
            <w:r>
              <w:rPr>
                <w:rFonts w:hint="eastAsia" w:ascii="宋体" w:hAnsi="宋体" w:cs="宋体"/>
                <w:szCs w:val="21"/>
                <w:u w:val="none"/>
              </w:rPr>
              <w:t>约束性</w:t>
            </w:r>
          </w:p>
        </w:tc>
      </w:tr>
    </w:tbl>
    <w:p>
      <w:pPr>
        <w:pStyle w:val="9"/>
        <w:rPr>
          <w:rFonts w:hint="eastAsia"/>
        </w:rPr>
        <w:sectPr>
          <w:footerReference r:id="rId4" w:type="default"/>
          <w:pgSz w:w="11906" w:h="16838"/>
          <w:pgMar w:top="2098" w:right="1474" w:bottom="1984" w:left="1587" w:header="1417" w:footer="1417" w:gutter="0"/>
          <w:cols w:space="720" w:num="1"/>
          <w:docGrid w:type="lines" w:linePitch="312" w:charSpace="0"/>
        </w:sectPr>
      </w:pPr>
    </w:p>
    <w:p>
      <w:pPr>
        <w:pStyle w:val="9"/>
        <w:spacing w:line="600" w:lineRule="exact"/>
        <w:rPr>
          <w:rFonts w:hint="eastAsia" w:eastAsia="黑体"/>
          <w:sz w:val="36"/>
          <w:szCs w:val="36"/>
        </w:rPr>
      </w:pPr>
      <w:r>
        <w:rPr>
          <w:rFonts w:hint="eastAsia" w:ascii="黑体" w:hAnsi="黑体" w:eastAsia="黑体" w:cs="黑体"/>
          <w:sz w:val="36"/>
          <w:szCs w:val="36"/>
        </w:rPr>
        <w:t>附件2</w:t>
      </w:r>
    </w:p>
    <w:p>
      <w:pPr>
        <w:spacing w:line="600" w:lineRule="exact"/>
        <w:jc w:val="center"/>
        <w:rPr>
          <w:rFonts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rPr>
        <w:t>名词解释</w:t>
      </w:r>
    </w:p>
    <w:p>
      <w:pPr>
        <w:spacing w:line="560" w:lineRule="exact"/>
        <w:rPr>
          <w:rFonts w:ascii="仿宋_GB2312" w:hAnsi="仿宋_GB2312" w:eastAsia="仿宋_GB2312" w:cs="仿宋_GB2312"/>
          <w:sz w:val="32"/>
          <w:szCs w:val="32"/>
          <w:lang w:val="zh-CN"/>
        </w:rPr>
      </w:pPr>
    </w:p>
    <w:p>
      <w:pPr>
        <w:numPr>
          <w:ilvl w:val="0"/>
          <w:numId w:val="3"/>
        </w:numPr>
        <w:spacing w:line="600" w:lineRule="exact"/>
        <w:ind w:firstLine="723" w:firstLineChars="200"/>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中国式现代化西城实践“2-1-1-5-2”框架体系：</w:t>
      </w:r>
      <w:r>
        <w:rPr>
          <w:rFonts w:hint="eastAsia" w:ascii="仿宋_GB2312" w:hAnsi="仿宋_GB2312" w:eastAsia="仿宋_GB2312" w:cs="仿宋_GB2312"/>
          <w:sz w:val="36"/>
          <w:szCs w:val="36"/>
        </w:rPr>
        <w:t>西城区委十三届六次全会审议通过了《中共北京市西城区委关于深入贯彻党的二十大精神扎实推进中国式现代化西城实践的意见》，在区级层面提出中国式现代化西城实践“2-1-1-5-2”框架体系。“2”——“两个突出”：突出政治中心、突出人民群众，这是中国式现代化西城实践的根本要求；“1”——“一个目标”：全力塑造服务高效、发展高端、治理精细、开放包容、宜居宜业的高品质之城，这是中国式现代化西城实践的发展愿景；“1”——“一条路径”：减量发展背景下超大城市核心区高质量发展新路径，这是中国式现代化西城实践的光明大道；“5”——“五个主攻方向”：全力服务保障首都功能、大力推动经济高质量发展、全面提升民生福祉、持续高水平推进控规落地、坚定推动文化强区建设，这是中国式现代化西城实践必须牢牢抓好的五个方面工作；“2”——“两个工程”：“红墙先锋工程”和“双提升”工程，这是中国式现代化西城实践的组织保障。</w:t>
      </w:r>
    </w:p>
    <w:p>
      <w:pPr>
        <w:numPr>
          <w:ilvl w:val="0"/>
          <w:numId w:val="3"/>
        </w:numPr>
        <w:spacing w:line="60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红墙先锋工程：</w:t>
      </w:r>
      <w:r>
        <w:rPr>
          <w:rFonts w:hint="eastAsia" w:ascii="仿宋_GB2312" w:hAnsi="仿宋_GB2312" w:eastAsia="仿宋_GB2312" w:cs="仿宋_GB2312"/>
          <w:sz w:val="36"/>
          <w:szCs w:val="36"/>
        </w:rPr>
        <w:t>是“红墙意识”在理论和实践层面的再深化再拓展,是推动首都功能核心区党建工作高质量发展的统领性工作。通过构建“1+6”制度体系（一个全区总体实施意见加机关、国企、教育、卫生、街道、两新六个系统实施方案），围绕政治领导力、思想引领力、组织凝聚力、发展推动力、自我革新力“五力”机制，健全完善上下贯通、执行有力的组织体系，推动基层党建工作实现新提升、取得新实效。</w:t>
      </w:r>
    </w:p>
    <w:p>
      <w:pPr>
        <w:numPr>
          <w:ilvl w:val="0"/>
          <w:numId w:val="3"/>
        </w:numPr>
        <w:spacing w:line="60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“双提升”工程：</w:t>
      </w:r>
      <w:r>
        <w:rPr>
          <w:rFonts w:hint="eastAsia" w:ascii="仿宋_GB2312" w:hAnsi="仿宋_GB2312" w:eastAsia="仿宋_GB2312" w:cs="仿宋_GB2312"/>
          <w:sz w:val="36"/>
          <w:szCs w:val="36"/>
        </w:rPr>
        <w:t>在全区开展的“提升工作效能水平、提升干部队伍素质能力”工程，以大思考、大调研、大讨论、大实践为抓手，推动工作“提速、增效”和干部“提质、强能”。</w:t>
      </w:r>
    </w:p>
    <w:p>
      <w:pPr>
        <w:numPr>
          <w:ilvl w:val="0"/>
          <w:numId w:val="3"/>
        </w:numPr>
        <w:spacing w:line="600" w:lineRule="exact"/>
        <w:ind w:firstLine="723" w:firstLineChars="200"/>
        <w:rPr>
          <w:rFonts w:ascii="仿宋_GB2312" w:hAnsi="仿宋_GB2312" w:eastAsia="仿宋_GB2312" w:cs="仿宋_GB2312"/>
          <w:b/>
          <w:bCs/>
          <w:sz w:val="36"/>
          <w:szCs w:val="36"/>
          <w:lang w:val="zh-CN"/>
        </w:rPr>
      </w:pPr>
      <w:r>
        <w:rPr>
          <w:rFonts w:hint="eastAsia" w:ascii="仿宋_GB2312" w:hAnsi="仿宋_GB2312" w:eastAsia="仿宋_GB2312" w:cs="仿宋_GB2312"/>
          <w:b/>
          <w:bCs/>
          <w:sz w:val="36"/>
          <w:szCs w:val="36"/>
        </w:rPr>
        <w:t>长安计划：</w:t>
      </w:r>
      <w:r>
        <w:rPr>
          <w:rFonts w:hint="eastAsia" w:ascii="仿宋_GB2312" w:hAnsi="仿宋_GB2312" w:eastAsia="仿宋_GB2312" w:cs="仿宋_GB2312"/>
          <w:sz w:val="36"/>
          <w:szCs w:val="36"/>
        </w:rPr>
        <w:t>西城区全面提升安全维护能力和水平三年行动计划，涉及政治安全、社会稳定、基层社会治理、公共安全。</w:t>
      </w:r>
    </w:p>
    <w:p>
      <w:pPr>
        <w:numPr>
          <w:ilvl w:val="0"/>
          <w:numId w:val="3"/>
        </w:numPr>
        <w:spacing w:line="600" w:lineRule="exact"/>
        <w:ind w:firstLine="723" w:firstLineChars="200"/>
        <w:rPr>
          <w:rFonts w:ascii="仿宋_GB2312" w:hAnsi="仿宋_GB2312" w:eastAsia="仿宋_GB2312" w:cs="仿宋_GB2312"/>
          <w:sz w:val="36"/>
          <w:szCs w:val="36"/>
          <w:lang w:val="zh-CN"/>
        </w:rPr>
      </w:pPr>
      <w:r>
        <w:rPr>
          <w:rFonts w:hint="eastAsia" w:ascii="仿宋_GB2312" w:hAnsi="仿宋_GB2312" w:eastAsia="仿宋_GB2312" w:cs="仿宋_GB2312"/>
          <w:b/>
          <w:bCs/>
          <w:sz w:val="36"/>
          <w:szCs w:val="36"/>
          <w:lang w:val="zh-CN"/>
        </w:rPr>
        <w:t>与门头沟区结对协作新一轮框架协议：</w:t>
      </w:r>
      <w:r>
        <w:rPr>
          <w:rFonts w:hint="eastAsia" w:ascii="仿宋_GB2312" w:hAnsi="仿宋_GB2312" w:eastAsia="仿宋_GB2312" w:cs="仿宋_GB2312"/>
          <w:sz w:val="36"/>
          <w:szCs w:val="36"/>
          <w:lang w:val="zh-CN"/>
        </w:rPr>
        <w:t>指《西城区与门头沟区新时代高质量推动生态涵养区生态保护和绿色发展结对协作框架协议（2023-2027年）》，明确了两区在生态保护、功能承接和产业协作、公共服务和基础设施、乡村振兴、就业帮扶、生态产品价值实现、干部人才培养七大重点工作领域继续深化结对协作。</w:t>
      </w:r>
    </w:p>
    <w:p>
      <w:pPr>
        <w:numPr>
          <w:ilvl w:val="0"/>
          <w:numId w:val="3"/>
        </w:numPr>
        <w:spacing w:line="600" w:lineRule="exact"/>
        <w:ind w:firstLine="723" w:firstLineChars="200"/>
        <w:rPr>
          <w:lang w:val="zh-CN"/>
        </w:rPr>
      </w:pPr>
      <w:r>
        <w:rPr>
          <w:rFonts w:hint="eastAsia" w:ascii="仿宋_GB2312" w:hAnsi="仿宋_GB2312" w:eastAsia="仿宋_GB2312" w:cs="仿宋_GB2312"/>
          <w:b/>
          <w:bCs/>
          <w:sz w:val="36"/>
          <w:szCs w:val="36"/>
          <w:lang w:val="zh-CN"/>
        </w:rPr>
        <w:t>“金服十条”2.0版：</w:t>
      </w:r>
      <w:r>
        <w:rPr>
          <w:rFonts w:hint="eastAsia" w:ascii="仿宋_GB2312" w:hAnsi="仿宋_GB2312" w:eastAsia="仿宋_GB2312" w:cs="仿宋_GB2312"/>
          <w:sz w:val="36"/>
          <w:szCs w:val="36"/>
          <w:lang w:val="zh-CN"/>
        </w:rPr>
        <w:t>2023年出台的《西城区关于加快现代金融产业发展的若干措施》，是对2018年出台的《北京市西城区加快现代金融产业发展的若干意见》即“金服十条”1.0版政策的全方位优化，旨在支持各类金融机构在西城区发展，助力打造更具竞争力的业态，持续强化国家金融管理中心功能，不断提升服务国家重大战略能力。</w:t>
      </w:r>
    </w:p>
    <w:p>
      <w:pPr>
        <w:numPr>
          <w:ilvl w:val="0"/>
          <w:numId w:val="3"/>
        </w:numPr>
        <w:spacing w:line="600" w:lineRule="exact"/>
        <w:ind w:firstLine="723" w:firstLineChars="200"/>
        <w:rPr>
          <w:rFonts w:ascii="仿宋_GB2312" w:hAnsi="仿宋_GB2312" w:eastAsia="仿宋_GB2312" w:cs="仿宋_GB2312"/>
          <w:sz w:val="36"/>
          <w:szCs w:val="36"/>
          <w:lang w:val="zh-CN"/>
        </w:rPr>
      </w:pPr>
      <w:r>
        <w:rPr>
          <w:rFonts w:hint="eastAsia" w:ascii="仿宋_GB2312" w:hAnsi="仿宋_GB2312" w:eastAsia="仿宋_GB2312" w:cs="仿宋_GB2312"/>
          <w:b/>
          <w:bCs/>
          <w:sz w:val="36"/>
          <w:szCs w:val="36"/>
          <w:lang w:val="zh-CN"/>
        </w:rPr>
        <w:t>守袋行动：</w:t>
      </w:r>
      <w:r>
        <w:rPr>
          <w:rFonts w:hint="eastAsia" w:ascii="仿宋_GB2312" w:hAnsi="仿宋_GB2312" w:eastAsia="仿宋_GB2312" w:cs="仿宋_GB2312"/>
          <w:sz w:val="36"/>
          <w:szCs w:val="36"/>
          <w:lang w:val="zh-CN"/>
        </w:rPr>
        <w:t>由驻区金融机构与15个街道开展“1+1+1”三方结对共建，以守住老百姓的钱袋子、护好万千居民幸福家园为目标，共同构建防范金融风险、提高金融素养的新格局。</w:t>
      </w:r>
    </w:p>
    <w:p>
      <w:pPr>
        <w:numPr>
          <w:ilvl w:val="0"/>
          <w:numId w:val="3"/>
        </w:numPr>
        <w:spacing w:line="600" w:lineRule="exact"/>
        <w:ind w:firstLine="723" w:firstLineChars="200"/>
        <w:rPr>
          <w:rFonts w:ascii="仿宋_GB2312" w:hAnsi="仿宋_GB2312" w:eastAsia="仿宋_GB2312" w:cs="仿宋_GB2312"/>
          <w:sz w:val="36"/>
          <w:szCs w:val="36"/>
          <w:lang w:val="zh-CN"/>
        </w:rPr>
      </w:pPr>
      <w:r>
        <w:rPr>
          <w:rFonts w:hint="eastAsia" w:ascii="仿宋_GB2312" w:hAnsi="仿宋_GB2312" w:eastAsia="仿宋_GB2312" w:cs="仿宋_GB2312"/>
          <w:b/>
          <w:bCs/>
          <w:sz w:val="36"/>
          <w:szCs w:val="36"/>
          <w:lang w:val="zh-CN"/>
        </w:rPr>
        <w:t>“金科十条”2.0版：</w:t>
      </w:r>
      <w:r>
        <w:rPr>
          <w:rFonts w:hint="eastAsia" w:ascii="仿宋_GB2312" w:hAnsi="仿宋_GB2312" w:eastAsia="仿宋_GB2312" w:cs="仿宋_GB2312"/>
          <w:sz w:val="36"/>
          <w:szCs w:val="36"/>
          <w:lang w:val="zh-CN"/>
        </w:rPr>
        <w:t>即《关于支持国家级金融科技示范区建设若干措施》，紧扣金融科技企业和专业服务机构发展需求，针对企业注册、办公、发展等全生命周期给予支持，在营商环境、专业服务、标准创制等方面，扩大品质服务供给，释放优质产业生态效应，加大对金融科技企业成长全过程、产业发展全链条、服务支撑全要素的支持力度，持续推广“引进、培育、上市、市值管理”的全流程链条式服务机制，推动产业链提质增效，积极构筑功能完备、系统高效、共建共享的创新生态体系。</w:t>
      </w:r>
    </w:p>
    <w:p>
      <w:pPr>
        <w:numPr>
          <w:ilvl w:val="0"/>
          <w:numId w:val="3"/>
        </w:numPr>
        <w:spacing w:line="600" w:lineRule="exact"/>
        <w:ind w:firstLine="723" w:firstLineChars="200"/>
        <w:rPr>
          <w:rFonts w:ascii="仿宋_GB2312" w:hAnsi="仿宋_GB2312" w:eastAsia="仿宋_GB2312" w:cs="仿宋_GB2312"/>
          <w:sz w:val="36"/>
          <w:szCs w:val="36"/>
          <w:lang w:val="zh-CN"/>
        </w:rPr>
      </w:pPr>
      <w:r>
        <w:rPr>
          <w:rFonts w:hint="eastAsia" w:ascii="仿宋_GB2312" w:hAnsi="仿宋_GB2312" w:eastAsia="仿宋_GB2312" w:cs="仿宋_GB2312"/>
          <w:b/>
          <w:bCs/>
          <w:sz w:val="36"/>
          <w:szCs w:val="36"/>
          <w:lang w:val="zh-CN"/>
        </w:rPr>
        <w:t>“两区”建设：</w:t>
      </w:r>
      <w:r>
        <w:rPr>
          <w:rFonts w:hint="eastAsia" w:ascii="仿宋_GB2312" w:hAnsi="仿宋_GB2312" w:eastAsia="仿宋_GB2312" w:cs="仿宋_GB2312"/>
          <w:sz w:val="36"/>
          <w:szCs w:val="36"/>
          <w:lang w:val="zh-CN"/>
        </w:rPr>
        <w:t>中央支持北京开放发展的重大政策，包括建设国家服务业扩大开放综合示范区和中国(北京)自由贸易试验区。</w:t>
      </w:r>
    </w:p>
    <w:p>
      <w:pPr>
        <w:numPr>
          <w:ilvl w:val="0"/>
          <w:numId w:val="3"/>
        </w:numPr>
        <w:spacing w:line="600"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“4+N”产业：</w:t>
      </w:r>
      <w:r>
        <w:rPr>
          <w:rFonts w:hint="eastAsia" w:ascii="仿宋_GB2312" w:hAnsi="仿宋_GB2312" w:eastAsia="仿宋_GB2312" w:cs="仿宋_GB2312"/>
          <w:sz w:val="36"/>
          <w:szCs w:val="36"/>
        </w:rPr>
        <w:t>“4”是打造金融业开放合作新高地、增强金融科技发展新优势、强化金融街资产管理中心功能、大力促进数字经济新发展；“N”是在生活服务业、专业服务业、商贸、文化等多个现代服务业领域寻求新突破。</w:t>
      </w:r>
    </w:p>
    <w:p>
      <w:pPr>
        <w:numPr>
          <w:ilvl w:val="0"/>
          <w:numId w:val="3"/>
        </w:numPr>
        <w:spacing w:line="600" w:lineRule="exact"/>
        <w:ind w:firstLine="723" w:firstLineChars="200"/>
        <w:rPr>
          <w:rFonts w:hint="eastAsia" w:ascii="仿宋_GB2312" w:hAnsi="仿宋_GB2312" w:eastAsia="仿宋_GB2312" w:cs="仿宋_GB2312"/>
          <w:sz w:val="36"/>
          <w:szCs w:val="36"/>
          <w:lang w:val="zh-CN"/>
        </w:rPr>
      </w:pPr>
      <w:r>
        <w:rPr>
          <w:rFonts w:hint="eastAsia" w:ascii="仿宋_GB2312" w:hAnsi="仿宋_GB2312" w:eastAsia="仿宋_GB2312" w:cs="仿宋_GB2312"/>
          <w:b/>
          <w:bCs/>
          <w:sz w:val="36"/>
          <w:szCs w:val="36"/>
        </w:rPr>
        <w:t>担保风险补偿资金政策：</w:t>
      </w:r>
      <w:r>
        <w:rPr>
          <w:rFonts w:hint="eastAsia" w:ascii="仿宋_GB2312" w:hAnsi="仿宋_GB2312" w:eastAsia="仿宋_GB2312" w:cs="仿宋_GB2312"/>
          <w:sz w:val="36"/>
          <w:szCs w:val="36"/>
        </w:rPr>
        <w:t>即《西城区中小微企业担保风险补偿资金管理办法》，进一步鼓励北京市政府性融资担保机构为西城区中小微企业提供精准支持，专项为发生代偿的中小微企业担保项目提供30%、最高500万元补偿，针对“专精特新”企业，给予最高700万元的补偿金额；设立“2:3:4:1”新型政银担风险分担机制，将财政补偿资金转化为融资信用，引导融资担保机构扩面、降费、提质、增效，提高区内中小微企业融资规模，有效缓解企业融资困难，全力帮助辖区中小微企业平稳健康发展。</w:t>
      </w:r>
    </w:p>
    <w:p>
      <w:pPr>
        <w:numPr>
          <w:ilvl w:val="0"/>
          <w:numId w:val="3"/>
        </w:numPr>
        <w:spacing w:line="600" w:lineRule="exact"/>
        <w:ind w:firstLine="723" w:firstLineChars="200"/>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营商环境6.0：</w:t>
      </w:r>
      <w:r>
        <w:rPr>
          <w:rFonts w:hint="eastAsia" w:ascii="仿宋_GB2312" w:hAnsi="仿宋_GB2312" w:eastAsia="仿宋_GB2312" w:cs="仿宋_GB2312"/>
          <w:sz w:val="36"/>
          <w:szCs w:val="36"/>
          <w:lang w:val="zh-CN"/>
        </w:rPr>
        <w:t>即《</w:t>
      </w:r>
      <w:r>
        <w:rPr>
          <w:rFonts w:hint="eastAsia" w:ascii="仿宋_GB2312" w:hAnsi="仿宋_GB2312" w:eastAsia="仿宋_GB2312" w:cs="仿宋_GB2312"/>
          <w:sz w:val="36"/>
          <w:szCs w:val="36"/>
        </w:rPr>
        <w:t>西城区全面优化营商环境助力企业高质量发展实施方案</w:t>
      </w:r>
      <w:r>
        <w:rPr>
          <w:rFonts w:hint="eastAsia" w:ascii="仿宋_GB2312" w:hAnsi="仿宋_GB2312" w:eastAsia="仿宋_GB2312" w:cs="仿宋_GB2312"/>
          <w:sz w:val="36"/>
          <w:szCs w:val="36"/>
          <w:lang w:val="zh-CN"/>
        </w:rPr>
        <w:t>》，以着力提升企业获得感为导向，以实现各类经营主体更好更快发展为目标，聚焦公平竞争、市场准入、数字政务、综合监管等体制机制改革推出135项改革任务。</w:t>
      </w:r>
    </w:p>
    <w:p>
      <w:pPr>
        <w:numPr>
          <w:ilvl w:val="0"/>
          <w:numId w:val="3"/>
        </w:numPr>
        <w:spacing w:line="600" w:lineRule="exact"/>
        <w:ind w:firstLine="723" w:firstLineChars="200"/>
        <w:rPr>
          <w:rFonts w:hint="eastAsia" w:ascii="仿宋_GB2312" w:hAnsi="仿宋_GB2312" w:eastAsia="仿宋_GB2312" w:cs="仿宋_GB2312"/>
          <w:sz w:val="36"/>
          <w:szCs w:val="36"/>
          <w:lang w:val="zh-CN"/>
        </w:rPr>
      </w:pPr>
      <w:r>
        <w:rPr>
          <w:rFonts w:hint="eastAsia" w:ascii="仿宋_GB2312" w:hAnsi="仿宋_GB2312" w:eastAsia="仿宋_GB2312" w:cs="仿宋_GB2312"/>
          <w:b/>
          <w:bCs/>
          <w:sz w:val="36"/>
          <w:szCs w:val="36"/>
        </w:rPr>
        <w:t>“1+5+N”产业政策体系：</w:t>
      </w:r>
      <w:r>
        <w:rPr>
          <w:rFonts w:hint="eastAsia" w:ascii="仿宋_GB2312" w:hAnsi="仿宋_GB2312" w:eastAsia="仿宋_GB2312" w:cs="仿宋_GB2312"/>
          <w:sz w:val="36"/>
          <w:szCs w:val="36"/>
        </w:rPr>
        <w:t>“1”为促进全区产业发展统领性文件，即《北京市西城区促进产业高质量发展若干措施》（简称“产业十条”）；“5”为综合性要素支撑政策矩阵，即基金投资、空间利用、人才集聚、开放发展、投资促进五方面；“N”为针对金融、数字经济、文化、科技创新、专业服务、消费升级、企业发展等优势产业、特色产业及配套领域的个性化、精细化支持政策。</w:t>
      </w:r>
    </w:p>
    <w:p>
      <w:pPr>
        <w:numPr>
          <w:ilvl w:val="0"/>
          <w:numId w:val="3"/>
        </w:numPr>
        <w:spacing w:line="600" w:lineRule="exact"/>
        <w:ind w:firstLine="723" w:firstLineChars="2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重点企业十条：</w:t>
      </w:r>
      <w:r>
        <w:rPr>
          <w:rFonts w:hint="eastAsia" w:ascii="仿宋_GB2312" w:hAnsi="仿宋_GB2312" w:eastAsia="仿宋_GB2312" w:cs="仿宋_GB2312"/>
          <w:sz w:val="36"/>
          <w:szCs w:val="36"/>
        </w:rPr>
        <w:t>即《北京市西城区培育和服务重点企业发展的若干措施》，涉及增量企业落地补助、存量企业扶持、企业服务、人才支撑及运行机制等方面，聚焦西城重点产业发展方向，推动企业发展提质增效。打造优质企业梯度培育新模式，实现重点领域全行业覆盖，针对金融、金融科技、数字经济、信息、文化、商务、高端商业等现代服务业领域提出支持政策，给予1000-5000万元的资金支持。</w:t>
      </w:r>
    </w:p>
    <w:p>
      <w:pPr>
        <w:numPr>
          <w:ilvl w:val="0"/>
          <w:numId w:val="3"/>
        </w:numPr>
        <w:spacing w:line="60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中小微企业支持政策：</w:t>
      </w:r>
      <w:r>
        <w:rPr>
          <w:rFonts w:hint="eastAsia" w:ascii="仿宋_GB2312" w:hAnsi="仿宋_GB2312" w:eastAsia="仿宋_GB2312" w:cs="仿宋_GB2312"/>
          <w:sz w:val="36"/>
          <w:szCs w:val="36"/>
        </w:rPr>
        <w:t>即《北京市西城区支持中小微企业高质量发展的若干措施》，在中小微企业稳定健康发展、规模成长培育、融资服务支撑、人才发展支撑、经营市场拓展、企业精准服务等方面给予支持，为中小微企业稳增长、调结构、强能力保驾护航。</w:t>
      </w:r>
    </w:p>
    <w:p>
      <w:pPr>
        <w:numPr>
          <w:ilvl w:val="0"/>
          <w:numId w:val="3"/>
        </w:numPr>
        <w:spacing w:line="600" w:lineRule="exact"/>
        <w:ind w:firstLine="723" w:firstLineChars="2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专业服务业支持政策：</w:t>
      </w:r>
      <w:r>
        <w:rPr>
          <w:rFonts w:hint="eastAsia" w:ascii="仿宋_GB2312" w:hAnsi="仿宋_GB2312" w:eastAsia="仿宋_GB2312" w:cs="仿宋_GB2312"/>
          <w:sz w:val="36"/>
          <w:szCs w:val="36"/>
        </w:rPr>
        <w:t>即《北京市西城区促进专业服务业高质量发展的若干措施》，支持法律、会计审计与税务、咨询与评估、人力资源与猎头、知识产权、信用、广告、协同创新平台等专业服务机构驻区长效发展，围绕新设机构落户、业务拓展、行业活动交流、优质品牌建设、集群融合发展等方面给予奖励支持。</w:t>
      </w:r>
    </w:p>
    <w:p>
      <w:pPr>
        <w:numPr>
          <w:ilvl w:val="0"/>
          <w:numId w:val="3"/>
        </w:numPr>
        <w:spacing w:line="60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政策计算器：</w:t>
      </w:r>
      <w:r>
        <w:rPr>
          <w:rFonts w:hint="eastAsia" w:ascii="仿宋_GB2312" w:hAnsi="仿宋_GB2312" w:eastAsia="仿宋_GB2312" w:cs="仿宋_GB2312"/>
          <w:sz w:val="36"/>
          <w:szCs w:val="36"/>
        </w:rPr>
        <w:t>为解决涉企政策数量多、解读繁、匹配难等问题而推出的“中关村西城园政策通”，为企业轻松找政策、政策精准找企业提供技术支撑。</w:t>
      </w:r>
    </w:p>
    <w:p>
      <w:pPr>
        <w:numPr>
          <w:ilvl w:val="0"/>
          <w:numId w:val="3"/>
        </w:numPr>
        <w:spacing w:line="60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西融计划：</w:t>
      </w:r>
      <w:r>
        <w:rPr>
          <w:rFonts w:hint="eastAsia" w:ascii="仿宋_GB2312" w:hAnsi="仿宋_GB2312" w:eastAsia="仿宋_GB2312" w:cs="仿宋_GB2312"/>
          <w:sz w:val="36"/>
          <w:szCs w:val="36"/>
        </w:rPr>
        <w:t>即《西城区吸引高层次人才专项计划实施办法（试行）》，涵盖资金奖励、人才培养、服务保障、政治引领4大类16条政策措施，旨在面向全球招揽各领域高层次专业化人才。</w:t>
      </w:r>
    </w:p>
    <w:p>
      <w:pPr>
        <w:numPr>
          <w:ilvl w:val="0"/>
          <w:numId w:val="3"/>
        </w:numPr>
        <w:spacing w:line="600" w:lineRule="exact"/>
        <w:ind w:firstLine="723" w:firstLineChars="200"/>
        <w:rPr>
          <w:rFonts w:hint="eastAsia" w:ascii="仿宋_GB2312" w:hAnsi="仿宋_GB2312" w:eastAsia="仿宋_GB2312" w:cs="仿宋_GB2312"/>
          <w:b w:val="0"/>
          <w:bCs w:val="0"/>
          <w:sz w:val="36"/>
          <w:szCs w:val="36"/>
        </w:rPr>
      </w:pPr>
      <w:r>
        <w:rPr>
          <w:rFonts w:hint="eastAsia" w:ascii="仿宋_GB2312" w:hAnsi="仿宋_GB2312" w:eastAsia="仿宋_GB2312" w:cs="仿宋_GB2312"/>
          <w:b/>
          <w:bCs/>
          <w:sz w:val="36"/>
          <w:szCs w:val="36"/>
        </w:rPr>
        <w:t>养老服务“十件事”：</w:t>
      </w:r>
      <w:r>
        <w:rPr>
          <w:rFonts w:hint="eastAsia" w:ascii="仿宋_GB2312" w:hAnsi="仿宋_GB2312" w:eastAsia="仿宋_GB2312" w:cs="仿宋_GB2312"/>
          <w:b w:val="0"/>
          <w:bCs w:val="0"/>
          <w:sz w:val="36"/>
          <w:szCs w:val="36"/>
        </w:rPr>
        <w:t>西城区为全面提升养老服务能力确定的三大方面十项工作，简称养老服务“十件事”，包括10分钟养老服务圈、社区养老服务驿站服务功能提升、区级智慧养老大数据平台、居家适老化改造、老年餐饮供应体系、“一键呼”居家安全响应机制及服务体系、“云诊疗”智慧医养服务体系等。</w:t>
      </w:r>
    </w:p>
    <w:p>
      <w:pPr>
        <w:numPr>
          <w:ilvl w:val="0"/>
          <w:numId w:val="3"/>
        </w:numPr>
        <w:spacing w:line="600" w:lineRule="exact"/>
        <w:ind w:firstLine="723" w:firstLineChars="2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一键呼：</w:t>
      </w:r>
      <w:r>
        <w:rPr>
          <w:rFonts w:hint="eastAsia" w:ascii="仿宋_GB2312" w:hAnsi="仿宋_GB2312" w:eastAsia="仿宋_GB2312" w:cs="仿宋_GB2312"/>
          <w:sz w:val="36"/>
          <w:szCs w:val="36"/>
        </w:rPr>
        <w:t>西城区为全面提升老年人获取信息的便利性、需求响应的精准性、服务响应的及时性，为70岁以上的西城区常住户籍老年人安装的应急呼叫智能终端。</w:t>
      </w:r>
    </w:p>
    <w:p>
      <w:pPr>
        <w:numPr>
          <w:ilvl w:val="0"/>
          <w:numId w:val="3"/>
        </w:numPr>
        <w:tabs>
          <w:tab w:val="left" w:pos="1680"/>
        </w:tabs>
        <w:spacing w:line="600" w:lineRule="exact"/>
        <w:ind w:firstLine="723" w:firstLineChars="2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一节两品：</w:t>
      </w:r>
      <w:r>
        <w:rPr>
          <w:rFonts w:hint="eastAsia" w:ascii="仿宋_GB2312" w:hAnsi="仿宋_GB2312" w:eastAsia="仿宋_GB2312" w:cs="仿宋_GB2312"/>
          <w:sz w:val="36"/>
          <w:szCs w:val="36"/>
        </w:rPr>
        <w:t>“一节”是西城区开展的全民健身体育节，“两品”是北京西城国际金融体育康乐节、北京西城民族民俗体育文化节两个品牌活动。</w:t>
      </w:r>
    </w:p>
    <w:p>
      <w:pPr>
        <w:widowControl/>
        <w:numPr>
          <w:ilvl w:val="0"/>
          <w:numId w:val="3"/>
        </w:numPr>
        <w:spacing w:line="600" w:lineRule="exact"/>
        <w:ind w:firstLine="723" w:firstLineChars="2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攻坚克难“每月一题”：</w:t>
      </w:r>
      <w:r>
        <w:rPr>
          <w:rFonts w:hint="eastAsia" w:ascii="仿宋_GB2312" w:hAnsi="仿宋_GB2312" w:eastAsia="仿宋_GB2312" w:cs="仿宋_GB2312"/>
          <w:sz w:val="36"/>
          <w:szCs w:val="36"/>
        </w:rPr>
        <w:t>为深化主动治理、未诉先办，西城区根据市“每月一题”，结合区情制定的工作清单，针对老旧小区改造、物业管理、道路养护、停车管理等居民关注的问题，进行高位统筹调度、合力攻坚、开展集中整治破解难题。</w:t>
      </w:r>
    </w:p>
    <w:p>
      <w:pPr>
        <w:widowControl/>
        <w:numPr>
          <w:ilvl w:val="0"/>
          <w:numId w:val="3"/>
        </w:numPr>
        <w:spacing w:line="600" w:lineRule="exact"/>
        <w:ind w:firstLine="723" w:firstLineChars="2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“红墙‘巷’往”社区党建品牌：</w:t>
      </w:r>
      <w:r>
        <w:rPr>
          <w:rFonts w:hint="eastAsia" w:ascii="仿宋_GB2312" w:hAnsi="仿宋_GB2312" w:eastAsia="仿宋_GB2312" w:cs="仿宋_GB2312"/>
          <w:sz w:val="36"/>
          <w:szCs w:val="36"/>
        </w:rPr>
        <w:t>西城区结合首都功能核心区定位及区域实际特点打造的基层党建品牌。通过组建老、中、青相结合的优秀社区党组织书记联盟（红墙先锋社区治理导师团），发挥“传、帮、带”作用和“领头雁”领飞能力，聚合力推进基层社会治理进程中的堵点、难点、卡点等问题破解。</w:t>
      </w:r>
    </w:p>
    <w:p>
      <w:pPr>
        <w:numPr>
          <w:ilvl w:val="0"/>
          <w:numId w:val="3"/>
        </w:numPr>
        <w:tabs>
          <w:tab w:val="left" w:pos="1680"/>
        </w:tabs>
        <w:spacing w:line="600" w:lineRule="exact"/>
        <w:ind w:firstLine="723" w:firstLineChars="200"/>
        <w:rPr>
          <w:rFonts w:hint="eastAsia" w:ascii="仿宋_GB2312" w:hAnsi="仿宋_GB2312" w:eastAsia="仿宋_GB2312" w:cs="仿宋_GB2312"/>
          <w:b/>
          <w:bCs/>
          <w:sz w:val="36"/>
          <w:szCs w:val="36"/>
          <w:lang w:val="zh-CN"/>
        </w:rPr>
      </w:pPr>
      <w:r>
        <w:rPr>
          <w:rFonts w:hint="eastAsia" w:ascii="仿宋_GB2312" w:hAnsi="仿宋_GB2312" w:eastAsia="仿宋_GB2312" w:cs="仿宋_GB2312"/>
          <w:b/>
          <w:bCs/>
          <w:sz w:val="36"/>
          <w:szCs w:val="36"/>
          <w:lang w:val="zh-CN"/>
        </w:rPr>
        <w:t>创城伙伴计划：</w:t>
      </w:r>
      <w:r>
        <w:rPr>
          <w:rFonts w:hint="eastAsia" w:ascii="仿宋_GB2312" w:hAnsi="仿宋_GB2312" w:eastAsia="仿宋_GB2312" w:cs="仿宋_GB2312"/>
          <w:sz w:val="36"/>
          <w:szCs w:val="36"/>
          <w:lang w:val="zh-CN"/>
        </w:rPr>
        <w:t>为充分调动共建单位、企业以及辖区居民参与文明城区创建的主动性积极性，按照“党建引领、统筹推进、诚信自律、协同共治”的原则，建立“创城伙伴”关系，通过开展系列线上线下活动，提升各类社会单位创城参与率，营造合力争创更高水平的全国文明城区的浓厚氛围。</w:t>
      </w:r>
    </w:p>
    <w:p>
      <w:pPr>
        <w:numPr>
          <w:ilvl w:val="0"/>
          <w:numId w:val="3"/>
        </w:numPr>
        <w:tabs>
          <w:tab w:val="left" w:pos="1680"/>
        </w:tabs>
        <w:spacing w:line="600" w:lineRule="exact"/>
        <w:ind w:firstLine="723" w:firstLineChars="200"/>
        <w:rPr>
          <w:rFonts w:hint="eastAsia" w:ascii="仿宋_GB2312" w:hAnsi="仿宋_GB2312" w:eastAsia="仿宋_GB2312" w:cs="仿宋_GB2312"/>
          <w:b/>
          <w:bCs/>
          <w:sz w:val="36"/>
          <w:szCs w:val="36"/>
          <w:lang w:val="zh-CN"/>
        </w:rPr>
      </w:pPr>
      <w:r>
        <w:rPr>
          <w:rFonts w:hint="eastAsia" w:ascii="仿宋_GB2312" w:hAnsi="仿宋_GB2312" w:eastAsia="仿宋_GB2312" w:cs="仿宋_GB2312"/>
          <w:b/>
          <w:bCs/>
          <w:sz w:val="36"/>
          <w:szCs w:val="36"/>
          <w:lang w:val="zh-CN"/>
        </w:rPr>
        <w:t>文明西城118战略：</w:t>
      </w:r>
      <w:r>
        <w:rPr>
          <w:rFonts w:hint="eastAsia" w:ascii="仿宋_GB2312" w:hAnsi="仿宋_GB2312" w:eastAsia="仿宋_GB2312" w:cs="仿宋_GB2312"/>
          <w:sz w:val="36"/>
          <w:szCs w:val="36"/>
          <w:lang w:val="zh-CN"/>
        </w:rPr>
        <w:t>以“1卡1园8驿站”为核心内容，“1卡”即“感动西城卡”，“1园”即“志愿服务主题公园全国示范点”，“8驿站”即西城区与中国工商银行股份有限公司北京市分行共建的八个“志愿西城+工行驿站”。</w:t>
      </w:r>
    </w:p>
    <w:p>
      <w:pPr>
        <w:numPr>
          <w:ilvl w:val="0"/>
          <w:numId w:val="3"/>
        </w:numPr>
        <w:tabs>
          <w:tab w:val="left" w:pos="1680"/>
        </w:tabs>
        <w:spacing w:line="600" w:lineRule="exact"/>
        <w:ind w:firstLine="723" w:firstLineChars="200"/>
        <w:rPr>
          <w:rFonts w:hint="eastAsia" w:ascii="仿宋_GB2312" w:hAnsi="仿宋_GB2312" w:eastAsia="仿宋_GB2312" w:cs="仿宋_GB2312"/>
          <w:b/>
          <w:bCs/>
          <w:sz w:val="36"/>
          <w:szCs w:val="36"/>
          <w:lang w:val="zh-CN"/>
        </w:rPr>
      </w:pPr>
      <w:r>
        <w:rPr>
          <w:rFonts w:hint="eastAsia" w:ascii="仿宋_GB2312" w:hAnsi="仿宋_GB2312" w:eastAsia="仿宋_GB2312" w:cs="仿宋_GB2312"/>
          <w:b/>
          <w:bCs/>
          <w:sz w:val="36"/>
          <w:szCs w:val="36"/>
          <w:lang w:val="zh-CN"/>
        </w:rPr>
        <w:t>类博物馆：</w:t>
      </w:r>
      <w:r>
        <w:rPr>
          <w:rFonts w:hint="eastAsia" w:ascii="仿宋_GB2312" w:hAnsi="仿宋_GB2312" w:eastAsia="仿宋_GB2312" w:cs="仿宋_GB2312"/>
          <w:sz w:val="36"/>
          <w:szCs w:val="36"/>
          <w:lang w:val="zh-CN"/>
        </w:rPr>
        <w:t>指具有博物馆收藏、展示和教育等部分功能，但尚未达到博物馆登记备案条件的社会机构。</w:t>
      </w:r>
    </w:p>
    <w:p>
      <w:pPr>
        <w:numPr>
          <w:ilvl w:val="0"/>
          <w:numId w:val="3"/>
        </w:numPr>
        <w:spacing w:line="600" w:lineRule="exact"/>
        <w:ind w:firstLine="723" w:firstLineChars="200"/>
        <w:rPr>
          <w:rFonts w:hint="eastAsia" w:ascii="仿宋_GB2312" w:hAnsi="仿宋_GB2312" w:eastAsia="仿宋_GB2312" w:cs="仿宋_GB2312"/>
          <w:b/>
          <w:bCs/>
          <w:sz w:val="36"/>
          <w:szCs w:val="36"/>
          <w:lang w:val="zh-CN"/>
        </w:rPr>
      </w:pPr>
      <w:r>
        <w:rPr>
          <w:rFonts w:hint="eastAsia" w:ascii="仿宋_GB2312" w:hAnsi="仿宋_GB2312" w:eastAsia="仿宋_GB2312" w:cs="仿宋_GB2312"/>
          <w:b/>
          <w:bCs/>
          <w:sz w:val="36"/>
          <w:szCs w:val="36"/>
          <w:lang w:val="zh-CN"/>
        </w:rPr>
        <w:t>文化产业十条：</w:t>
      </w:r>
      <w:r>
        <w:rPr>
          <w:rFonts w:hint="eastAsia" w:ascii="仿宋_GB2312" w:hAnsi="仿宋_GB2312" w:eastAsia="仿宋_GB2312" w:cs="仿宋_GB2312"/>
          <w:sz w:val="36"/>
          <w:szCs w:val="36"/>
          <w:lang w:val="zh-CN"/>
        </w:rPr>
        <w:t>即《西城区推动文化产业高质量发展若干措施》，围绕“文化+”、数字化赋能文化产业高质量发展目标，以“高端引领、创新驱动、融合发展、开放共享”为动力，围绕“吸引增量、提升存量、上市发展、构建生态、金融支撑、贯通发展、赋能空间、提振消费”等方面给予全方位支持。</w:t>
      </w:r>
    </w:p>
    <w:p>
      <w:pPr>
        <w:numPr>
          <w:ilvl w:val="0"/>
          <w:numId w:val="3"/>
        </w:numPr>
        <w:spacing w:line="600" w:lineRule="exact"/>
        <w:ind w:firstLine="723" w:firstLineChars="200"/>
        <w:rPr>
          <w:rFonts w:hint="eastAsia" w:ascii="仿宋_GB2312" w:hAnsi="仿宋_GB2312" w:eastAsia="仿宋_GB2312" w:cs="仿宋_GB2312"/>
          <w:sz w:val="36"/>
          <w:szCs w:val="36"/>
          <w:lang w:val="zh-CN"/>
        </w:rPr>
      </w:pPr>
      <w:r>
        <w:rPr>
          <w:rFonts w:hint="eastAsia" w:ascii="仿宋_GB2312" w:hAnsi="仿宋_GB2312" w:eastAsia="仿宋_GB2312" w:cs="仿宋_GB2312"/>
          <w:b/>
          <w:bCs/>
          <w:sz w:val="36"/>
          <w:szCs w:val="36"/>
          <w:lang w:val="zh-CN"/>
        </w:rPr>
        <w:t>新时代“枫桥经验”：</w:t>
      </w:r>
      <w:r>
        <w:rPr>
          <w:rFonts w:hint="eastAsia" w:ascii="仿宋_GB2312" w:hAnsi="仿宋_GB2312" w:eastAsia="仿宋_GB2312" w:cs="仿宋_GB2312"/>
          <w:sz w:val="36"/>
          <w:szCs w:val="36"/>
          <w:lang w:val="zh-CN"/>
        </w:rPr>
        <w:t>坚持和贯彻党的群众路线，在党的领导下，充分发动群众、组织群众、依靠群众解决群众自己的事情，做到“小事不出村、大事不出镇、矛盾不上交”。</w:t>
      </w:r>
    </w:p>
    <w:p>
      <w:pPr>
        <w:numPr>
          <w:ilvl w:val="0"/>
          <w:numId w:val="3"/>
        </w:numPr>
        <w:spacing w:line="600"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一会两赛三论坛：</w:t>
      </w:r>
      <w:r>
        <w:rPr>
          <w:rFonts w:hint="eastAsia" w:ascii="仿宋_GB2312" w:hAnsi="仿宋_GB2312" w:eastAsia="仿宋_GB2312" w:cs="仿宋_GB2312"/>
          <w:sz w:val="36"/>
          <w:szCs w:val="36"/>
        </w:rPr>
        <w:t>即全球金融科技大会，全球金融科技应用场景大赛、北京FinTech国际创新大赛，成方金融科技论坛、中关村论坛、金融街论坛之金融科技分论坛。</w:t>
      </w:r>
    </w:p>
    <w:p>
      <w:pPr>
        <w:numPr>
          <w:ilvl w:val="0"/>
          <w:numId w:val="3"/>
        </w:numPr>
        <w:spacing w:line="600"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科创十条：</w:t>
      </w:r>
      <w:r>
        <w:rPr>
          <w:rFonts w:hint="eastAsia" w:ascii="仿宋_GB2312" w:hAnsi="仿宋_GB2312" w:eastAsia="仿宋_GB2312" w:cs="仿宋_GB2312"/>
          <w:sz w:val="36"/>
          <w:szCs w:val="36"/>
        </w:rPr>
        <w:t>即《北京市西城区支持中关村科技园区西城园自主创新若干规定》，通过开展全方位、全流程的政策奖励及政策补贴，减少企业创新成本，支持企业挖掘自身潜力、提升自主创新能力,从而持续优化创新生态。</w:t>
      </w:r>
    </w:p>
    <w:p>
      <w:pPr>
        <w:numPr>
          <w:ilvl w:val="0"/>
          <w:numId w:val="3"/>
        </w:numPr>
        <w:spacing w:line="600"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“大思政课”综合改革：</w:t>
      </w:r>
      <w:r>
        <w:rPr>
          <w:rFonts w:hint="eastAsia" w:ascii="仿宋_GB2312" w:hAnsi="仿宋_GB2312" w:eastAsia="仿宋_GB2312" w:cs="仿宋_GB2312"/>
          <w:sz w:val="36"/>
          <w:szCs w:val="36"/>
        </w:rPr>
        <w:t>遵循教育规律和人才培养规律，通过充分挖掘社会生活中的教育元素，运用社会生活素材，丰富课程内涵，创新教学方法，以提高思政课教学效果。2023年西城区成为全市6个“大思政课”综合改革试验区之一。</w:t>
      </w:r>
    </w:p>
    <w:p>
      <w:pPr>
        <w:widowControl/>
        <w:numPr>
          <w:ilvl w:val="0"/>
          <w:numId w:val="3"/>
        </w:numPr>
        <w:spacing w:line="600"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西城家园：</w:t>
      </w:r>
      <w:r>
        <w:rPr>
          <w:rFonts w:hint="eastAsia" w:ascii="仿宋_GB2312" w:hAnsi="仿宋_GB2312" w:eastAsia="仿宋_GB2312" w:cs="仿宋_GB2312"/>
          <w:sz w:val="36"/>
          <w:szCs w:val="36"/>
        </w:rPr>
        <w:t>践行以居民为中心的服务理念，打造的集宣传、服务、组织动员功能为一体的全新社会治理线上平台。居民既可实时浏览社区动态，也可享受各种便利服务，同时依托平台实现信息的精准推送和群众的有效互动。</w:t>
      </w:r>
    </w:p>
    <w:p>
      <w:pPr>
        <w:numPr>
          <w:ilvl w:val="0"/>
          <w:numId w:val="3"/>
        </w:numPr>
        <w:spacing w:line="600" w:lineRule="exact"/>
        <w:ind w:firstLine="723" w:firstLineChars="200"/>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“举手式”退租：</w:t>
      </w:r>
      <w:r>
        <w:rPr>
          <w:rFonts w:hint="eastAsia" w:ascii="仿宋_GB2312" w:hAnsi="仿宋_GB2312" w:eastAsia="仿宋_GB2312" w:cs="仿宋_GB2312"/>
          <w:sz w:val="36"/>
          <w:szCs w:val="36"/>
        </w:rPr>
        <w:t>以“平等自愿，协商一致”为原则，区属直管公房院落内全体公房承租人（含自建房屋居住人）协商一致，可向所在片区房屋管理单位提出申请，当满足整院退租条件时，由实施单位正式启动该院落退租工作。</w:t>
      </w:r>
    </w:p>
    <w:p>
      <w:pPr>
        <w:numPr>
          <w:ilvl w:val="0"/>
          <w:numId w:val="3"/>
        </w:numPr>
        <w:spacing w:line="600"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城市家具：</w:t>
      </w:r>
      <w:r>
        <w:rPr>
          <w:rFonts w:hint="eastAsia" w:ascii="仿宋_GB2312" w:hAnsi="仿宋_GB2312" w:eastAsia="仿宋_GB2312" w:cs="仿宋_GB2312"/>
          <w:sz w:val="36"/>
          <w:szCs w:val="36"/>
        </w:rPr>
        <w:t>指设置于城市道路（含广场等公共场所）为公众户外活动和城市管理服务的各类公共设施的总称，分为护栏类、箱柜类、杆体类、标牌类、亭站类等。</w:t>
      </w:r>
    </w:p>
    <w:p>
      <w:pPr>
        <w:numPr>
          <w:ilvl w:val="0"/>
          <w:numId w:val="3"/>
        </w:numPr>
        <w:spacing w:line="600" w:lineRule="exact"/>
        <w:ind w:firstLine="723" w:firstLineChars="200"/>
        <w:rPr>
          <w:rFonts w:hint="eastAsia"/>
        </w:rPr>
      </w:pPr>
      <w:r>
        <w:rPr>
          <w:rFonts w:hint="eastAsia" w:ascii="仿宋_GB2312" w:hAnsi="仿宋_GB2312" w:eastAsia="仿宋_GB2312" w:cs="仿宋_GB2312"/>
          <w:b/>
          <w:bCs/>
          <w:sz w:val="36"/>
          <w:szCs w:val="36"/>
        </w:rPr>
        <w:t>第五立面：</w:t>
      </w:r>
      <w:r>
        <w:rPr>
          <w:rFonts w:hint="eastAsia" w:ascii="仿宋_GB2312" w:hAnsi="仿宋_GB2312" w:eastAsia="仿宋_GB2312" w:cs="仿宋_GB2312"/>
          <w:sz w:val="36"/>
          <w:szCs w:val="36"/>
        </w:rPr>
        <w:t>指建筑物的房顶。</w:t>
      </w:r>
    </w:p>
    <w:p>
      <w:pPr>
        <w:pStyle w:val="2"/>
        <w:numPr>
          <w:ilvl w:val="0"/>
          <w:numId w:val="3"/>
        </w:numPr>
        <w:spacing w:before="0" w:after="0" w:line="560" w:lineRule="exact"/>
        <w:ind w:firstLine="723" w:firstLineChars="200"/>
        <w:jc w:val="both"/>
        <w:rPr>
          <w:rFonts w:hint="eastAsia" w:ascii="仿宋_GB2312" w:hAnsi="仿宋_GB2312" w:eastAsia="仿宋_GB2312" w:cs="仿宋_GB2312"/>
          <w:b w:val="0"/>
          <w:bCs w:val="0"/>
          <w:kern w:val="2"/>
          <w:sz w:val="36"/>
          <w:szCs w:val="36"/>
        </w:rPr>
      </w:pPr>
      <w:r>
        <w:rPr>
          <w:rFonts w:hint="eastAsia" w:ascii="仿宋_GB2312" w:hAnsi="仿宋_GB2312" w:eastAsia="仿宋_GB2312" w:cs="仿宋_GB2312"/>
          <w:b/>
          <w:bCs/>
          <w:kern w:val="2"/>
          <w:sz w:val="36"/>
          <w:szCs w:val="36"/>
        </w:rPr>
        <w:t>东有巨人港：</w:t>
      </w:r>
      <w:r>
        <w:rPr>
          <w:rFonts w:hint="eastAsia" w:ascii="仿宋_GB2312" w:hAnsi="仿宋_GB2312" w:eastAsia="仿宋_GB2312" w:cs="仿宋_GB2312"/>
          <w:b w:val="0"/>
          <w:bCs w:val="0"/>
          <w:kern w:val="2"/>
          <w:sz w:val="36"/>
          <w:szCs w:val="36"/>
        </w:rPr>
        <w:t>828巨人港·专精特新“小巨人”企业服务平台，是人民网、西城区人民政府、北京证券交易所、建设银行北京分行等4方联合发起，N方经营主体共建，落地西城，立足北京，服务全国，打造可复制的专精特新“小巨人”企业一站式全周期生态服务“温暖的港湾”。</w:t>
      </w:r>
    </w:p>
    <w:p>
      <w:pPr>
        <w:pStyle w:val="2"/>
        <w:numPr>
          <w:ilvl w:val="0"/>
          <w:numId w:val="3"/>
        </w:numPr>
        <w:spacing w:before="0" w:after="0" w:line="560" w:lineRule="exact"/>
        <w:ind w:firstLine="723" w:firstLineChars="200"/>
        <w:jc w:val="both"/>
        <w:rPr>
          <w:rFonts w:hint="eastAsia" w:ascii="仿宋_GB2312" w:hAnsi="仿宋_GB2312" w:eastAsia="仿宋_GB2312" w:cs="仿宋_GB2312"/>
          <w:b w:val="0"/>
          <w:bCs w:val="0"/>
          <w:kern w:val="2"/>
          <w:sz w:val="36"/>
          <w:szCs w:val="36"/>
        </w:rPr>
      </w:pPr>
      <w:r>
        <w:rPr>
          <w:rFonts w:hint="eastAsia" w:ascii="仿宋_GB2312" w:hAnsi="仿宋_GB2312" w:eastAsia="仿宋_GB2312" w:cs="仿宋_GB2312"/>
          <w:b/>
          <w:bCs/>
          <w:kern w:val="2"/>
          <w:sz w:val="36"/>
          <w:szCs w:val="36"/>
        </w:rPr>
        <w:t>西有马连道：</w:t>
      </w:r>
      <w:r>
        <w:rPr>
          <w:rFonts w:hint="eastAsia" w:ascii="仿宋_GB2312" w:hAnsi="仿宋_GB2312" w:eastAsia="仿宋_GB2312" w:cs="仿宋_GB2312"/>
          <w:b w:val="0"/>
          <w:bCs w:val="0"/>
          <w:kern w:val="2"/>
          <w:sz w:val="36"/>
          <w:szCs w:val="36"/>
        </w:rPr>
        <w:t>马连道·茶·中国数据街，通过构建“马连道·数据街”合作发展联盟，实现茶产业数字化与数据产业化的双向发力，打造中华优秀传统文化复兴与出海的桥头堡。</w:t>
      </w:r>
    </w:p>
    <w:p>
      <w:pPr>
        <w:pStyle w:val="2"/>
        <w:numPr>
          <w:ilvl w:val="0"/>
          <w:numId w:val="3"/>
        </w:numPr>
        <w:spacing w:before="0" w:after="0" w:line="560" w:lineRule="exact"/>
        <w:ind w:firstLine="723" w:firstLineChars="200"/>
        <w:jc w:val="both"/>
        <w:rPr>
          <w:rFonts w:hint="eastAsia" w:ascii="仿宋_GB2312" w:hAnsi="仿宋_GB2312" w:eastAsia="仿宋_GB2312" w:cs="仿宋_GB2312"/>
          <w:b w:val="0"/>
          <w:bCs w:val="0"/>
          <w:kern w:val="2"/>
          <w:sz w:val="36"/>
          <w:szCs w:val="36"/>
        </w:rPr>
      </w:pPr>
      <w:r>
        <w:rPr>
          <w:rFonts w:hint="eastAsia" w:ascii="仿宋_GB2312" w:hAnsi="仿宋_GB2312" w:eastAsia="仿宋_GB2312" w:cs="仿宋_GB2312"/>
          <w:b/>
          <w:bCs/>
          <w:kern w:val="2"/>
          <w:sz w:val="36"/>
          <w:szCs w:val="36"/>
        </w:rPr>
        <w:t>南有泛动画：</w:t>
      </w:r>
      <w:r>
        <w:rPr>
          <w:rFonts w:hint="eastAsia" w:ascii="仿宋_GB2312" w:hAnsi="仿宋_GB2312" w:eastAsia="仿宋_GB2312" w:cs="仿宋_GB2312"/>
          <w:b w:val="0"/>
          <w:bCs w:val="0"/>
          <w:kern w:val="2"/>
          <w:sz w:val="36"/>
          <w:szCs w:val="36"/>
        </w:rPr>
        <w:t>首届中国（北京）动画周的成功举办，成为西城区大力发展泛动画产业（数字文娱、AI大模型等）的机遇，紫园（广安门核桃园）产业园、天桥艺术中心以及黄城21号产业园等，将发展成为泛动画产业聚集连片式集群的数字文娱阵地，为文化事业产业融合贯通发展增添新动能。</w:t>
      </w:r>
    </w:p>
    <w:p>
      <w:pPr>
        <w:pStyle w:val="2"/>
        <w:numPr>
          <w:ilvl w:val="0"/>
          <w:numId w:val="3"/>
        </w:numPr>
        <w:spacing w:before="0" w:after="0" w:line="560" w:lineRule="exact"/>
        <w:ind w:firstLine="723" w:firstLineChars="200"/>
        <w:jc w:val="both"/>
        <w:rPr>
          <w:rFonts w:hint="eastAsia" w:ascii="仿宋_GB2312" w:hAnsi="仿宋_GB2312" w:eastAsia="仿宋_GB2312" w:cs="仿宋_GB2312"/>
          <w:b w:val="0"/>
          <w:bCs w:val="0"/>
          <w:kern w:val="2"/>
          <w:sz w:val="36"/>
          <w:szCs w:val="36"/>
        </w:rPr>
      </w:pPr>
      <w:r>
        <w:rPr>
          <w:rFonts w:hint="eastAsia" w:ascii="仿宋_GB2312" w:hAnsi="仿宋_GB2312" w:eastAsia="仿宋_GB2312" w:cs="仿宋_GB2312"/>
          <w:b/>
          <w:bCs/>
          <w:kern w:val="2"/>
          <w:sz w:val="36"/>
          <w:szCs w:val="36"/>
        </w:rPr>
        <w:t>北有科创巢：</w:t>
      </w:r>
      <w:r>
        <w:rPr>
          <w:rFonts w:hint="eastAsia" w:ascii="仿宋_GB2312" w:hAnsi="仿宋_GB2312" w:eastAsia="仿宋_GB2312" w:cs="仿宋_GB2312"/>
          <w:b w:val="0"/>
          <w:bCs w:val="0"/>
          <w:kern w:val="2"/>
          <w:sz w:val="36"/>
          <w:szCs w:val="36"/>
        </w:rPr>
        <w:t>“科创巢”是在德胜地区形成的科技创新高地，其中在市级文化产业园区“设计之都”落地的市场化重点项目“昆仑巢”，是创业者分享创业经验、碰撞思想火花、共享前沿信息、探索合作机会的共筑之巢。“科创巢”将成为科学科技科创西城的展示窗口。</w:t>
      </w:r>
    </w:p>
    <w:p>
      <w:pPr>
        <w:pStyle w:val="2"/>
        <w:numPr>
          <w:ilvl w:val="0"/>
          <w:numId w:val="3"/>
        </w:numPr>
        <w:spacing w:before="0" w:after="0" w:line="560" w:lineRule="exact"/>
        <w:ind w:firstLine="723" w:firstLineChars="200"/>
        <w:jc w:val="both"/>
        <w:rPr>
          <w:rFonts w:hint="eastAsia" w:ascii="仿宋_GB2312" w:hAnsi="仿宋_GB2312" w:eastAsia="仿宋_GB2312" w:cs="仿宋_GB2312"/>
          <w:b w:val="0"/>
          <w:bCs w:val="0"/>
          <w:kern w:val="2"/>
          <w:sz w:val="36"/>
          <w:szCs w:val="36"/>
        </w:rPr>
      </w:pPr>
      <w:r>
        <w:rPr>
          <w:rFonts w:hint="eastAsia" w:ascii="仿宋_GB2312" w:hAnsi="仿宋_GB2312" w:eastAsia="仿宋_GB2312" w:cs="仿宋_GB2312"/>
          <w:b/>
          <w:bCs/>
          <w:kern w:val="2"/>
          <w:sz w:val="36"/>
          <w:szCs w:val="36"/>
        </w:rPr>
        <w:t>中有联盟链：</w:t>
      </w:r>
      <w:r>
        <w:rPr>
          <w:rFonts w:hint="eastAsia" w:ascii="仿宋_GB2312" w:hAnsi="仿宋_GB2312" w:eastAsia="仿宋_GB2312" w:cs="仿宋_GB2312"/>
          <w:b w:val="0"/>
          <w:bCs w:val="0"/>
          <w:kern w:val="2"/>
          <w:sz w:val="36"/>
          <w:szCs w:val="36"/>
        </w:rPr>
        <w:t>“联盟链”将打造成为政策发声筒、生态资源池，具体体现为文化事业产业融合贯通发展策源地的聚集，引导全球教育音乐联盟、一带一路国际智库委员会、CMG电竞研究院、新华社新媒体元宇宙产业联盟、国学中心、中国互联网产业基金会、中国动画学会等，在新华书店总店及周边集中连片布局。</w:t>
      </w:r>
    </w:p>
    <w:sectPr>
      <w:footerReference r:id="rId5" w:type="default"/>
      <w:pgSz w:w="11906" w:h="16838"/>
      <w:pgMar w:top="2098" w:right="1474" w:bottom="1984" w:left="1587" w:header="1417"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文本框 2" o:spid="_x0000_s1025"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p>
    <w:pPr>
      <w:pStyle w:val="10"/>
      <w:rPr>
        <w:rFonts w:cs="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cs="Calibri"/>
      </w:rPr>
    </w:pPr>
    <w:r>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10"/>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sz w:val="28"/>
        <w:szCs w:val="28"/>
      </w:rPr>
    </w:pPr>
    <w:r>
      <w:rPr>
        <w:sz w:val="28"/>
      </w:rPr>
      <w:pict>
        <v:shape id="文本框 4" o:spid="_x0000_s102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0"/>
                  <w:jc w:val="right"/>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50E676"/>
    <w:multiLevelType w:val="singleLevel"/>
    <w:tmpl w:val="9250E676"/>
    <w:lvl w:ilvl="0" w:tentative="0">
      <w:start w:val="1"/>
      <w:numFmt w:val="chineseCounting"/>
      <w:suff w:val="nothing"/>
      <w:lvlText w:val="（%1）"/>
      <w:lvlJc w:val="left"/>
      <w:pPr>
        <w:ind w:left="0" w:firstLine="420"/>
      </w:pPr>
      <w:rPr>
        <w:rFonts w:hint="eastAsia"/>
      </w:rPr>
    </w:lvl>
  </w:abstractNum>
  <w:abstractNum w:abstractNumId="1">
    <w:nsid w:val="155FA578"/>
    <w:multiLevelType w:val="singleLevel"/>
    <w:tmpl w:val="155FA578"/>
    <w:lvl w:ilvl="0" w:tentative="0">
      <w:start w:val="1"/>
      <w:numFmt w:val="decimal"/>
      <w:suff w:val="nothing"/>
      <w:lvlText w:val="%1．"/>
      <w:lvlJc w:val="left"/>
      <w:pPr>
        <w:ind w:left="0" w:firstLine="400"/>
      </w:pPr>
      <w:rPr>
        <w:rFonts w:hint="default" w:ascii="仿宋_GB2312" w:hAnsi="仿宋_GB2312" w:eastAsia="仿宋_GB2312" w:cs="仿宋_GB2312"/>
        <w:b w:val="0"/>
        <w:bCs w:val="0"/>
        <w:color w:val="auto"/>
        <w:sz w:val="36"/>
        <w:szCs w:val="36"/>
      </w:rPr>
    </w:lvl>
  </w:abstractNum>
  <w:abstractNum w:abstractNumId="2">
    <w:nsid w:val="7A89A0D7"/>
    <w:multiLevelType w:val="singleLevel"/>
    <w:tmpl w:val="7A89A0D7"/>
    <w:lvl w:ilvl="0" w:tentative="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MxMTk4NWU5YjA3NjFjZmJkMmMxZGIxZjkwZmY4MDQifQ=="/>
  </w:docVars>
  <w:rsids>
    <w:rsidRoot w:val="00172A27"/>
    <w:rsid w:val="0000129F"/>
    <w:rsid w:val="00010CB5"/>
    <w:rsid w:val="00023403"/>
    <w:rsid w:val="0002584E"/>
    <w:rsid w:val="00031ABB"/>
    <w:rsid w:val="000426A3"/>
    <w:rsid w:val="00056E02"/>
    <w:rsid w:val="00071230"/>
    <w:rsid w:val="00071379"/>
    <w:rsid w:val="000806CE"/>
    <w:rsid w:val="000841D5"/>
    <w:rsid w:val="00086396"/>
    <w:rsid w:val="00096417"/>
    <w:rsid w:val="000B3FF7"/>
    <w:rsid w:val="000B6B9E"/>
    <w:rsid w:val="000C346F"/>
    <w:rsid w:val="000C3A25"/>
    <w:rsid w:val="000D01B2"/>
    <w:rsid w:val="000E114D"/>
    <w:rsid w:val="000E3AE4"/>
    <w:rsid w:val="000E4DFF"/>
    <w:rsid w:val="000F4C39"/>
    <w:rsid w:val="00104CC5"/>
    <w:rsid w:val="001069A4"/>
    <w:rsid w:val="00112454"/>
    <w:rsid w:val="00116B4E"/>
    <w:rsid w:val="0012141C"/>
    <w:rsid w:val="001239DF"/>
    <w:rsid w:val="001611CA"/>
    <w:rsid w:val="00165B5E"/>
    <w:rsid w:val="00170731"/>
    <w:rsid w:val="001751DD"/>
    <w:rsid w:val="00176340"/>
    <w:rsid w:val="00181F3B"/>
    <w:rsid w:val="001C7BF4"/>
    <w:rsid w:val="001D2436"/>
    <w:rsid w:val="001D3FE4"/>
    <w:rsid w:val="001E5D88"/>
    <w:rsid w:val="002008EB"/>
    <w:rsid w:val="00202D81"/>
    <w:rsid w:val="00207337"/>
    <w:rsid w:val="00247E71"/>
    <w:rsid w:val="00260797"/>
    <w:rsid w:val="00261914"/>
    <w:rsid w:val="0026195D"/>
    <w:rsid w:val="00264692"/>
    <w:rsid w:val="00264866"/>
    <w:rsid w:val="00266AAF"/>
    <w:rsid w:val="00266D91"/>
    <w:rsid w:val="0026746B"/>
    <w:rsid w:val="00276A8D"/>
    <w:rsid w:val="002809EF"/>
    <w:rsid w:val="00283FB7"/>
    <w:rsid w:val="00284EF9"/>
    <w:rsid w:val="00292065"/>
    <w:rsid w:val="002A5CC3"/>
    <w:rsid w:val="002B3ED8"/>
    <w:rsid w:val="002C67C2"/>
    <w:rsid w:val="002C7E17"/>
    <w:rsid w:val="002F2669"/>
    <w:rsid w:val="00300EA6"/>
    <w:rsid w:val="00311D0B"/>
    <w:rsid w:val="00327183"/>
    <w:rsid w:val="003316C2"/>
    <w:rsid w:val="00341F4B"/>
    <w:rsid w:val="003466C3"/>
    <w:rsid w:val="003569D5"/>
    <w:rsid w:val="0037455F"/>
    <w:rsid w:val="00375CE9"/>
    <w:rsid w:val="003808EE"/>
    <w:rsid w:val="003913E0"/>
    <w:rsid w:val="00394141"/>
    <w:rsid w:val="00394B89"/>
    <w:rsid w:val="003B023D"/>
    <w:rsid w:val="003B3A8C"/>
    <w:rsid w:val="003B50F2"/>
    <w:rsid w:val="003D1ED6"/>
    <w:rsid w:val="003D251B"/>
    <w:rsid w:val="003E1374"/>
    <w:rsid w:val="00401D52"/>
    <w:rsid w:val="0042765F"/>
    <w:rsid w:val="00431BEF"/>
    <w:rsid w:val="0045688E"/>
    <w:rsid w:val="00461F4E"/>
    <w:rsid w:val="00472360"/>
    <w:rsid w:val="004742DF"/>
    <w:rsid w:val="00475929"/>
    <w:rsid w:val="0047602B"/>
    <w:rsid w:val="00480661"/>
    <w:rsid w:val="0048409C"/>
    <w:rsid w:val="00484B8E"/>
    <w:rsid w:val="00486D55"/>
    <w:rsid w:val="00491E51"/>
    <w:rsid w:val="00492D7E"/>
    <w:rsid w:val="0049755A"/>
    <w:rsid w:val="004A1CAF"/>
    <w:rsid w:val="004A6733"/>
    <w:rsid w:val="004B627B"/>
    <w:rsid w:val="004C1F5D"/>
    <w:rsid w:val="004C6FD0"/>
    <w:rsid w:val="004D7060"/>
    <w:rsid w:val="004F0F9F"/>
    <w:rsid w:val="005009FB"/>
    <w:rsid w:val="00531F97"/>
    <w:rsid w:val="00535F50"/>
    <w:rsid w:val="00537232"/>
    <w:rsid w:val="0056092F"/>
    <w:rsid w:val="005630D1"/>
    <w:rsid w:val="005660B1"/>
    <w:rsid w:val="00577543"/>
    <w:rsid w:val="005804F5"/>
    <w:rsid w:val="005812B4"/>
    <w:rsid w:val="00584E0F"/>
    <w:rsid w:val="00595E75"/>
    <w:rsid w:val="005967FD"/>
    <w:rsid w:val="005A35A6"/>
    <w:rsid w:val="005A39FB"/>
    <w:rsid w:val="005A4176"/>
    <w:rsid w:val="005B3340"/>
    <w:rsid w:val="005C02DF"/>
    <w:rsid w:val="005C0F3A"/>
    <w:rsid w:val="005C3239"/>
    <w:rsid w:val="005C51E1"/>
    <w:rsid w:val="005E2D6B"/>
    <w:rsid w:val="005F2CC4"/>
    <w:rsid w:val="00611D5D"/>
    <w:rsid w:val="00611E2C"/>
    <w:rsid w:val="0061264F"/>
    <w:rsid w:val="00614766"/>
    <w:rsid w:val="0063219C"/>
    <w:rsid w:val="006321E6"/>
    <w:rsid w:val="006427AC"/>
    <w:rsid w:val="0064335C"/>
    <w:rsid w:val="0064411D"/>
    <w:rsid w:val="00663F75"/>
    <w:rsid w:val="00666690"/>
    <w:rsid w:val="00692224"/>
    <w:rsid w:val="00695A61"/>
    <w:rsid w:val="006A2E2D"/>
    <w:rsid w:val="006A79F1"/>
    <w:rsid w:val="006B3B89"/>
    <w:rsid w:val="006B6BAD"/>
    <w:rsid w:val="006D763F"/>
    <w:rsid w:val="006E1A46"/>
    <w:rsid w:val="006E7900"/>
    <w:rsid w:val="00704305"/>
    <w:rsid w:val="00706195"/>
    <w:rsid w:val="00720EDC"/>
    <w:rsid w:val="00742C01"/>
    <w:rsid w:val="00743BED"/>
    <w:rsid w:val="0074545D"/>
    <w:rsid w:val="00746F5C"/>
    <w:rsid w:val="00784983"/>
    <w:rsid w:val="00797129"/>
    <w:rsid w:val="007A0545"/>
    <w:rsid w:val="007A0607"/>
    <w:rsid w:val="007A1CBA"/>
    <w:rsid w:val="007A3C45"/>
    <w:rsid w:val="007A4524"/>
    <w:rsid w:val="007B2058"/>
    <w:rsid w:val="007C06D7"/>
    <w:rsid w:val="007C18F6"/>
    <w:rsid w:val="007D6668"/>
    <w:rsid w:val="007E18E7"/>
    <w:rsid w:val="00802AF3"/>
    <w:rsid w:val="00814090"/>
    <w:rsid w:val="008177F0"/>
    <w:rsid w:val="0082547A"/>
    <w:rsid w:val="00832ABA"/>
    <w:rsid w:val="00836E5F"/>
    <w:rsid w:val="008423C3"/>
    <w:rsid w:val="00845E2F"/>
    <w:rsid w:val="00855ADE"/>
    <w:rsid w:val="00857792"/>
    <w:rsid w:val="00872968"/>
    <w:rsid w:val="008A6BEA"/>
    <w:rsid w:val="008C559E"/>
    <w:rsid w:val="008D70E7"/>
    <w:rsid w:val="008D768F"/>
    <w:rsid w:val="008E2577"/>
    <w:rsid w:val="008E4FE9"/>
    <w:rsid w:val="008E5D49"/>
    <w:rsid w:val="008E673D"/>
    <w:rsid w:val="008E7B3A"/>
    <w:rsid w:val="008F5242"/>
    <w:rsid w:val="009027BC"/>
    <w:rsid w:val="00921C65"/>
    <w:rsid w:val="009265CF"/>
    <w:rsid w:val="00934A66"/>
    <w:rsid w:val="00947C63"/>
    <w:rsid w:val="00950195"/>
    <w:rsid w:val="00954054"/>
    <w:rsid w:val="009551A8"/>
    <w:rsid w:val="0095798E"/>
    <w:rsid w:val="009608EE"/>
    <w:rsid w:val="00966160"/>
    <w:rsid w:val="009728E0"/>
    <w:rsid w:val="009A09A5"/>
    <w:rsid w:val="009A3A5B"/>
    <w:rsid w:val="009B4B3B"/>
    <w:rsid w:val="009C113F"/>
    <w:rsid w:val="009D0604"/>
    <w:rsid w:val="009E43DF"/>
    <w:rsid w:val="009E69C5"/>
    <w:rsid w:val="009F283E"/>
    <w:rsid w:val="009F738F"/>
    <w:rsid w:val="00A01DA4"/>
    <w:rsid w:val="00A03280"/>
    <w:rsid w:val="00A04466"/>
    <w:rsid w:val="00A152AF"/>
    <w:rsid w:val="00A25144"/>
    <w:rsid w:val="00A32A17"/>
    <w:rsid w:val="00A32B96"/>
    <w:rsid w:val="00A5362F"/>
    <w:rsid w:val="00A82F38"/>
    <w:rsid w:val="00A8545A"/>
    <w:rsid w:val="00A95718"/>
    <w:rsid w:val="00AA0DD7"/>
    <w:rsid w:val="00AA5035"/>
    <w:rsid w:val="00AF5275"/>
    <w:rsid w:val="00B013D6"/>
    <w:rsid w:val="00B04025"/>
    <w:rsid w:val="00B0730C"/>
    <w:rsid w:val="00B10C92"/>
    <w:rsid w:val="00B12929"/>
    <w:rsid w:val="00B26F18"/>
    <w:rsid w:val="00B46B21"/>
    <w:rsid w:val="00B663D2"/>
    <w:rsid w:val="00B7702E"/>
    <w:rsid w:val="00B77452"/>
    <w:rsid w:val="00B803DE"/>
    <w:rsid w:val="00B82295"/>
    <w:rsid w:val="00B95EF6"/>
    <w:rsid w:val="00B9688B"/>
    <w:rsid w:val="00BA697D"/>
    <w:rsid w:val="00BB3304"/>
    <w:rsid w:val="00BB724A"/>
    <w:rsid w:val="00BC2803"/>
    <w:rsid w:val="00BC72D9"/>
    <w:rsid w:val="00BD382B"/>
    <w:rsid w:val="00BD7286"/>
    <w:rsid w:val="00BE042D"/>
    <w:rsid w:val="00BE4103"/>
    <w:rsid w:val="00BE59D9"/>
    <w:rsid w:val="00BE6484"/>
    <w:rsid w:val="00BF09C4"/>
    <w:rsid w:val="00BF2083"/>
    <w:rsid w:val="00C14DF2"/>
    <w:rsid w:val="00C21E75"/>
    <w:rsid w:val="00C33103"/>
    <w:rsid w:val="00C33497"/>
    <w:rsid w:val="00C36B38"/>
    <w:rsid w:val="00C45302"/>
    <w:rsid w:val="00C548B3"/>
    <w:rsid w:val="00C56349"/>
    <w:rsid w:val="00C60087"/>
    <w:rsid w:val="00C60C45"/>
    <w:rsid w:val="00C6292D"/>
    <w:rsid w:val="00C670E2"/>
    <w:rsid w:val="00C73C02"/>
    <w:rsid w:val="00C86125"/>
    <w:rsid w:val="00C94E1D"/>
    <w:rsid w:val="00CD199B"/>
    <w:rsid w:val="00CD3C66"/>
    <w:rsid w:val="00CD4155"/>
    <w:rsid w:val="00D1195E"/>
    <w:rsid w:val="00D151FA"/>
    <w:rsid w:val="00D22752"/>
    <w:rsid w:val="00D369DD"/>
    <w:rsid w:val="00D42ABF"/>
    <w:rsid w:val="00D469B6"/>
    <w:rsid w:val="00D54F21"/>
    <w:rsid w:val="00D608F0"/>
    <w:rsid w:val="00D6638D"/>
    <w:rsid w:val="00D66B2E"/>
    <w:rsid w:val="00D867E4"/>
    <w:rsid w:val="00D91A63"/>
    <w:rsid w:val="00DA2A44"/>
    <w:rsid w:val="00DB1B10"/>
    <w:rsid w:val="00DE0715"/>
    <w:rsid w:val="00DF5FB4"/>
    <w:rsid w:val="00DF6C77"/>
    <w:rsid w:val="00E10063"/>
    <w:rsid w:val="00E57764"/>
    <w:rsid w:val="00E61267"/>
    <w:rsid w:val="00E63064"/>
    <w:rsid w:val="00E65406"/>
    <w:rsid w:val="00E7490E"/>
    <w:rsid w:val="00E761ED"/>
    <w:rsid w:val="00E97453"/>
    <w:rsid w:val="00EA0AE8"/>
    <w:rsid w:val="00EB3514"/>
    <w:rsid w:val="00ED228E"/>
    <w:rsid w:val="00ED356E"/>
    <w:rsid w:val="00EE133D"/>
    <w:rsid w:val="00EF0FCD"/>
    <w:rsid w:val="00EF3315"/>
    <w:rsid w:val="00EF338D"/>
    <w:rsid w:val="00EF5E7B"/>
    <w:rsid w:val="00F11B2C"/>
    <w:rsid w:val="00F14426"/>
    <w:rsid w:val="00F1662A"/>
    <w:rsid w:val="00F2570D"/>
    <w:rsid w:val="00F348D9"/>
    <w:rsid w:val="00F41060"/>
    <w:rsid w:val="00F41FD1"/>
    <w:rsid w:val="00F426C3"/>
    <w:rsid w:val="00F80949"/>
    <w:rsid w:val="00F829D7"/>
    <w:rsid w:val="00F8310D"/>
    <w:rsid w:val="00F84A26"/>
    <w:rsid w:val="00F96DD5"/>
    <w:rsid w:val="00FA0545"/>
    <w:rsid w:val="00FA7580"/>
    <w:rsid w:val="00FA7F45"/>
    <w:rsid w:val="00FB546B"/>
    <w:rsid w:val="00FC0B87"/>
    <w:rsid w:val="00FE2B68"/>
    <w:rsid w:val="010502D0"/>
    <w:rsid w:val="01052EA7"/>
    <w:rsid w:val="010C1B2B"/>
    <w:rsid w:val="010D5AFE"/>
    <w:rsid w:val="01141BF2"/>
    <w:rsid w:val="012F41D3"/>
    <w:rsid w:val="01307792"/>
    <w:rsid w:val="0148725F"/>
    <w:rsid w:val="014F0D48"/>
    <w:rsid w:val="01564D98"/>
    <w:rsid w:val="015A7A6F"/>
    <w:rsid w:val="015E0846"/>
    <w:rsid w:val="016A6206"/>
    <w:rsid w:val="017547EE"/>
    <w:rsid w:val="017567CA"/>
    <w:rsid w:val="018F64B4"/>
    <w:rsid w:val="01914CF8"/>
    <w:rsid w:val="01E4232F"/>
    <w:rsid w:val="01F67A67"/>
    <w:rsid w:val="021B28B0"/>
    <w:rsid w:val="021D5482"/>
    <w:rsid w:val="022D059A"/>
    <w:rsid w:val="024B2797"/>
    <w:rsid w:val="024C3761"/>
    <w:rsid w:val="02504B19"/>
    <w:rsid w:val="02587AEE"/>
    <w:rsid w:val="02606E12"/>
    <w:rsid w:val="026E1A51"/>
    <w:rsid w:val="02732683"/>
    <w:rsid w:val="027443F7"/>
    <w:rsid w:val="02752E4F"/>
    <w:rsid w:val="0280534D"/>
    <w:rsid w:val="02871596"/>
    <w:rsid w:val="02880D02"/>
    <w:rsid w:val="028C66D6"/>
    <w:rsid w:val="029C0B0E"/>
    <w:rsid w:val="02A35E49"/>
    <w:rsid w:val="02B11A07"/>
    <w:rsid w:val="02B6181C"/>
    <w:rsid w:val="02B653DB"/>
    <w:rsid w:val="02B93251"/>
    <w:rsid w:val="02F03D86"/>
    <w:rsid w:val="02F135D3"/>
    <w:rsid w:val="02F9774D"/>
    <w:rsid w:val="02FB3739"/>
    <w:rsid w:val="030549DB"/>
    <w:rsid w:val="031E5654"/>
    <w:rsid w:val="03395F15"/>
    <w:rsid w:val="034E71CA"/>
    <w:rsid w:val="037471A1"/>
    <w:rsid w:val="03762A6C"/>
    <w:rsid w:val="03764802"/>
    <w:rsid w:val="03811BD6"/>
    <w:rsid w:val="03862476"/>
    <w:rsid w:val="039458D5"/>
    <w:rsid w:val="03CC7259"/>
    <w:rsid w:val="03D4561C"/>
    <w:rsid w:val="03EC1728"/>
    <w:rsid w:val="03F54BAA"/>
    <w:rsid w:val="04042C14"/>
    <w:rsid w:val="041319E6"/>
    <w:rsid w:val="04194401"/>
    <w:rsid w:val="0426377F"/>
    <w:rsid w:val="04286C79"/>
    <w:rsid w:val="04304E90"/>
    <w:rsid w:val="04424B71"/>
    <w:rsid w:val="044A0EF5"/>
    <w:rsid w:val="044E20B5"/>
    <w:rsid w:val="045818EB"/>
    <w:rsid w:val="045D6A52"/>
    <w:rsid w:val="046D5E63"/>
    <w:rsid w:val="0477686F"/>
    <w:rsid w:val="047E163A"/>
    <w:rsid w:val="048415B9"/>
    <w:rsid w:val="04881853"/>
    <w:rsid w:val="048C6073"/>
    <w:rsid w:val="049033F0"/>
    <w:rsid w:val="049730B8"/>
    <w:rsid w:val="049B2A95"/>
    <w:rsid w:val="049F6799"/>
    <w:rsid w:val="04A0541F"/>
    <w:rsid w:val="04A52831"/>
    <w:rsid w:val="04AD12EC"/>
    <w:rsid w:val="04BF5561"/>
    <w:rsid w:val="04C0196F"/>
    <w:rsid w:val="04C32E91"/>
    <w:rsid w:val="04C70990"/>
    <w:rsid w:val="04CB226F"/>
    <w:rsid w:val="04D116E4"/>
    <w:rsid w:val="04E81128"/>
    <w:rsid w:val="04E9056F"/>
    <w:rsid w:val="04EA1855"/>
    <w:rsid w:val="04EF4215"/>
    <w:rsid w:val="04F1080D"/>
    <w:rsid w:val="0503514D"/>
    <w:rsid w:val="052A1C94"/>
    <w:rsid w:val="05327003"/>
    <w:rsid w:val="05332725"/>
    <w:rsid w:val="05450AA8"/>
    <w:rsid w:val="054874BA"/>
    <w:rsid w:val="05504E11"/>
    <w:rsid w:val="05623A2A"/>
    <w:rsid w:val="05633B7E"/>
    <w:rsid w:val="05694EC1"/>
    <w:rsid w:val="056C452C"/>
    <w:rsid w:val="056E7F17"/>
    <w:rsid w:val="057B0E30"/>
    <w:rsid w:val="05824EDE"/>
    <w:rsid w:val="058C1FA3"/>
    <w:rsid w:val="058E1691"/>
    <w:rsid w:val="059619AF"/>
    <w:rsid w:val="059F1D9B"/>
    <w:rsid w:val="05A770A9"/>
    <w:rsid w:val="05B04DFC"/>
    <w:rsid w:val="05CC5999"/>
    <w:rsid w:val="05D330FF"/>
    <w:rsid w:val="05D841A4"/>
    <w:rsid w:val="05DD14EB"/>
    <w:rsid w:val="05EB51C7"/>
    <w:rsid w:val="06033816"/>
    <w:rsid w:val="060E3B41"/>
    <w:rsid w:val="061B35E4"/>
    <w:rsid w:val="063022A8"/>
    <w:rsid w:val="063341E2"/>
    <w:rsid w:val="063D4655"/>
    <w:rsid w:val="063F3B95"/>
    <w:rsid w:val="064F5830"/>
    <w:rsid w:val="06564563"/>
    <w:rsid w:val="06717DFB"/>
    <w:rsid w:val="067D6284"/>
    <w:rsid w:val="067F4DB4"/>
    <w:rsid w:val="068059C1"/>
    <w:rsid w:val="068566D9"/>
    <w:rsid w:val="06877F7C"/>
    <w:rsid w:val="069172A6"/>
    <w:rsid w:val="0695436E"/>
    <w:rsid w:val="06981F5C"/>
    <w:rsid w:val="06A26F67"/>
    <w:rsid w:val="06C569FA"/>
    <w:rsid w:val="06D206B4"/>
    <w:rsid w:val="06D61EDF"/>
    <w:rsid w:val="06E2104C"/>
    <w:rsid w:val="06FA6CC3"/>
    <w:rsid w:val="071177E1"/>
    <w:rsid w:val="071370E2"/>
    <w:rsid w:val="071824BC"/>
    <w:rsid w:val="072F34CC"/>
    <w:rsid w:val="07566324"/>
    <w:rsid w:val="07632162"/>
    <w:rsid w:val="076A4DA3"/>
    <w:rsid w:val="077424DB"/>
    <w:rsid w:val="07875732"/>
    <w:rsid w:val="079B71AD"/>
    <w:rsid w:val="07A57E04"/>
    <w:rsid w:val="07AD0C2F"/>
    <w:rsid w:val="07B504D7"/>
    <w:rsid w:val="07B93B5A"/>
    <w:rsid w:val="07BB177B"/>
    <w:rsid w:val="07CD01B5"/>
    <w:rsid w:val="07CF7C6A"/>
    <w:rsid w:val="07D47BF8"/>
    <w:rsid w:val="07D83DD3"/>
    <w:rsid w:val="07E61AF6"/>
    <w:rsid w:val="07E67519"/>
    <w:rsid w:val="07E71CCA"/>
    <w:rsid w:val="07E91567"/>
    <w:rsid w:val="07EA1077"/>
    <w:rsid w:val="07F54CDA"/>
    <w:rsid w:val="07F6365D"/>
    <w:rsid w:val="07F67AAB"/>
    <w:rsid w:val="07FD4D5A"/>
    <w:rsid w:val="07FF4CFC"/>
    <w:rsid w:val="08094029"/>
    <w:rsid w:val="08260804"/>
    <w:rsid w:val="08553F65"/>
    <w:rsid w:val="0856760A"/>
    <w:rsid w:val="08574AB9"/>
    <w:rsid w:val="085F4E42"/>
    <w:rsid w:val="086114EC"/>
    <w:rsid w:val="08682935"/>
    <w:rsid w:val="08696134"/>
    <w:rsid w:val="087B4B9E"/>
    <w:rsid w:val="087C4D45"/>
    <w:rsid w:val="08872B86"/>
    <w:rsid w:val="088A3846"/>
    <w:rsid w:val="089275AB"/>
    <w:rsid w:val="08974730"/>
    <w:rsid w:val="08991218"/>
    <w:rsid w:val="08A87918"/>
    <w:rsid w:val="08BB2E94"/>
    <w:rsid w:val="08CB5BC6"/>
    <w:rsid w:val="08D7208B"/>
    <w:rsid w:val="08DA6CAE"/>
    <w:rsid w:val="08E45546"/>
    <w:rsid w:val="08E74594"/>
    <w:rsid w:val="08F975C1"/>
    <w:rsid w:val="08FE0E72"/>
    <w:rsid w:val="09166D49"/>
    <w:rsid w:val="091B7211"/>
    <w:rsid w:val="091C4218"/>
    <w:rsid w:val="09217629"/>
    <w:rsid w:val="09233690"/>
    <w:rsid w:val="092E3D53"/>
    <w:rsid w:val="09302C31"/>
    <w:rsid w:val="093303F9"/>
    <w:rsid w:val="093813DD"/>
    <w:rsid w:val="093A3EB5"/>
    <w:rsid w:val="09481E72"/>
    <w:rsid w:val="094C102A"/>
    <w:rsid w:val="094D787B"/>
    <w:rsid w:val="09526410"/>
    <w:rsid w:val="096F06D6"/>
    <w:rsid w:val="09997A45"/>
    <w:rsid w:val="09A62DCE"/>
    <w:rsid w:val="09BA674D"/>
    <w:rsid w:val="09BD4D44"/>
    <w:rsid w:val="09C8326C"/>
    <w:rsid w:val="09E32DEB"/>
    <w:rsid w:val="09E5213A"/>
    <w:rsid w:val="09FC3024"/>
    <w:rsid w:val="09FC6CC6"/>
    <w:rsid w:val="0A054122"/>
    <w:rsid w:val="0A1323B1"/>
    <w:rsid w:val="0A1457B3"/>
    <w:rsid w:val="0A190D02"/>
    <w:rsid w:val="0A300EAA"/>
    <w:rsid w:val="0A301D81"/>
    <w:rsid w:val="0A3F0BD5"/>
    <w:rsid w:val="0A3F1FC8"/>
    <w:rsid w:val="0A3F53B8"/>
    <w:rsid w:val="0A5E3401"/>
    <w:rsid w:val="0A6D1782"/>
    <w:rsid w:val="0A740C5E"/>
    <w:rsid w:val="0A860B0C"/>
    <w:rsid w:val="0A8C49A7"/>
    <w:rsid w:val="0A8D6EAA"/>
    <w:rsid w:val="0A9E2E6F"/>
    <w:rsid w:val="0AA315D0"/>
    <w:rsid w:val="0AA80D2D"/>
    <w:rsid w:val="0AAC4307"/>
    <w:rsid w:val="0AAD00B0"/>
    <w:rsid w:val="0AAF7D68"/>
    <w:rsid w:val="0AB87F93"/>
    <w:rsid w:val="0ABB076D"/>
    <w:rsid w:val="0ABD7E75"/>
    <w:rsid w:val="0AC41155"/>
    <w:rsid w:val="0AD70330"/>
    <w:rsid w:val="0AEA7EF0"/>
    <w:rsid w:val="0AEE5424"/>
    <w:rsid w:val="0AF1455B"/>
    <w:rsid w:val="0B26026B"/>
    <w:rsid w:val="0B2B524D"/>
    <w:rsid w:val="0B4E792F"/>
    <w:rsid w:val="0B625766"/>
    <w:rsid w:val="0B6673B7"/>
    <w:rsid w:val="0B7D5041"/>
    <w:rsid w:val="0B7E048D"/>
    <w:rsid w:val="0B900A1C"/>
    <w:rsid w:val="0BA305C4"/>
    <w:rsid w:val="0BAC62A8"/>
    <w:rsid w:val="0BBF10B3"/>
    <w:rsid w:val="0BC3576F"/>
    <w:rsid w:val="0BC427E0"/>
    <w:rsid w:val="0BC57B83"/>
    <w:rsid w:val="0BD74990"/>
    <w:rsid w:val="0BDE1BA3"/>
    <w:rsid w:val="0BF71557"/>
    <w:rsid w:val="0C0014A7"/>
    <w:rsid w:val="0C054929"/>
    <w:rsid w:val="0C076951"/>
    <w:rsid w:val="0C0F2DD0"/>
    <w:rsid w:val="0C0F533B"/>
    <w:rsid w:val="0C2B07CC"/>
    <w:rsid w:val="0C3B0B51"/>
    <w:rsid w:val="0C43438E"/>
    <w:rsid w:val="0C456A87"/>
    <w:rsid w:val="0C593E77"/>
    <w:rsid w:val="0C5E05E4"/>
    <w:rsid w:val="0C6C25AE"/>
    <w:rsid w:val="0C775C80"/>
    <w:rsid w:val="0C806522"/>
    <w:rsid w:val="0C895452"/>
    <w:rsid w:val="0C8B6C08"/>
    <w:rsid w:val="0C9465D0"/>
    <w:rsid w:val="0C9A1B7A"/>
    <w:rsid w:val="0CA675D5"/>
    <w:rsid w:val="0CC20427"/>
    <w:rsid w:val="0CC66FED"/>
    <w:rsid w:val="0CC90198"/>
    <w:rsid w:val="0CC96B90"/>
    <w:rsid w:val="0CEE3C53"/>
    <w:rsid w:val="0CEE4A16"/>
    <w:rsid w:val="0D007BF6"/>
    <w:rsid w:val="0D014E43"/>
    <w:rsid w:val="0D0459A5"/>
    <w:rsid w:val="0D064DBF"/>
    <w:rsid w:val="0D183615"/>
    <w:rsid w:val="0D243261"/>
    <w:rsid w:val="0D2C4A25"/>
    <w:rsid w:val="0D513607"/>
    <w:rsid w:val="0D58186C"/>
    <w:rsid w:val="0D5C19BB"/>
    <w:rsid w:val="0D5C7D28"/>
    <w:rsid w:val="0D664451"/>
    <w:rsid w:val="0D6E6651"/>
    <w:rsid w:val="0D772034"/>
    <w:rsid w:val="0D8A2583"/>
    <w:rsid w:val="0D8B431E"/>
    <w:rsid w:val="0D8C306A"/>
    <w:rsid w:val="0D975CAB"/>
    <w:rsid w:val="0D976A3E"/>
    <w:rsid w:val="0D9F7F21"/>
    <w:rsid w:val="0DAF59E5"/>
    <w:rsid w:val="0DB54F68"/>
    <w:rsid w:val="0DB944D6"/>
    <w:rsid w:val="0DC7331C"/>
    <w:rsid w:val="0DCE570A"/>
    <w:rsid w:val="0DD9795D"/>
    <w:rsid w:val="0DDB2B91"/>
    <w:rsid w:val="0DEE0F5A"/>
    <w:rsid w:val="0DF5437C"/>
    <w:rsid w:val="0DFD38E5"/>
    <w:rsid w:val="0E0D3477"/>
    <w:rsid w:val="0E1A4717"/>
    <w:rsid w:val="0E207E43"/>
    <w:rsid w:val="0E303036"/>
    <w:rsid w:val="0E3071A3"/>
    <w:rsid w:val="0E367165"/>
    <w:rsid w:val="0E373AEB"/>
    <w:rsid w:val="0E62416C"/>
    <w:rsid w:val="0E6C771C"/>
    <w:rsid w:val="0E707169"/>
    <w:rsid w:val="0E772C66"/>
    <w:rsid w:val="0E8739F9"/>
    <w:rsid w:val="0E9076CD"/>
    <w:rsid w:val="0E9F316B"/>
    <w:rsid w:val="0E9F770E"/>
    <w:rsid w:val="0EA97B00"/>
    <w:rsid w:val="0EB04967"/>
    <w:rsid w:val="0EB85F04"/>
    <w:rsid w:val="0EC855A3"/>
    <w:rsid w:val="0ED13943"/>
    <w:rsid w:val="0ED17256"/>
    <w:rsid w:val="0EE66275"/>
    <w:rsid w:val="0EEC0826"/>
    <w:rsid w:val="0EF23B76"/>
    <w:rsid w:val="0EFE028C"/>
    <w:rsid w:val="0F2461FE"/>
    <w:rsid w:val="0F302738"/>
    <w:rsid w:val="0F3641A6"/>
    <w:rsid w:val="0F3C0C43"/>
    <w:rsid w:val="0F4744D4"/>
    <w:rsid w:val="0F5A0FE2"/>
    <w:rsid w:val="0F5C20D3"/>
    <w:rsid w:val="0F601FC5"/>
    <w:rsid w:val="0F6E07F6"/>
    <w:rsid w:val="0F763542"/>
    <w:rsid w:val="0F9D0541"/>
    <w:rsid w:val="0FA10A48"/>
    <w:rsid w:val="0FA376C3"/>
    <w:rsid w:val="0FAE0DA1"/>
    <w:rsid w:val="0FB7088E"/>
    <w:rsid w:val="0FBA5709"/>
    <w:rsid w:val="0FC41D22"/>
    <w:rsid w:val="0FCB4136"/>
    <w:rsid w:val="0FD34072"/>
    <w:rsid w:val="0FDD1081"/>
    <w:rsid w:val="0FDF3DBC"/>
    <w:rsid w:val="0FF23C15"/>
    <w:rsid w:val="0FF31C26"/>
    <w:rsid w:val="1016645D"/>
    <w:rsid w:val="10233DD6"/>
    <w:rsid w:val="1028361F"/>
    <w:rsid w:val="102E633B"/>
    <w:rsid w:val="103A1079"/>
    <w:rsid w:val="103D4450"/>
    <w:rsid w:val="104C5A86"/>
    <w:rsid w:val="104E1C56"/>
    <w:rsid w:val="105D0093"/>
    <w:rsid w:val="105F1432"/>
    <w:rsid w:val="107273D6"/>
    <w:rsid w:val="1089233C"/>
    <w:rsid w:val="109327B7"/>
    <w:rsid w:val="10961719"/>
    <w:rsid w:val="109E52B6"/>
    <w:rsid w:val="10A510C0"/>
    <w:rsid w:val="10B73F6A"/>
    <w:rsid w:val="10C52872"/>
    <w:rsid w:val="10D30756"/>
    <w:rsid w:val="10DC7A3E"/>
    <w:rsid w:val="10E5541E"/>
    <w:rsid w:val="11027BC1"/>
    <w:rsid w:val="11174F36"/>
    <w:rsid w:val="11180F01"/>
    <w:rsid w:val="111F303C"/>
    <w:rsid w:val="113037D3"/>
    <w:rsid w:val="113350D3"/>
    <w:rsid w:val="114166BE"/>
    <w:rsid w:val="11550E43"/>
    <w:rsid w:val="116B17C5"/>
    <w:rsid w:val="116D0272"/>
    <w:rsid w:val="116E2AFD"/>
    <w:rsid w:val="1170655E"/>
    <w:rsid w:val="117C0E45"/>
    <w:rsid w:val="117E04BC"/>
    <w:rsid w:val="118F54CB"/>
    <w:rsid w:val="11A81EF9"/>
    <w:rsid w:val="11B1489A"/>
    <w:rsid w:val="11B1597E"/>
    <w:rsid w:val="11CE3943"/>
    <w:rsid w:val="11D63FC9"/>
    <w:rsid w:val="11DA112A"/>
    <w:rsid w:val="11DC53AB"/>
    <w:rsid w:val="11FA14FE"/>
    <w:rsid w:val="120D60A8"/>
    <w:rsid w:val="1211727D"/>
    <w:rsid w:val="12127B09"/>
    <w:rsid w:val="121C54CB"/>
    <w:rsid w:val="12207772"/>
    <w:rsid w:val="12265689"/>
    <w:rsid w:val="1227377A"/>
    <w:rsid w:val="12277E92"/>
    <w:rsid w:val="122801C4"/>
    <w:rsid w:val="122915ED"/>
    <w:rsid w:val="122B2EFD"/>
    <w:rsid w:val="122E1B9A"/>
    <w:rsid w:val="12383C02"/>
    <w:rsid w:val="12384BD5"/>
    <w:rsid w:val="123E642D"/>
    <w:rsid w:val="1254716E"/>
    <w:rsid w:val="12565616"/>
    <w:rsid w:val="12857BF1"/>
    <w:rsid w:val="12861860"/>
    <w:rsid w:val="129D256E"/>
    <w:rsid w:val="12AE2D60"/>
    <w:rsid w:val="12B000EA"/>
    <w:rsid w:val="12B03D45"/>
    <w:rsid w:val="12BE2FAE"/>
    <w:rsid w:val="12C03C63"/>
    <w:rsid w:val="12E6030C"/>
    <w:rsid w:val="12FC4CB4"/>
    <w:rsid w:val="13014B94"/>
    <w:rsid w:val="130F36F5"/>
    <w:rsid w:val="131072FA"/>
    <w:rsid w:val="13306ECC"/>
    <w:rsid w:val="1332006D"/>
    <w:rsid w:val="1353116E"/>
    <w:rsid w:val="13731A2E"/>
    <w:rsid w:val="137E452F"/>
    <w:rsid w:val="13802C2E"/>
    <w:rsid w:val="139C1346"/>
    <w:rsid w:val="13BC4714"/>
    <w:rsid w:val="13BF70B7"/>
    <w:rsid w:val="13CF3C88"/>
    <w:rsid w:val="13D85248"/>
    <w:rsid w:val="13FC0C87"/>
    <w:rsid w:val="13FF58D2"/>
    <w:rsid w:val="14002454"/>
    <w:rsid w:val="14077FB1"/>
    <w:rsid w:val="1408320B"/>
    <w:rsid w:val="140E62BA"/>
    <w:rsid w:val="14143E63"/>
    <w:rsid w:val="141D6080"/>
    <w:rsid w:val="142214AF"/>
    <w:rsid w:val="142C042F"/>
    <w:rsid w:val="143127D0"/>
    <w:rsid w:val="14330B63"/>
    <w:rsid w:val="143369E7"/>
    <w:rsid w:val="14355E3C"/>
    <w:rsid w:val="14395351"/>
    <w:rsid w:val="143B1E0E"/>
    <w:rsid w:val="1446660F"/>
    <w:rsid w:val="145C5AE4"/>
    <w:rsid w:val="147314F6"/>
    <w:rsid w:val="147C5155"/>
    <w:rsid w:val="14835245"/>
    <w:rsid w:val="14941F43"/>
    <w:rsid w:val="1495429D"/>
    <w:rsid w:val="14980A70"/>
    <w:rsid w:val="149937AC"/>
    <w:rsid w:val="149D0CB8"/>
    <w:rsid w:val="14A144E8"/>
    <w:rsid w:val="14B11276"/>
    <w:rsid w:val="14B545E5"/>
    <w:rsid w:val="14B5460B"/>
    <w:rsid w:val="14B74B7C"/>
    <w:rsid w:val="14C27AD8"/>
    <w:rsid w:val="14C35EDD"/>
    <w:rsid w:val="14C968E4"/>
    <w:rsid w:val="14E20421"/>
    <w:rsid w:val="14FE4878"/>
    <w:rsid w:val="14FF679D"/>
    <w:rsid w:val="150B7F3A"/>
    <w:rsid w:val="150F0817"/>
    <w:rsid w:val="15216410"/>
    <w:rsid w:val="153569F5"/>
    <w:rsid w:val="15397A0E"/>
    <w:rsid w:val="1542783D"/>
    <w:rsid w:val="15430D4D"/>
    <w:rsid w:val="15625CA0"/>
    <w:rsid w:val="15665374"/>
    <w:rsid w:val="15793654"/>
    <w:rsid w:val="158F3622"/>
    <w:rsid w:val="15AB6E84"/>
    <w:rsid w:val="15B4594E"/>
    <w:rsid w:val="15B53892"/>
    <w:rsid w:val="15BC16F4"/>
    <w:rsid w:val="15BD1093"/>
    <w:rsid w:val="15C7177A"/>
    <w:rsid w:val="15EE0E89"/>
    <w:rsid w:val="16053659"/>
    <w:rsid w:val="160B7C8F"/>
    <w:rsid w:val="16183D4D"/>
    <w:rsid w:val="162870E4"/>
    <w:rsid w:val="162C3470"/>
    <w:rsid w:val="16413498"/>
    <w:rsid w:val="16436E1A"/>
    <w:rsid w:val="16450F20"/>
    <w:rsid w:val="16463B21"/>
    <w:rsid w:val="16793C22"/>
    <w:rsid w:val="167A7585"/>
    <w:rsid w:val="16886D9B"/>
    <w:rsid w:val="168E3614"/>
    <w:rsid w:val="168F3053"/>
    <w:rsid w:val="169D3D82"/>
    <w:rsid w:val="16A71A6C"/>
    <w:rsid w:val="16B215D7"/>
    <w:rsid w:val="16C32FA8"/>
    <w:rsid w:val="16C72A03"/>
    <w:rsid w:val="16CF043A"/>
    <w:rsid w:val="16D16708"/>
    <w:rsid w:val="16D35EEC"/>
    <w:rsid w:val="16D7455C"/>
    <w:rsid w:val="16DA3904"/>
    <w:rsid w:val="16E7083A"/>
    <w:rsid w:val="16E93992"/>
    <w:rsid w:val="16EC21A9"/>
    <w:rsid w:val="16F063B1"/>
    <w:rsid w:val="16F13EFF"/>
    <w:rsid w:val="170A2436"/>
    <w:rsid w:val="1716069C"/>
    <w:rsid w:val="17227311"/>
    <w:rsid w:val="17235CF1"/>
    <w:rsid w:val="172F334D"/>
    <w:rsid w:val="173316B7"/>
    <w:rsid w:val="17333A6F"/>
    <w:rsid w:val="174F41F3"/>
    <w:rsid w:val="175D6473"/>
    <w:rsid w:val="176020CC"/>
    <w:rsid w:val="176B2A8F"/>
    <w:rsid w:val="178846D5"/>
    <w:rsid w:val="178B0DBE"/>
    <w:rsid w:val="178E79D4"/>
    <w:rsid w:val="1795458B"/>
    <w:rsid w:val="17970B86"/>
    <w:rsid w:val="17AF0971"/>
    <w:rsid w:val="17B25870"/>
    <w:rsid w:val="17B4786C"/>
    <w:rsid w:val="17B75C3F"/>
    <w:rsid w:val="17BA44DA"/>
    <w:rsid w:val="17C11CCF"/>
    <w:rsid w:val="17C97AF5"/>
    <w:rsid w:val="17DC70DD"/>
    <w:rsid w:val="17E530A1"/>
    <w:rsid w:val="17EA6A45"/>
    <w:rsid w:val="17FC00FE"/>
    <w:rsid w:val="18055193"/>
    <w:rsid w:val="180C52E2"/>
    <w:rsid w:val="18355753"/>
    <w:rsid w:val="1835624A"/>
    <w:rsid w:val="18465D38"/>
    <w:rsid w:val="18492F48"/>
    <w:rsid w:val="1852547A"/>
    <w:rsid w:val="185310D1"/>
    <w:rsid w:val="185674C0"/>
    <w:rsid w:val="18590093"/>
    <w:rsid w:val="186C2639"/>
    <w:rsid w:val="186E352D"/>
    <w:rsid w:val="187451CE"/>
    <w:rsid w:val="187B70D9"/>
    <w:rsid w:val="188A4548"/>
    <w:rsid w:val="188E2EEA"/>
    <w:rsid w:val="18C019C3"/>
    <w:rsid w:val="18CB703B"/>
    <w:rsid w:val="18CC1FCE"/>
    <w:rsid w:val="18CE58D3"/>
    <w:rsid w:val="18D42B07"/>
    <w:rsid w:val="18DE443C"/>
    <w:rsid w:val="18F26F3E"/>
    <w:rsid w:val="190275F1"/>
    <w:rsid w:val="19132A78"/>
    <w:rsid w:val="191A6C3F"/>
    <w:rsid w:val="192440D5"/>
    <w:rsid w:val="192B7A73"/>
    <w:rsid w:val="19365F47"/>
    <w:rsid w:val="193C71E3"/>
    <w:rsid w:val="194B0FD9"/>
    <w:rsid w:val="194E135E"/>
    <w:rsid w:val="19507D0A"/>
    <w:rsid w:val="19567D92"/>
    <w:rsid w:val="196601C7"/>
    <w:rsid w:val="196C0269"/>
    <w:rsid w:val="196E5FE0"/>
    <w:rsid w:val="19771672"/>
    <w:rsid w:val="197E1EAA"/>
    <w:rsid w:val="198654F2"/>
    <w:rsid w:val="1996649E"/>
    <w:rsid w:val="19A8024B"/>
    <w:rsid w:val="19A80D17"/>
    <w:rsid w:val="19B3293C"/>
    <w:rsid w:val="19C063E8"/>
    <w:rsid w:val="19C50AB2"/>
    <w:rsid w:val="19C65366"/>
    <w:rsid w:val="19CE1179"/>
    <w:rsid w:val="19D60D5E"/>
    <w:rsid w:val="19DA6334"/>
    <w:rsid w:val="19DD64A9"/>
    <w:rsid w:val="19E05BDB"/>
    <w:rsid w:val="19F52593"/>
    <w:rsid w:val="1A0C0641"/>
    <w:rsid w:val="1A0D5A7C"/>
    <w:rsid w:val="1A1C7BEF"/>
    <w:rsid w:val="1A252DFA"/>
    <w:rsid w:val="1A2A3C0C"/>
    <w:rsid w:val="1A3F4647"/>
    <w:rsid w:val="1A5507F5"/>
    <w:rsid w:val="1A596673"/>
    <w:rsid w:val="1A5D777D"/>
    <w:rsid w:val="1A637084"/>
    <w:rsid w:val="1A976486"/>
    <w:rsid w:val="1AA21C70"/>
    <w:rsid w:val="1AA447B1"/>
    <w:rsid w:val="1AAB066E"/>
    <w:rsid w:val="1AB92216"/>
    <w:rsid w:val="1ACB2E47"/>
    <w:rsid w:val="1AD007BD"/>
    <w:rsid w:val="1AD83F56"/>
    <w:rsid w:val="1AF24CB8"/>
    <w:rsid w:val="1AFD215A"/>
    <w:rsid w:val="1B0005B1"/>
    <w:rsid w:val="1B030FC4"/>
    <w:rsid w:val="1B1077F6"/>
    <w:rsid w:val="1B3965DD"/>
    <w:rsid w:val="1B5711F7"/>
    <w:rsid w:val="1B6B1D83"/>
    <w:rsid w:val="1B7247AF"/>
    <w:rsid w:val="1B7E4F22"/>
    <w:rsid w:val="1B8751E2"/>
    <w:rsid w:val="1BAF7DA0"/>
    <w:rsid w:val="1BB709C6"/>
    <w:rsid w:val="1BC226C9"/>
    <w:rsid w:val="1BF5701F"/>
    <w:rsid w:val="1BFF72CC"/>
    <w:rsid w:val="1C0F3FE6"/>
    <w:rsid w:val="1C2328B1"/>
    <w:rsid w:val="1C267312"/>
    <w:rsid w:val="1C2752EA"/>
    <w:rsid w:val="1C2D0ACE"/>
    <w:rsid w:val="1C387C40"/>
    <w:rsid w:val="1C423ED8"/>
    <w:rsid w:val="1C613696"/>
    <w:rsid w:val="1C6728B4"/>
    <w:rsid w:val="1C6B69B1"/>
    <w:rsid w:val="1C6C12A8"/>
    <w:rsid w:val="1C6C38AF"/>
    <w:rsid w:val="1C6D0A5B"/>
    <w:rsid w:val="1C6D49CD"/>
    <w:rsid w:val="1C7837FE"/>
    <w:rsid w:val="1C8C2E4B"/>
    <w:rsid w:val="1C9248D1"/>
    <w:rsid w:val="1CB85996"/>
    <w:rsid w:val="1CBD6DF8"/>
    <w:rsid w:val="1CD572A7"/>
    <w:rsid w:val="1CFA4491"/>
    <w:rsid w:val="1CFB17B2"/>
    <w:rsid w:val="1D0512F4"/>
    <w:rsid w:val="1D08309B"/>
    <w:rsid w:val="1D0834FA"/>
    <w:rsid w:val="1D0A4451"/>
    <w:rsid w:val="1D186210"/>
    <w:rsid w:val="1D23500D"/>
    <w:rsid w:val="1D3F7669"/>
    <w:rsid w:val="1D4519E5"/>
    <w:rsid w:val="1D4B66BA"/>
    <w:rsid w:val="1D62200A"/>
    <w:rsid w:val="1D774483"/>
    <w:rsid w:val="1D8771EF"/>
    <w:rsid w:val="1D8E6F13"/>
    <w:rsid w:val="1D920939"/>
    <w:rsid w:val="1DA01BB6"/>
    <w:rsid w:val="1DA27F8C"/>
    <w:rsid w:val="1DA754D3"/>
    <w:rsid w:val="1DBE193F"/>
    <w:rsid w:val="1DCC74C3"/>
    <w:rsid w:val="1DD91BF9"/>
    <w:rsid w:val="1DE042F4"/>
    <w:rsid w:val="1DEA55D7"/>
    <w:rsid w:val="1DF409CF"/>
    <w:rsid w:val="1E013B9A"/>
    <w:rsid w:val="1E0B67BE"/>
    <w:rsid w:val="1E142A48"/>
    <w:rsid w:val="1E2E6AA0"/>
    <w:rsid w:val="1E2F7FB4"/>
    <w:rsid w:val="1E427DEE"/>
    <w:rsid w:val="1E5C3DBA"/>
    <w:rsid w:val="1E684DD7"/>
    <w:rsid w:val="1E7417F2"/>
    <w:rsid w:val="1E7B0F8E"/>
    <w:rsid w:val="1E831C9B"/>
    <w:rsid w:val="1E9174F9"/>
    <w:rsid w:val="1E984A2B"/>
    <w:rsid w:val="1E9865D6"/>
    <w:rsid w:val="1EA17867"/>
    <w:rsid w:val="1EBB4D8C"/>
    <w:rsid w:val="1EC82C8B"/>
    <w:rsid w:val="1ED75305"/>
    <w:rsid w:val="1EDB3193"/>
    <w:rsid w:val="1EEA36EB"/>
    <w:rsid w:val="1EF86FFF"/>
    <w:rsid w:val="1F117C70"/>
    <w:rsid w:val="1F226D84"/>
    <w:rsid w:val="1F300E66"/>
    <w:rsid w:val="1F381132"/>
    <w:rsid w:val="1F3E056A"/>
    <w:rsid w:val="1F5014C5"/>
    <w:rsid w:val="1F55102A"/>
    <w:rsid w:val="1F643657"/>
    <w:rsid w:val="1F7F43E2"/>
    <w:rsid w:val="1F817699"/>
    <w:rsid w:val="1F91715D"/>
    <w:rsid w:val="1F961F0D"/>
    <w:rsid w:val="1F980510"/>
    <w:rsid w:val="1FB32025"/>
    <w:rsid w:val="1FDA0BBC"/>
    <w:rsid w:val="1FE169DC"/>
    <w:rsid w:val="1FE30B27"/>
    <w:rsid w:val="1FE32139"/>
    <w:rsid w:val="1FF918A2"/>
    <w:rsid w:val="20012727"/>
    <w:rsid w:val="200E76BA"/>
    <w:rsid w:val="201148F7"/>
    <w:rsid w:val="20117258"/>
    <w:rsid w:val="20267FC3"/>
    <w:rsid w:val="20536331"/>
    <w:rsid w:val="20592E58"/>
    <w:rsid w:val="205C63A8"/>
    <w:rsid w:val="207E2B62"/>
    <w:rsid w:val="207F7570"/>
    <w:rsid w:val="20817056"/>
    <w:rsid w:val="20947806"/>
    <w:rsid w:val="20AB1DC3"/>
    <w:rsid w:val="20AF5030"/>
    <w:rsid w:val="20BB0645"/>
    <w:rsid w:val="20BD1C6E"/>
    <w:rsid w:val="20C23409"/>
    <w:rsid w:val="20CB57F0"/>
    <w:rsid w:val="20E57BA3"/>
    <w:rsid w:val="210F512F"/>
    <w:rsid w:val="21103841"/>
    <w:rsid w:val="212E13FC"/>
    <w:rsid w:val="213D1A29"/>
    <w:rsid w:val="21515640"/>
    <w:rsid w:val="215E6A2B"/>
    <w:rsid w:val="2163212D"/>
    <w:rsid w:val="216E33EB"/>
    <w:rsid w:val="218863FB"/>
    <w:rsid w:val="21980B50"/>
    <w:rsid w:val="21A71F90"/>
    <w:rsid w:val="21A72568"/>
    <w:rsid w:val="21B86E9C"/>
    <w:rsid w:val="21BD76FB"/>
    <w:rsid w:val="21E151A6"/>
    <w:rsid w:val="21E93BAF"/>
    <w:rsid w:val="21F15BD9"/>
    <w:rsid w:val="222E7CEC"/>
    <w:rsid w:val="22323AC6"/>
    <w:rsid w:val="224B26C9"/>
    <w:rsid w:val="224F0F54"/>
    <w:rsid w:val="22505DA7"/>
    <w:rsid w:val="22567C75"/>
    <w:rsid w:val="225B5C32"/>
    <w:rsid w:val="22671F75"/>
    <w:rsid w:val="226E3717"/>
    <w:rsid w:val="22700E21"/>
    <w:rsid w:val="228A3C2D"/>
    <w:rsid w:val="229964FB"/>
    <w:rsid w:val="22CA0399"/>
    <w:rsid w:val="22CC3636"/>
    <w:rsid w:val="22D36ED6"/>
    <w:rsid w:val="22DF0033"/>
    <w:rsid w:val="22E542C3"/>
    <w:rsid w:val="22F879E2"/>
    <w:rsid w:val="22FC5DFE"/>
    <w:rsid w:val="23046F22"/>
    <w:rsid w:val="230E5E33"/>
    <w:rsid w:val="23356CBA"/>
    <w:rsid w:val="23477323"/>
    <w:rsid w:val="23492CBA"/>
    <w:rsid w:val="234A77EB"/>
    <w:rsid w:val="234E0733"/>
    <w:rsid w:val="23523B33"/>
    <w:rsid w:val="2365082B"/>
    <w:rsid w:val="23AB421A"/>
    <w:rsid w:val="23B04249"/>
    <w:rsid w:val="23B25D6C"/>
    <w:rsid w:val="23B37917"/>
    <w:rsid w:val="23BF63F7"/>
    <w:rsid w:val="23C50DCC"/>
    <w:rsid w:val="23CE3413"/>
    <w:rsid w:val="23D66983"/>
    <w:rsid w:val="23D91CBD"/>
    <w:rsid w:val="23E31DA7"/>
    <w:rsid w:val="23F904CC"/>
    <w:rsid w:val="24012A50"/>
    <w:rsid w:val="24102A82"/>
    <w:rsid w:val="24141B08"/>
    <w:rsid w:val="2415147D"/>
    <w:rsid w:val="24151AFD"/>
    <w:rsid w:val="24194C47"/>
    <w:rsid w:val="241C5202"/>
    <w:rsid w:val="242C61AF"/>
    <w:rsid w:val="24397406"/>
    <w:rsid w:val="245406BE"/>
    <w:rsid w:val="245F05EA"/>
    <w:rsid w:val="2464153E"/>
    <w:rsid w:val="2477002D"/>
    <w:rsid w:val="248A20EA"/>
    <w:rsid w:val="248C1EAD"/>
    <w:rsid w:val="2490149D"/>
    <w:rsid w:val="249A1910"/>
    <w:rsid w:val="24A26E3B"/>
    <w:rsid w:val="24B85F01"/>
    <w:rsid w:val="24C52691"/>
    <w:rsid w:val="24C96ACA"/>
    <w:rsid w:val="24D115C1"/>
    <w:rsid w:val="24D71047"/>
    <w:rsid w:val="24F72FCF"/>
    <w:rsid w:val="24F75673"/>
    <w:rsid w:val="2501271C"/>
    <w:rsid w:val="25063DD6"/>
    <w:rsid w:val="25087A2F"/>
    <w:rsid w:val="2509365D"/>
    <w:rsid w:val="25254F47"/>
    <w:rsid w:val="252E666D"/>
    <w:rsid w:val="25356C57"/>
    <w:rsid w:val="2537501A"/>
    <w:rsid w:val="25376B97"/>
    <w:rsid w:val="255A3FBE"/>
    <w:rsid w:val="256039BA"/>
    <w:rsid w:val="256372B7"/>
    <w:rsid w:val="2564692B"/>
    <w:rsid w:val="25741D9E"/>
    <w:rsid w:val="259D13EF"/>
    <w:rsid w:val="25AD68DB"/>
    <w:rsid w:val="25C53471"/>
    <w:rsid w:val="25C57A0C"/>
    <w:rsid w:val="25CA1163"/>
    <w:rsid w:val="25D231D6"/>
    <w:rsid w:val="25D65D9A"/>
    <w:rsid w:val="25D9410A"/>
    <w:rsid w:val="25DD1A89"/>
    <w:rsid w:val="25E9296A"/>
    <w:rsid w:val="25F7016A"/>
    <w:rsid w:val="25FA322F"/>
    <w:rsid w:val="26054DB3"/>
    <w:rsid w:val="260E782C"/>
    <w:rsid w:val="26230D0B"/>
    <w:rsid w:val="26486BAC"/>
    <w:rsid w:val="264A32C0"/>
    <w:rsid w:val="264D610C"/>
    <w:rsid w:val="26554F03"/>
    <w:rsid w:val="26594986"/>
    <w:rsid w:val="266C4E9D"/>
    <w:rsid w:val="26705406"/>
    <w:rsid w:val="267528CD"/>
    <w:rsid w:val="267F7897"/>
    <w:rsid w:val="268A20C6"/>
    <w:rsid w:val="269D469C"/>
    <w:rsid w:val="269E6375"/>
    <w:rsid w:val="26A442DA"/>
    <w:rsid w:val="26B47289"/>
    <w:rsid w:val="26BA424A"/>
    <w:rsid w:val="26C72276"/>
    <w:rsid w:val="26CC50D4"/>
    <w:rsid w:val="26D82789"/>
    <w:rsid w:val="26EF5E8D"/>
    <w:rsid w:val="26FA3C18"/>
    <w:rsid w:val="27023BBE"/>
    <w:rsid w:val="270705E7"/>
    <w:rsid w:val="270A157A"/>
    <w:rsid w:val="270F418B"/>
    <w:rsid w:val="271B217B"/>
    <w:rsid w:val="27262D66"/>
    <w:rsid w:val="27286248"/>
    <w:rsid w:val="272D7975"/>
    <w:rsid w:val="272F1CE2"/>
    <w:rsid w:val="27396255"/>
    <w:rsid w:val="273B195A"/>
    <w:rsid w:val="27463CB2"/>
    <w:rsid w:val="27486C7F"/>
    <w:rsid w:val="27612F50"/>
    <w:rsid w:val="277A4424"/>
    <w:rsid w:val="27866F2D"/>
    <w:rsid w:val="27875EC4"/>
    <w:rsid w:val="27880034"/>
    <w:rsid w:val="2789283D"/>
    <w:rsid w:val="278E0A45"/>
    <w:rsid w:val="279A0E43"/>
    <w:rsid w:val="27A037CA"/>
    <w:rsid w:val="27B23617"/>
    <w:rsid w:val="27B306A4"/>
    <w:rsid w:val="27CC79A5"/>
    <w:rsid w:val="27D06571"/>
    <w:rsid w:val="27D65946"/>
    <w:rsid w:val="27D70481"/>
    <w:rsid w:val="27D74AD2"/>
    <w:rsid w:val="27E75F30"/>
    <w:rsid w:val="27EF1BA5"/>
    <w:rsid w:val="27F81E5E"/>
    <w:rsid w:val="27FC701A"/>
    <w:rsid w:val="2802738B"/>
    <w:rsid w:val="280E08BA"/>
    <w:rsid w:val="280F55A0"/>
    <w:rsid w:val="281B4BE0"/>
    <w:rsid w:val="28232538"/>
    <w:rsid w:val="28257550"/>
    <w:rsid w:val="282C60B8"/>
    <w:rsid w:val="28354521"/>
    <w:rsid w:val="283B455F"/>
    <w:rsid w:val="28435BE2"/>
    <w:rsid w:val="28437D95"/>
    <w:rsid w:val="285206BB"/>
    <w:rsid w:val="285D1B40"/>
    <w:rsid w:val="2860268D"/>
    <w:rsid w:val="28604137"/>
    <w:rsid w:val="28710C8E"/>
    <w:rsid w:val="287E7FC2"/>
    <w:rsid w:val="28881157"/>
    <w:rsid w:val="288F4BC4"/>
    <w:rsid w:val="289B75E7"/>
    <w:rsid w:val="28A21337"/>
    <w:rsid w:val="28A866AD"/>
    <w:rsid w:val="28AE5CC6"/>
    <w:rsid w:val="28C00996"/>
    <w:rsid w:val="28C272DB"/>
    <w:rsid w:val="28C360B5"/>
    <w:rsid w:val="28D11B30"/>
    <w:rsid w:val="28D50759"/>
    <w:rsid w:val="28D53FBF"/>
    <w:rsid w:val="28EA2713"/>
    <w:rsid w:val="290F4436"/>
    <w:rsid w:val="291751E0"/>
    <w:rsid w:val="29210AA2"/>
    <w:rsid w:val="29215F22"/>
    <w:rsid w:val="29276ADA"/>
    <w:rsid w:val="29323BB4"/>
    <w:rsid w:val="294808F9"/>
    <w:rsid w:val="294A2E8E"/>
    <w:rsid w:val="294C27C9"/>
    <w:rsid w:val="295343F6"/>
    <w:rsid w:val="296171B6"/>
    <w:rsid w:val="29785828"/>
    <w:rsid w:val="297E1F78"/>
    <w:rsid w:val="29802375"/>
    <w:rsid w:val="298811B9"/>
    <w:rsid w:val="299E24F3"/>
    <w:rsid w:val="29A74DA4"/>
    <w:rsid w:val="29A9656F"/>
    <w:rsid w:val="29BB3058"/>
    <w:rsid w:val="29BC49AE"/>
    <w:rsid w:val="29C62D63"/>
    <w:rsid w:val="29CB257D"/>
    <w:rsid w:val="29CF7621"/>
    <w:rsid w:val="29E6338A"/>
    <w:rsid w:val="29E815D9"/>
    <w:rsid w:val="29ED0AE1"/>
    <w:rsid w:val="29F45A05"/>
    <w:rsid w:val="29FB5189"/>
    <w:rsid w:val="2A042DE1"/>
    <w:rsid w:val="2A047A8A"/>
    <w:rsid w:val="2A0B27C3"/>
    <w:rsid w:val="2A0D0E3B"/>
    <w:rsid w:val="2A1E4389"/>
    <w:rsid w:val="2A215A46"/>
    <w:rsid w:val="2A4D051F"/>
    <w:rsid w:val="2A4D523F"/>
    <w:rsid w:val="2A503F39"/>
    <w:rsid w:val="2A694B16"/>
    <w:rsid w:val="2A69741C"/>
    <w:rsid w:val="2A772806"/>
    <w:rsid w:val="2A7B03D8"/>
    <w:rsid w:val="2A88382E"/>
    <w:rsid w:val="2A9743C0"/>
    <w:rsid w:val="2AA66D0B"/>
    <w:rsid w:val="2AAB6A3D"/>
    <w:rsid w:val="2AAC56AE"/>
    <w:rsid w:val="2ABE7CB5"/>
    <w:rsid w:val="2ABF5D81"/>
    <w:rsid w:val="2AC26DB3"/>
    <w:rsid w:val="2AC27D77"/>
    <w:rsid w:val="2AC6442C"/>
    <w:rsid w:val="2ADB084E"/>
    <w:rsid w:val="2ADD1FB3"/>
    <w:rsid w:val="2AEC13F0"/>
    <w:rsid w:val="2B0910C3"/>
    <w:rsid w:val="2B0C71FF"/>
    <w:rsid w:val="2B115A0A"/>
    <w:rsid w:val="2B122E8B"/>
    <w:rsid w:val="2B1B0188"/>
    <w:rsid w:val="2B1B4910"/>
    <w:rsid w:val="2B266E05"/>
    <w:rsid w:val="2B2732C2"/>
    <w:rsid w:val="2B2D0A3E"/>
    <w:rsid w:val="2B36743A"/>
    <w:rsid w:val="2B3A238D"/>
    <w:rsid w:val="2B4A1B6B"/>
    <w:rsid w:val="2B5D04B1"/>
    <w:rsid w:val="2B65230A"/>
    <w:rsid w:val="2B652E48"/>
    <w:rsid w:val="2B7120CF"/>
    <w:rsid w:val="2B8B34D0"/>
    <w:rsid w:val="2B8E46E7"/>
    <w:rsid w:val="2B9C7A06"/>
    <w:rsid w:val="2BA62514"/>
    <w:rsid w:val="2BAB52F2"/>
    <w:rsid w:val="2BB446F5"/>
    <w:rsid w:val="2BBE7B80"/>
    <w:rsid w:val="2BC16925"/>
    <w:rsid w:val="2BC333DC"/>
    <w:rsid w:val="2BC96A27"/>
    <w:rsid w:val="2BE322AF"/>
    <w:rsid w:val="2C0B6BA8"/>
    <w:rsid w:val="2C121FBC"/>
    <w:rsid w:val="2C332F00"/>
    <w:rsid w:val="2C6B1AFE"/>
    <w:rsid w:val="2C711CB3"/>
    <w:rsid w:val="2C71365B"/>
    <w:rsid w:val="2C8173F2"/>
    <w:rsid w:val="2C8734EF"/>
    <w:rsid w:val="2C936D3F"/>
    <w:rsid w:val="2C942969"/>
    <w:rsid w:val="2C9569A5"/>
    <w:rsid w:val="2C973168"/>
    <w:rsid w:val="2CAE4C4B"/>
    <w:rsid w:val="2CB223CE"/>
    <w:rsid w:val="2CD05A57"/>
    <w:rsid w:val="2CDF2A10"/>
    <w:rsid w:val="2CFE4558"/>
    <w:rsid w:val="2D107DB9"/>
    <w:rsid w:val="2D153DAB"/>
    <w:rsid w:val="2D153EA2"/>
    <w:rsid w:val="2D1F76C0"/>
    <w:rsid w:val="2D2F2D68"/>
    <w:rsid w:val="2D3019BE"/>
    <w:rsid w:val="2D422B52"/>
    <w:rsid w:val="2D4D5188"/>
    <w:rsid w:val="2D583B8F"/>
    <w:rsid w:val="2D5A59D8"/>
    <w:rsid w:val="2D7415BF"/>
    <w:rsid w:val="2D852F4E"/>
    <w:rsid w:val="2D8D675C"/>
    <w:rsid w:val="2D8F4169"/>
    <w:rsid w:val="2D903D57"/>
    <w:rsid w:val="2D9308C5"/>
    <w:rsid w:val="2D9354C4"/>
    <w:rsid w:val="2D961EA7"/>
    <w:rsid w:val="2DAB2ACE"/>
    <w:rsid w:val="2DAC4F85"/>
    <w:rsid w:val="2DB85327"/>
    <w:rsid w:val="2DBA7721"/>
    <w:rsid w:val="2DCA7E85"/>
    <w:rsid w:val="2DD00E01"/>
    <w:rsid w:val="2DD06865"/>
    <w:rsid w:val="2DD7028A"/>
    <w:rsid w:val="2DDC601C"/>
    <w:rsid w:val="2DF02456"/>
    <w:rsid w:val="2DF1724C"/>
    <w:rsid w:val="2E077F24"/>
    <w:rsid w:val="2E0F0227"/>
    <w:rsid w:val="2E211B0E"/>
    <w:rsid w:val="2E37392B"/>
    <w:rsid w:val="2E3D40C4"/>
    <w:rsid w:val="2E40014B"/>
    <w:rsid w:val="2E6E777D"/>
    <w:rsid w:val="2E7603BB"/>
    <w:rsid w:val="2E972EBE"/>
    <w:rsid w:val="2EA90223"/>
    <w:rsid w:val="2EB467AD"/>
    <w:rsid w:val="2EE135FE"/>
    <w:rsid w:val="2EE6697B"/>
    <w:rsid w:val="2EEB3171"/>
    <w:rsid w:val="2F08329B"/>
    <w:rsid w:val="2F310DC6"/>
    <w:rsid w:val="2F442651"/>
    <w:rsid w:val="2F47382E"/>
    <w:rsid w:val="2F4F0F13"/>
    <w:rsid w:val="2F5530F9"/>
    <w:rsid w:val="2F64718E"/>
    <w:rsid w:val="2F706782"/>
    <w:rsid w:val="2F761576"/>
    <w:rsid w:val="2F8E1292"/>
    <w:rsid w:val="2FA33C14"/>
    <w:rsid w:val="2FA7447E"/>
    <w:rsid w:val="2FD4683B"/>
    <w:rsid w:val="2FE05F83"/>
    <w:rsid w:val="2FEB175A"/>
    <w:rsid w:val="2FEE6597"/>
    <w:rsid w:val="2FF12A04"/>
    <w:rsid w:val="30265754"/>
    <w:rsid w:val="303477AE"/>
    <w:rsid w:val="304D1BC7"/>
    <w:rsid w:val="309D008A"/>
    <w:rsid w:val="30A241B7"/>
    <w:rsid w:val="30A81192"/>
    <w:rsid w:val="30AD2843"/>
    <w:rsid w:val="30B85CCE"/>
    <w:rsid w:val="30C24F57"/>
    <w:rsid w:val="30CD7129"/>
    <w:rsid w:val="30F12479"/>
    <w:rsid w:val="30FF1EB3"/>
    <w:rsid w:val="310444AC"/>
    <w:rsid w:val="310B0A9D"/>
    <w:rsid w:val="311669E3"/>
    <w:rsid w:val="31224F69"/>
    <w:rsid w:val="312618B2"/>
    <w:rsid w:val="31295D33"/>
    <w:rsid w:val="31307D81"/>
    <w:rsid w:val="313F73A0"/>
    <w:rsid w:val="31416F6C"/>
    <w:rsid w:val="31464DE8"/>
    <w:rsid w:val="314A45E7"/>
    <w:rsid w:val="31570230"/>
    <w:rsid w:val="316F256E"/>
    <w:rsid w:val="319372A9"/>
    <w:rsid w:val="31980830"/>
    <w:rsid w:val="319E6DF2"/>
    <w:rsid w:val="31AA2111"/>
    <w:rsid w:val="31B67EEC"/>
    <w:rsid w:val="31C6033B"/>
    <w:rsid w:val="31D2511F"/>
    <w:rsid w:val="31D55E86"/>
    <w:rsid w:val="31F14CF7"/>
    <w:rsid w:val="31F86B35"/>
    <w:rsid w:val="32012B67"/>
    <w:rsid w:val="320137FC"/>
    <w:rsid w:val="32033344"/>
    <w:rsid w:val="32062DFB"/>
    <w:rsid w:val="320C786D"/>
    <w:rsid w:val="320D3BA1"/>
    <w:rsid w:val="320F4D53"/>
    <w:rsid w:val="32105CA6"/>
    <w:rsid w:val="321C6149"/>
    <w:rsid w:val="322B1B51"/>
    <w:rsid w:val="3239088B"/>
    <w:rsid w:val="323C0087"/>
    <w:rsid w:val="324565B4"/>
    <w:rsid w:val="324E2018"/>
    <w:rsid w:val="32542F49"/>
    <w:rsid w:val="327110F4"/>
    <w:rsid w:val="327A675D"/>
    <w:rsid w:val="327B2465"/>
    <w:rsid w:val="32885F08"/>
    <w:rsid w:val="3298519C"/>
    <w:rsid w:val="329A0D60"/>
    <w:rsid w:val="32A562C2"/>
    <w:rsid w:val="32AB5A6B"/>
    <w:rsid w:val="32B87684"/>
    <w:rsid w:val="32C254B0"/>
    <w:rsid w:val="32CD63AE"/>
    <w:rsid w:val="32D26AA0"/>
    <w:rsid w:val="32D53FE7"/>
    <w:rsid w:val="32D65F07"/>
    <w:rsid w:val="32E758D7"/>
    <w:rsid w:val="32F613ED"/>
    <w:rsid w:val="32F76F70"/>
    <w:rsid w:val="32FF1E57"/>
    <w:rsid w:val="33057F8A"/>
    <w:rsid w:val="331A29A3"/>
    <w:rsid w:val="331C64DC"/>
    <w:rsid w:val="331F0F68"/>
    <w:rsid w:val="33300D14"/>
    <w:rsid w:val="33315F2F"/>
    <w:rsid w:val="333A0F7C"/>
    <w:rsid w:val="333D051E"/>
    <w:rsid w:val="3358303F"/>
    <w:rsid w:val="338021B4"/>
    <w:rsid w:val="338A0783"/>
    <w:rsid w:val="339214F6"/>
    <w:rsid w:val="33A02BC3"/>
    <w:rsid w:val="33A16ADC"/>
    <w:rsid w:val="33AD2A2E"/>
    <w:rsid w:val="33B12AD9"/>
    <w:rsid w:val="33CB4A4B"/>
    <w:rsid w:val="33D068D6"/>
    <w:rsid w:val="33D245E8"/>
    <w:rsid w:val="33E0103C"/>
    <w:rsid w:val="34027743"/>
    <w:rsid w:val="340777E8"/>
    <w:rsid w:val="340D6F48"/>
    <w:rsid w:val="34212C40"/>
    <w:rsid w:val="342C35D4"/>
    <w:rsid w:val="343366B2"/>
    <w:rsid w:val="343A1F4F"/>
    <w:rsid w:val="34604142"/>
    <w:rsid w:val="34700850"/>
    <w:rsid w:val="347D4F84"/>
    <w:rsid w:val="347E6430"/>
    <w:rsid w:val="347F1744"/>
    <w:rsid w:val="348A6C2C"/>
    <w:rsid w:val="348B3571"/>
    <w:rsid w:val="348D0BD5"/>
    <w:rsid w:val="349546B3"/>
    <w:rsid w:val="349832B8"/>
    <w:rsid w:val="34AE3979"/>
    <w:rsid w:val="34C50FCC"/>
    <w:rsid w:val="34D813A0"/>
    <w:rsid w:val="34E21165"/>
    <w:rsid w:val="34EC6618"/>
    <w:rsid w:val="34EE4FD2"/>
    <w:rsid w:val="350427AA"/>
    <w:rsid w:val="35096B28"/>
    <w:rsid w:val="350C46D8"/>
    <w:rsid w:val="350F0CCE"/>
    <w:rsid w:val="3511245F"/>
    <w:rsid w:val="351F40A1"/>
    <w:rsid w:val="353204F1"/>
    <w:rsid w:val="353B72F0"/>
    <w:rsid w:val="353D48F6"/>
    <w:rsid w:val="35405911"/>
    <w:rsid w:val="35482F56"/>
    <w:rsid w:val="35505532"/>
    <w:rsid w:val="35544CD8"/>
    <w:rsid w:val="35651F85"/>
    <w:rsid w:val="35813518"/>
    <w:rsid w:val="35862973"/>
    <w:rsid w:val="359604C0"/>
    <w:rsid w:val="35A43EA3"/>
    <w:rsid w:val="35AF4F78"/>
    <w:rsid w:val="35C63994"/>
    <w:rsid w:val="35D035CC"/>
    <w:rsid w:val="35D20D87"/>
    <w:rsid w:val="35EC37D3"/>
    <w:rsid w:val="35F44167"/>
    <w:rsid w:val="35F84C63"/>
    <w:rsid w:val="360E3283"/>
    <w:rsid w:val="36203AD7"/>
    <w:rsid w:val="363B7AE9"/>
    <w:rsid w:val="363F1E2A"/>
    <w:rsid w:val="364B5E6B"/>
    <w:rsid w:val="364C5C0F"/>
    <w:rsid w:val="365A6A02"/>
    <w:rsid w:val="365B4656"/>
    <w:rsid w:val="365E0CD7"/>
    <w:rsid w:val="36660500"/>
    <w:rsid w:val="36830BB7"/>
    <w:rsid w:val="368622DF"/>
    <w:rsid w:val="36895112"/>
    <w:rsid w:val="36972CBD"/>
    <w:rsid w:val="369D1CC4"/>
    <w:rsid w:val="36B46FAA"/>
    <w:rsid w:val="36BC4655"/>
    <w:rsid w:val="36BF0E8A"/>
    <w:rsid w:val="36F5740B"/>
    <w:rsid w:val="36F658CA"/>
    <w:rsid w:val="370A277C"/>
    <w:rsid w:val="37254F2E"/>
    <w:rsid w:val="372B4FDC"/>
    <w:rsid w:val="374802BE"/>
    <w:rsid w:val="375417A2"/>
    <w:rsid w:val="375939B9"/>
    <w:rsid w:val="37624D97"/>
    <w:rsid w:val="376B5FFA"/>
    <w:rsid w:val="37805133"/>
    <w:rsid w:val="378B7BAA"/>
    <w:rsid w:val="37A14C5F"/>
    <w:rsid w:val="37A62950"/>
    <w:rsid w:val="37AF20B4"/>
    <w:rsid w:val="37B320B1"/>
    <w:rsid w:val="37B41A91"/>
    <w:rsid w:val="37B5755A"/>
    <w:rsid w:val="37D92E2C"/>
    <w:rsid w:val="37EF7C33"/>
    <w:rsid w:val="37F06A6D"/>
    <w:rsid w:val="38094142"/>
    <w:rsid w:val="380A0485"/>
    <w:rsid w:val="38146E21"/>
    <w:rsid w:val="38171A28"/>
    <w:rsid w:val="38186670"/>
    <w:rsid w:val="3820325B"/>
    <w:rsid w:val="38212E77"/>
    <w:rsid w:val="382B68E9"/>
    <w:rsid w:val="38371B2A"/>
    <w:rsid w:val="384A6DA8"/>
    <w:rsid w:val="3851641F"/>
    <w:rsid w:val="38585893"/>
    <w:rsid w:val="38701795"/>
    <w:rsid w:val="38904D11"/>
    <w:rsid w:val="38911D14"/>
    <w:rsid w:val="389E33C4"/>
    <w:rsid w:val="38A47278"/>
    <w:rsid w:val="38A55262"/>
    <w:rsid w:val="38AB1405"/>
    <w:rsid w:val="38AE23FA"/>
    <w:rsid w:val="38BC5A19"/>
    <w:rsid w:val="38BF0134"/>
    <w:rsid w:val="38C3291A"/>
    <w:rsid w:val="38C9430C"/>
    <w:rsid w:val="38CB2253"/>
    <w:rsid w:val="38DF0B6B"/>
    <w:rsid w:val="38E06B20"/>
    <w:rsid w:val="38EB3C73"/>
    <w:rsid w:val="390830B5"/>
    <w:rsid w:val="391300A3"/>
    <w:rsid w:val="3957311A"/>
    <w:rsid w:val="395B574B"/>
    <w:rsid w:val="395F1E5F"/>
    <w:rsid w:val="39661E07"/>
    <w:rsid w:val="39855828"/>
    <w:rsid w:val="39893EFE"/>
    <w:rsid w:val="398D545E"/>
    <w:rsid w:val="39990D2E"/>
    <w:rsid w:val="399A20A5"/>
    <w:rsid w:val="39AC44CF"/>
    <w:rsid w:val="39B14F57"/>
    <w:rsid w:val="39BB73BC"/>
    <w:rsid w:val="39CD11FE"/>
    <w:rsid w:val="39D03983"/>
    <w:rsid w:val="39D17677"/>
    <w:rsid w:val="39D41968"/>
    <w:rsid w:val="39E472E6"/>
    <w:rsid w:val="39E96941"/>
    <w:rsid w:val="39EE1391"/>
    <w:rsid w:val="39F05D11"/>
    <w:rsid w:val="3A083409"/>
    <w:rsid w:val="3A212CF7"/>
    <w:rsid w:val="3A257969"/>
    <w:rsid w:val="3A27149B"/>
    <w:rsid w:val="3A2905EC"/>
    <w:rsid w:val="3A2C7916"/>
    <w:rsid w:val="3A325AA4"/>
    <w:rsid w:val="3A332BD3"/>
    <w:rsid w:val="3A365822"/>
    <w:rsid w:val="3A381F02"/>
    <w:rsid w:val="3A4C2342"/>
    <w:rsid w:val="3A526EA3"/>
    <w:rsid w:val="3A5C2B24"/>
    <w:rsid w:val="3A6172C7"/>
    <w:rsid w:val="3A644030"/>
    <w:rsid w:val="3A762AE2"/>
    <w:rsid w:val="3A7919D7"/>
    <w:rsid w:val="3A7B590B"/>
    <w:rsid w:val="3A8B4F89"/>
    <w:rsid w:val="3A8B527F"/>
    <w:rsid w:val="3A8D6448"/>
    <w:rsid w:val="3AAE6D38"/>
    <w:rsid w:val="3ADD2A70"/>
    <w:rsid w:val="3AE0432F"/>
    <w:rsid w:val="3AF63253"/>
    <w:rsid w:val="3AF76F59"/>
    <w:rsid w:val="3B0E389B"/>
    <w:rsid w:val="3B1A2009"/>
    <w:rsid w:val="3B1B275A"/>
    <w:rsid w:val="3B1E1D04"/>
    <w:rsid w:val="3B2A7A0F"/>
    <w:rsid w:val="3B375F7D"/>
    <w:rsid w:val="3B48089C"/>
    <w:rsid w:val="3B48331E"/>
    <w:rsid w:val="3B485A0D"/>
    <w:rsid w:val="3B4A071C"/>
    <w:rsid w:val="3B5739D3"/>
    <w:rsid w:val="3B5E7C9A"/>
    <w:rsid w:val="3B732E36"/>
    <w:rsid w:val="3B906065"/>
    <w:rsid w:val="3BA252D3"/>
    <w:rsid w:val="3BA25A58"/>
    <w:rsid w:val="3BBC1AFC"/>
    <w:rsid w:val="3BCD0506"/>
    <w:rsid w:val="3BD54031"/>
    <w:rsid w:val="3BE43894"/>
    <w:rsid w:val="3BE653B1"/>
    <w:rsid w:val="3BEA6EF3"/>
    <w:rsid w:val="3BF420E4"/>
    <w:rsid w:val="3BFE3492"/>
    <w:rsid w:val="3C01529C"/>
    <w:rsid w:val="3C1A3392"/>
    <w:rsid w:val="3C234D8D"/>
    <w:rsid w:val="3C2A1313"/>
    <w:rsid w:val="3C36759B"/>
    <w:rsid w:val="3C4818F6"/>
    <w:rsid w:val="3C48700C"/>
    <w:rsid w:val="3C5B4896"/>
    <w:rsid w:val="3C7C55B8"/>
    <w:rsid w:val="3C9C6925"/>
    <w:rsid w:val="3CA53080"/>
    <w:rsid w:val="3CA64ED2"/>
    <w:rsid w:val="3CB77A8E"/>
    <w:rsid w:val="3CC21D20"/>
    <w:rsid w:val="3CC5339D"/>
    <w:rsid w:val="3CCD0FB7"/>
    <w:rsid w:val="3CCE5875"/>
    <w:rsid w:val="3CD02157"/>
    <w:rsid w:val="3CE0325F"/>
    <w:rsid w:val="3CE703BD"/>
    <w:rsid w:val="3CEF2E2B"/>
    <w:rsid w:val="3CEF4F5B"/>
    <w:rsid w:val="3CF44BB3"/>
    <w:rsid w:val="3D045FE7"/>
    <w:rsid w:val="3D0E795F"/>
    <w:rsid w:val="3D23361E"/>
    <w:rsid w:val="3D25241A"/>
    <w:rsid w:val="3D606179"/>
    <w:rsid w:val="3D6228F8"/>
    <w:rsid w:val="3D6A7882"/>
    <w:rsid w:val="3D6B71B2"/>
    <w:rsid w:val="3D6D5241"/>
    <w:rsid w:val="3D7026D1"/>
    <w:rsid w:val="3D7A1594"/>
    <w:rsid w:val="3DA53402"/>
    <w:rsid w:val="3DA66DCB"/>
    <w:rsid w:val="3DA95788"/>
    <w:rsid w:val="3DB11B25"/>
    <w:rsid w:val="3DB21E0A"/>
    <w:rsid w:val="3DC0618D"/>
    <w:rsid w:val="3DC163EA"/>
    <w:rsid w:val="3DC46F31"/>
    <w:rsid w:val="3DC64852"/>
    <w:rsid w:val="3DCA487A"/>
    <w:rsid w:val="3DCB6687"/>
    <w:rsid w:val="3DD135CC"/>
    <w:rsid w:val="3DDF2C15"/>
    <w:rsid w:val="3DE62CF5"/>
    <w:rsid w:val="3DEA20AE"/>
    <w:rsid w:val="3DED4799"/>
    <w:rsid w:val="3DF46298"/>
    <w:rsid w:val="3DF66948"/>
    <w:rsid w:val="3E134789"/>
    <w:rsid w:val="3E20643D"/>
    <w:rsid w:val="3E2976A2"/>
    <w:rsid w:val="3E2C2570"/>
    <w:rsid w:val="3E3B5EDE"/>
    <w:rsid w:val="3E3C7C4B"/>
    <w:rsid w:val="3E447FB3"/>
    <w:rsid w:val="3E4E1DAE"/>
    <w:rsid w:val="3E5926EF"/>
    <w:rsid w:val="3E5D3C16"/>
    <w:rsid w:val="3E6E5E0C"/>
    <w:rsid w:val="3E8201CF"/>
    <w:rsid w:val="3EA029FC"/>
    <w:rsid w:val="3EC54061"/>
    <w:rsid w:val="3EC858CA"/>
    <w:rsid w:val="3EC867AE"/>
    <w:rsid w:val="3ED568A1"/>
    <w:rsid w:val="3ED664BB"/>
    <w:rsid w:val="3EE26D8D"/>
    <w:rsid w:val="3EF35BD0"/>
    <w:rsid w:val="3EFA203F"/>
    <w:rsid w:val="3F006679"/>
    <w:rsid w:val="3F293A30"/>
    <w:rsid w:val="3F2E266B"/>
    <w:rsid w:val="3F30536D"/>
    <w:rsid w:val="3F3B35AE"/>
    <w:rsid w:val="3F522149"/>
    <w:rsid w:val="3F566CA5"/>
    <w:rsid w:val="3F5C7A5B"/>
    <w:rsid w:val="3F6340B1"/>
    <w:rsid w:val="3F7A77D3"/>
    <w:rsid w:val="3F856994"/>
    <w:rsid w:val="3F8D3D8F"/>
    <w:rsid w:val="3FA274E7"/>
    <w:rsid w:val="3FA81669"/>
    <w:rsid w:val="3FAB4C11"/>
    <w:rsid w:val="3FC04A6B"/>
    <w:rsid w:val="3FCD2D97"/>
    <w:rsid w:val="3FCD79A9"/>
    <w:rsid w:val="3FCE0C18"/>
    <w:rsid w:val="3FCE1BD8"/>
    <w:rsid w:val="3FCE2FAC"/>
    <w:rsid w:val="3FD547B1"/>
    <w:rsid w:val="3FE3444B"/>
    <w:rsid w:val="3FE950A8"/>
    <w:rsid w:val="3FF22C58"/>
    <w:rsid w:val="404106F3"/>
    <w:rsid w:val="404A1CA3"/>
    <w:rsid w:val="404A7DFC"/>
    <w:rsid w:val="404C09E5"/>
    <w:rsid w:val="40582D7B"/>
    <w:rsid w:val="405E056C"/>
    <w:rsid w:val="40637B04"/>
    <w:rsid w:val="407845E3"/>
    <w:rsid w:val="40815AB7"/>
    <w:rsid w:val="40845B0F"/>
    <w:rsid w:val="408A7AA3"/>
    <w:rsid w:val="40965DBD"/>
    <w:rsid w:val="40966FA2"/>
    <w:rsid w:val="409C1603"/>
    <w:rsid w:val="40A17700"/>
    <w:rsid w:val="40AD6A2B"/>
    <w:rsid w:val="40DF208F"/>
    <w:rsid w:val="40E6734F"/>
    <w:rsid w:val="40E85803"/>
    <w:rsid w:val="40F96DAA"/>
    <w:rsid w:val="40FD6978"/>
    <w:rsid w:val="41021D9E"/>
    <w:rsid w:val="41065138"/>
    <w:rsid w:val="41106C18"/>
    <w:rsid w:val="41223324"/>
    <w:rsid w:val="4123026D"/>
    <w:rsid w:val="413D7A12"/>
    <w:rsid w:val="413F3C6A"/>
    <w:rsid w:val="414A50BF"/>
    <w:rsid w:val="414E71DA"/>
    <w:rsid w:val="4169627F"/>
    <w:rsid w:val="417B5370"/>
    <w:rsid w:val="41865837"/>
    <w:rsid w:val="418739ED"/>
    <w:rsid w:val="41876955"/>
    <w:rsid w:val="41A36295"/>
    <w:rsid w:val="41AB6CCD"/>
    <w:rsid w:val="41CD0B10"/>
    <w:rsid w:val="41DD1E22"/>
    <w:rsid w:val="42010A92"/>
    <w:rsid w:val="421217A5"/>
    <w:rsid w:val="422E554E"/>
    <w:rsid w:val="42344D5F"/>
    <w:rsid w:val="42383FA9"/>
    <w:rsid w:val="42443AE2"/>
    <w:rsid w:val="425F2114"/>
    <w:rsid w:val="42684E3D"/>
    <w:rsid w:val="42831F98"/>
    <w:rsid w:val="428A1A13"/>
    <w:rsid w:val="42911A64"/>
    <w:rsid w:val="42B63686"/>
    <w:rsid w:val="42BE4B09"/>
    <w:rsid w:val="42D34638"/>
    <w:rsid w:val="42D5070C"/>
    <w:rsid w:val="42D71C92"/>
    <w:rsid w:val="42D87738"/>
    <w:rsid w:val="42E2708C"/>
    <w:rsid w:val="42E47A71"/>
    <w:rsid w:val="42E50D4D"/>
    <w:rsid w:val="42F37F53"/>
    <w:rsid w:val="430E4D4E"/>
    <w:rsid w:val="4311042C"/>
    <w:rsid w:val="431252DF"/>
    <w:rsid w:val="431C3D37"/>
    <w:rsid w:val="43267E5B"/>
    <w:rsid w:val="433349D3"/>
    <w:rsid w:val="43361477"/>
    <w:rsid w:val="434A15B4"/>
    <w:rsid w:val="434F31E6"/>
    <w:rsid w:val="436354A0"/>
    <w:rsid w:val="436B7180"/>
    <w:rsid w:val="43736B7E"/>
    <w:rsid w:val="437E33A0"/>
    <w:rsid w:val="4396400B"/>
    <w:rsid w:val="43A2745A"/>
    <w:rsid w:val="43A47368"/>
    <w:rsid w:val="43AA1B73"/>
    <w:rsid w:val="43CB0BB1"/>
    <w:rsid w:val="43CF3123"/>
    <w:rsid w:val="43D95338"/>
    <w:rsid w:val="43DF28C8"/>
    <w:rsid w:val="43E2515B"/>
    <w:rsid w:val="43E76CE1"/>
    <w:rsid w:val="43F97CF4"/>
    <w:rsid w:val="43FA4AB9"/>
    <w:rsid w:val="43FD285C"/>
    <w:rsid w:val="442B4A8D"/>
    <w:rsid w:val="444A6052"/>
    <w:rsid w:val="44640259"/>
    <w:rsid w:val="446715C3"/>
    <w:rsid w:val="4468386F"/>
    <w:rsid w:val="446A3D4B"/>
    <w:rsid w:val="446C50CA"/>
    <w:rsid w:val="446D7F7E"/>
    <w:rsid w:val="446F2155"/>
    <w:rsid w:val="448119E6"/>
    <w:rsid w:val="44870164"/>
    <w:rsid w:val="448C51B5"/>
    <w:rsid w:val="448F7650"/>
    <w:rsid w:val="449565CF"/>
    <w:rsid w:val="44A40A63"/>
    <w:rsid w:val="44AA3A92"/>
    <w:rsid w:val="44B31AAC"/>
    <w:rsid w:val="44BC64F1"/>
    <w:rsid w:val="44BD2BE7"/>
    <w:rsid w:val="44DA110D"/>
    <w:rsid w:val="44DF67C3"/>
    <w:rsid w:val="44E5065D"/>
    <w:rsid w:val="45017939"/>
    <w:rsid w:val="450206D7"/>
    <w:rsid w:val="45023BAB"/>
    <w:rsid w:val="450A7890"/>
    <w:rsid w:val="450D33E2"/>
    <w:rsid w:val="451112E1"/>
    <w:rsid w:val="45146320"/>
    <w:rsid w:val="451C202B"/>
    <w:rsid w:val="453275A0"/>
    <w:rsid w:val="453A4624"/>
    <w:rsid w:val="453A72AA"/>
    <w:rsid w:val="455959FA"/>
    <w:rsid w:val="455E1BB1"/>
    <w:rsid w:val="455E6B77"/>
    <w:rsid w:val="456B2ED2"/>
    <w:rsid w:val="45715A2A"/>
    <w:rsid w:val="457237B8"/>
    <w:rsid w:val="458B4999"/>
    <w:rsid w:val="459366AC"/>
    <w:rsid w:val="45965095"/>
    <w:rsid w:val="45A27F26"/>
    <w:rsid w:val="45A50376"/>
    <w:rsid w:val="45AC2793"/>
    <w:rsid w:val="45AE66F1"/>
    <w:rsid w:val="45B22FE9"/>
    <w:rsid w:val="45B82BD8"/>
    <w:rsid w:val="45BC72F8"/>
    <w:rsid w:val="45BE48CF"/>
    <w:rsid w:val="45C45A25"/>
    <w:rsid w:val="45DB4BCB"/>
    <w:rsid w:val="45DD1704"/>
    <w:rsid w:val="45DE2B8D"/>
    <w:rsid w:val="45EC7B78"/>
    <w:rsid w:val="45FB1974"/>
    <w:rsid w:val="45FF6BE7"/>
    <w:rsid w:val="46327E27"/>
    <w:rsid w:val="46336C40"/>
    <w:rsid w:val="463D1C15"/>
    <w:rsid w:val="463E6B36"/>
    <w:rsid w:val="464E07EF"/>
    <w:rsid w:val="46530E8A"/>
    <w:rsid w:val="465520F3"/>
    <w:rsid w:val="465F281E"/>
    <w:rsid w:val="4663511B"/>
    <w:rsid w:val="46645AB4"/>
    <w:rsid w:val="466A264C"/>
    <w:rsid w:val="46715FBF"/>
    <w:rsid w:val="46772B3B"/>
    <w:rsid w:val="467F0308"/>
    <w:rsid w:val="467F7459"/>
    <w:rsid w:val="4687240D"/>
    <w:rsid w:val="468906AC"/>
    <w:rsid w:val="46960802"/>
    <w:rsid w:val="46997D97"/>
    <w:rsid w:val="469E3691"/>
    <w:rsid w:val="46A202AF"/>
    <w:rsid w:val="46BA1912"/>
    <w:rsid w:val="46C169BE"/>
    <w:rsid w:val="46D46163"/>
    <w:rsid w:val="46DB230B"/>
    <w:rsid w:val="470F2A8F"/>
    <w:rsid w:val="47194DE6"/>
    <w:rsid w:val="472A372E"/>
    <w:rsid w:val="474C0DA2"/>
    <w:rsid w:val="474F0284"/>
    <w:rsid w:val="476F7D9D"/>
    <w:rsid w:val="47726913"/>
    <w:rsid w:val="478E1F26"/>
    <w:rsid w:val="479557B6"/>
    <w:rsid w:val="47A34BCA"/>
    <w:rsid w:val="47A76426"/>
    <w:rsid w:val="47AA25CF"/>
    <w:rsid w:val="47C57A1D"/>
    <w:rsid w:val="47C62F3E"/>
    <w:rsid w:val="47CE3715"/>
    <w:rsid w:val="47D46ECD"/>
    <w:rsid w:val="47DE323B"/>
    <w:rsid w:val="47EC4A5D"/>
    <w:rsid w:val="480738AE"/>
    <w:rsid w:val="480840DF"/>
    <w:rsid w:val="480C39C6"/>
    <w:rsid w:val="4817294A"/>
    <w:rsid w:val="483A6028"/>
    <w:rsid w:val="483C6BAE"/>
    <w:rsid w:val="48615028"/>
    <w:rsid w:val="48661A15"/>
    <w:rsid w:val="486B6F44"/>
    <w:rsid w:val="487F57B8"/>
    <w:rsid w:val="488D38CD"/>
    <w:rsid w:val="48A23D8C"/>
    <w:rsid w:val="48A54DF3"/>
    <w:rsid w:val="48B11104"/>
    <w:rsid w:val="48C65BED"/>
    <w:rsid w:val="48C7350C"/>
    <w:rsid w:val="48D4698C"/>
    <w:rsid w:val="48EF3B47"/>
    <w:rsid w:val="48FC67FC"/>
    <w:rsid w:val="49011904"/>
    <w:rsid w:val="490B53EA"/>
    <w:rsid w:val="490E74FC"/>
    <w:rsid w:val="49151E96"/>
    <w:rsid w:val="49167B34"/>
    <w:rsid w:val="49190A5A"/>
    <w:rsid w:val="49232ED2"/>
    <w:rsid w:val="49290B5D"/>
    <w:rsid w:val="49343858"/>
    <w:rsid w:val="49441F53"/>
    <w:rsid w:val="494953EE"/>
    <w:rsid w:val="49537110"/>
    <w:rsid w:val="495E6FEF"/>
    <w:rsid w:val="49662F57"/>
    <w:rsid w:val="49685F55"/>
    <w:rsid w:val="496A3ECF"/>
    <w:rsid w:val="49706731"/>
    <w:rsid w:val="498A6090"/>
    <w:rsid w:val="498D54EA"/>
    <w:rsid w:val="49955126"/>
    <w:rsid w:val="49A35EC4"/>
    <w:rsid w:val="49AA42B8"/>
    <w:rsid w:val="49AB4304"/>
    <w:rsid w:val="49B125BD"/>
    <w:rsid w:val="49B33E46"/>
    <w:rsid w:val="49C576A6"/>
    <w:rsid w:val="49E303E9"/>
    <w:rsid w:val="49EA66D8"/>
    <w:rsid w:val="49F0529F"/>
    <w:rsid w:val="49F82654"/>
    <w:rsid w:val="4A0635B0"/>
    <w:rsid w:val="4A0834B0"/>
    <w:rsid w:val="4A0C352E"/>
    <w:rsid w:val="4A0F2B42"/>
    <w:rsid w:val="4A1140F9"/>
    <w:rsid w:val="4A221D5D"/>
    <w:rsid w:val="4A2D4690"/>
    <w:rsid w:val="4A353369"/>
    <w:rsid w:val="4A4331D3"/>
    <w:rsid w:val="4A434AA9"/>
    <w:rsid w:val="4A4924D6"/>
    <w:rsid w:val="4A4B4B47"/>
    <w:rsid w:val="4A8A0621"/>
    <w:rsid w:val="4A9135AF"/>
    <w:rsid w:val="4A9454FA"/>
    <w:rsid w:val="4A9F7750"/>
    <w:rsid w:val="4AC100E0"/>
    <w:rsid w:val="4AC638CF"/>
    <w:rsid w:val="4ADF4E97"/>
    <w:rsid w:val="4AF21EDF"/>
    <w:rsid w:val="4B293239"/>
    <w:rsid w:val="4B2C0EDC"/>
    <w:rsid w:val="4B363B68"/>
    <w:rsid w:val="4B4B05E8"/>
    <w:rsid w:val="4B5161EC"/>
    <w:rsid w:val="4B53296D"/>
    <w:rsid w:val="4B6B4105"/>
    <w:rsid w:val="4B740BEA"/>
    <w:rsid w:val="4B9061FC"/>
    <w:rsid w:val="4B943254"/>
    <w:rsid w:val="4B9F6C7A"/>
    <w:rsid w:val="4BA4488B"/>
    <w:rsid w:val="4BB015BE"/>
    <w:rsid w:val="4BC65398"/>
    <w:rsid w:val="4BD36A1D"/>
    <w:rsid w:val="4BD95C76"/>
    <w:rsid w:val="4BDD636C"/>
    <w:rsid w:val="4BE23228"/>
    <w:rsid w:val="4BE57F70"/>
    <w:rsid w:val="4BEA64BF"/>
    <w:rsid w:val="4BF42BCF"/>
    <w:rsid w:val="4BF718F5"/>
    <w:rsid w:val="4C000F93"/>
    <w:rsid w:val="4C002B96"/>
    <w:rsid w:val="4C062234"/>
    <w:rsid w:val="4C1010FD"/>
    <w:rsid w:val="4C306CCE"/>
    <w:rsid w:val="4C4F2D27"/>
    <w:rsid w:val="4C506E3F"/>
    <w:rsid w:val="4C550DDC"/>
    <w:rsid w:val="4C5E6D0F"/>
    <w:rsid w:val="4C902730"/>
    <w:rsid w:val="4C9166A4"/>
    <w:rsid w:val="4C92569F"/>
    <w:rsid w:val="4C957B9B"/>
    <w:rsid w:val="4C9C2FCA"/>
    <w:rsid w:val="4C9E6AFB"/>
    <w:rsid w:val="4CAA04DE"/>
    <w:rsid w:val="4CED2C12"/>
    <w:rsid w:val="4CF047E3"/>
    <w:rsid w:val="4CF152BB"/>
    <w:rsid w:val="4CF522E2"/>
    <w:rsid w:val="4CFD5C2B"/>
    <w:rsid w:val="4D120D94"/>
    <w:rsid w:val="4D243CC1"/>
    <w:rsid w:val="4D3A1101"/>
    <w:rsid w:val="4D590342"/>
    <w:rsid w:val="4D5F73F3"/>
    <w:rsid w:val="4D687C1C"/>
    <w:rsid w:val="4D6B01DE"/>
    <w:rsid w:val="4D6E0401"/>
    <w:rsid w:val="4D7C6832"/>
    <w:rsid w:val="4D7D3AB8"/>
    <w:rsid w:val="4D805D2E"/>
    <w:rsid w:val="4D9705E0"/>
    <w:rsid w:val="4D9E0DF8"/>
    <w:rsid w:val="4D9E5049"/>
    <w:rsid w:val="4DAE3FB3"/>
    <w:rsid w:val="4DE536D7"/>
    <w:rsid w:val="4DEC434E"/>
    <w:rsid w:val="4DED605D"/>
    <w:rsid w:val="4DEE7475"/>
    <w:rsid w:val="4DF85CD3"/>
    <w:rsid w:val="4DF917A7"/>
    <w:rsid w:val="4E0E563A"/>
    <w:rsid w:val="4E242856"/>
    <w:rsid w:val="4E260CCD"/>
    <w:rsid w:val="4E2A31F5"/>
    <w:rsid w:val="4E2F3BF0"/>
    <w:rsid w:val="4E3371D7"/>
    <w:rsid w:val="4E377EC0"/>
    <w:rsid w:val="4E3F6431"/>
    <w:rsid w:val="4E403FBA"/>
    <w:rsid w:val="4E442F14"/>
    <w:rsid w:val="4E460673"/>
    <w:rsid w:val="4E5765B3"/>
    <w:rsid w:val="4E587050"/>
    <w:rsid w:val="4E6A48FF"/>
    <w:rsid w:val="4E6C4819"/>
    <w:rsid w:val="4E75547A"/>
    <w:rsid w:val="4E7928F2"/>
    <w:rsid w:val="4E8933E8"/>
    <w:rsid w:val="4E910726"/>
    <w:rsid w:val="4E916F72"/>
    <w:rsid w:val="4EA657F7"/>
    <w:rsid w:val="4EA70A4A"/>
    <w:rsid w:val="4EA857DC"/>
    <w:rsid w:val="4EA86B91"/>
    <w:rsid w:val="4EB265A0"/>
    <w:rsid w:val="4EBD34A6"/>
    <w:rsid w:val="4ECA73F9"/>
    <w:rsid w:val="4ED438F4"/>
    <w:rsid w:val="4ED7474D"/>
    <w:rsid w:val="4EDC24F0"/>
    <w:rsid w:val="4EFF4FD3"/>
    <w:rsid w:val="4F042A50"/>
    <w:rsid w:val="4F111767"/>
    <w:rsid w:val="4F1E055F"/>
    <w:rsid w:val="4F2476BE"/>
    <w:rsid w:val="4F256AEA"/>
    <w:rsid w:val="4F2F1B7D"/>
    <w:rsid w:val="4F366427"/>
    <w:rsid w:val="4F5731A5"/>
    <w:rsid w:val="4F5F1DDC"/>
    <w:rsid w:val="4F6147F9"/>
    <w:rsid w:val="4F634BA6"/>
    <w:rsid w:val="4F6510DF"/>
    <w:rsid w:val="4F8D413E"/>
    <w:rsid w:val="4F9A7FB6"/>
    <w:rsid w:val="4FB20CBB"/>
    <w:rsid w:val="4FD0579D"/>
    <w:rsid w:val="4FDF7CB5"/>
    <w:rsid w:val="500819E5"/>
    <w:rsid w:val="50084B5B"/>
    <w:rsid w:val="500F76ED"/>
    <w:rsid w:val="501E404B"/>
    <w:rsid w:val="50207E56"/>
    <w:rsid w:val="503301AE"/>
    <w:rsid w:val="503819EF"/>
    <w:rsid w:val="504C42A4"/>
    <w:rsid w:val="50520606"/>
    <w:rsid w:val="50545363"/>
    <w:rsid w:val="507352E1"/>
    <w:rsid w:val="507918A8"/>
    <w:rsid w:val="507D6895"/>
    <w:rsid w:val="5092179A"/>
    <w:rsid w:val="50CF4246"/>
    <w:rsid w:val="50E63240"/>
    <w:rsid w:val="50EB266B"/>
    <w:rsid w:val="50F93FDF"/>
    <w:rsid w:val="5106719A"/>
    <w:rsid w:val="510B3A78"/>
    <w:rsid w:val="511A3E48"/>
    <w:rsid w:val="51322A24"/>
    <w:rsid w:val="51397048"/>
    <w:rsid w:val="51487042"/>
    <w:rsid w:val="514A345A"/>
    <w:rsid w:val="515F1DE6"/>
    <w:rsid w:val="51603B7A"/>
    <w:rsid w:val="5170506C"/>
    <w:rsid w:val="517661E3"/>
    <w:rsid w:val="51806E59"/>
    <w:rsid w:val="51815D0E"/>
    <w:rsid w:val="51944475"/>
    <w:rsid w:val="51A4622E"/>
    <w:rsid w:val="51A92771"/>
    <w:rsid w:val="51B00E88"/>
    <w:rsid w:val="51BC4CE1"/>
    <w:rsid w:val="51C57472"/>
    <w:rsid w:val="51C872AB"/>
    <w:rsid w:val="51D00E2D"/>
    <w:rsid w:val="51D5274D"/>
    <w:rsid w:val="51E31204"/>
    <w:rsid w:val="51E71C43"/>
    <w:rsid w:val="51F2052A"/>
    <w:rsid w:val="51F57CB7"/>
    <w:rsid w:val="523018AD"/>
    <w:rsid w:val="52312FEE"/>
    <w:rsid w:val="523A42D1"/>
    <w:rsid w:val="523E1F7E"/>
    <w:rsid w:val="523F67EC"/>
    <w:rsid w:val="524150EF"/>
    <w:rsid w:val="52451D28"/>
    <w:rsid w:val="524B20F7"/>
    <w:rsid w:val="5257156F"/>
    <w:rsid w:val="526F0D2C"/>
    <w:rsid w:val="52736BAB"/>
    <w:rsid w:val="52905480"/>
    <w:rsid w:val="52916F2E"/>
    <w:rsid w:val="529437D4"/>
    <w:rsid w:val="52A13F58"/>
    <w:rsid w:val="52A543E7"/>
    <w:rsid w:val="52C04ED0"/>
    <w:rsid w:val="52C70310"/>
    <w:rsid w:val="52CC6CF3"/>
    <w:rsid w:val="52D972E8"/>
    <w:rsid w:val="52EA3DAF"/>
    <w:rsid w:val="52EA3F8D"/>
    <w:rsid w:val="52F921AF"/>
    <w:rsid w:val="53052474"/>
    <w:rsid w:val="53093396"/>
    <w:rsid w:val="531F5F4F"/>
    <w:rsid w:val="532D47F2"/>
    <w:rsid w:val="532D606A"/>
    <w:rsid w:val="532E4436"/>
    <w:rsid w:val="533E3AA9"/>
    <w:rsid w:val="53405A1B"/>
    <w:rsid w:val="53420490"/>
    <w:rsid w:val="5347611A"/>
    <w:rsid w:val="5353436B"/>
    <w:rsid w:val="53687627"/>
    <w:rsid w:val="53796A51"/>
    <w:rsid w:val="537B3810"/>
    <w:rsid w:val="538D23AC"/>
    <w:rsid w:val="538F0584"/>
    <w:rsid w:val="53BC1E8D"/>
    <w:rsid w:val="53C12C0D"/>
    <w:rsid w:val="53CC6B4E"/>
    <w:rsid w:val="53CD3AA2"/>
    <w:rsid w:val="53DE0DCD"/>
    <w:rsid w:val="53DE2729"/>
    <w:rsid w:val="53EB76DA"/>
    <w:rsid w:val="53EF6AFD"/>
    <w:rsid w:val="540150E3"/>
    <w:rsid w:val="54053A3F"/>
    <w:rsid w:val="540D6FA5"/>
    <w:rsid w:val="540E6F22"/>
    <w:rsid w:val="541650F1"/>
    <w:rsid w:val="54197C76"/>
    <w:rsid w:val="541B7CF7"/>
    <w:rsid w:val="54314664"/>
    <w:rsid w:val="543849A0"/>
    <w:rsid w:val="545565F0"/>
    <w:rsid w:val="545A3C1B"/>
    <w:rsid w:val="546E5A9F"/>
    <w:rsid w:val="5478088C"/>
    <w:rsid w:val="54793B0A"/>
    <w:rsid w:val="54A0155C"/>
    <w:rsid w:val="54A0201D"/>
    <w:rsid w:val="54A10D22"/>
    <w:rsid w:val="54A15DB3"/>
    <w:rsid w:val="54A528F2"/>
    <w:rsid w:val="54AE2E71"/>
    <w:rsid w:val="54B100E5"/>
    <w:rsid w:val="54B27854"/>
    <w:rsid w:val="54C50964"/>
    <w:rsid w:val="54DE270D"/>
    <w:rsid w:val="54DF5FDE"/>
    <w:rsid w:val="54E4133C"/>
    <w:rsid w:val="54F73FA2"/>
    <w:rsid w:val="54F77E66"/>
    <w:rsid w:val="54FC23D4"/>
    <w:rsid w:val="550C76FD"/>
    <w:rsid w:val="550F6056"/>
    <w:rsid w:val="55131815"/>
    <w:rsid w:val="55220543"/>
    <w:rsid w:val="552C6A20"/>
    <w:rsid w:val="55327C7D"/>
    <w:rsid w:val="55496239"/>
    <w:rsid w:val="554E5F4A"/>
    <w:rsid w:val="555C2417"/>
    <w:rsid w:val="55784115"/>
    <w:rsid w:val="557E5C11"/>
    <w:rsid w:val="5583312F"/>
    <w:rsid w:val="559D16EA"/>
    <w:rsid w:val="55A94578"/>
    <w:rsid w:val="55B563F7"/>
    <w:rsid w:val="55C05898"/>
    <w:rsid w:val="55E013B3"/>
    <w:rsid w:val="55EA202B"/>
    <w:rsid w:val="55EB28ED"/>
    <w:rsid w:val="562A5B13"/>
    <w:rsid w:val="563A2E75"/>
    <w:rsid w:val="564151CE"/>
    <w:rsid w:val="56435431"/>
    <w:rsid w:val="564E46AA"/>
    <w:rsid w:val="565B6B3D"/>
    <w:rsid w:val="565D74FD"/>
    <w:rsid w:val="565F422E"/>
    <w:rsid w:val="56924946"/>
    <w:rsid w:val="56D806B5"/>
    <w:rsid w:val="56E866B4"/>
    <w:rsid w:val="57176F1A"/>
    <w:rsid w:val="571B5BA7"/>
    <w:rsid w:val="571B7B8C"/>
    <w:rsid w:val="57220570"/>
    <w:rsid w:val="573E70A9"/>
    <w:rsid w:val="57617626"/>
    <w:rsid w:val="57646AA3"/>
    <w:rsid w:val="57685810"/>
    <w:rsid w:val="576E3FB4"/>
    <w:rsid w:val="57794321"/>
    <w:rsid w:val="57A17C6A"/>
    <w:rsid w:val="57A7145D"/>
    <w:rsid w:val="57A80B12"/>
    <w:rsid w:val="57AE2A7D"/>
    <w:rsid w:val="57BB5886"/>
    <w:rsid w:val="57BE2544"/>
    <w:rsid w:val="57E738C2"/>
    <w:rsid w:val="57EF1166"/>
    <w:rsid w:val="58047E4C"/>
    <w:rsid w:val="58072E7D"/>
    <w:rsid w:val="580F14AF"/>
    <w:rsid w:val="581A6A60"/>
    <w:rsid w:val="584A2AEA"/>
    <w:rsid w:val="58514B37"/>
    <w:rsid w:val="58593CFA"/>
    <w:rsid w:val="58681882"/>
    <w:rsid w:val="58705860"/>
    <w:rsid w:val="58714C06"/>
    <w:rsid w:val="587346F3"/>
    <w:rsid w:val="587666F9"/>
    <w:rsid w:val="58857743"/>
    <w:rsid w:val="588F2F17"/>
    <w:rsid w:val="589B3D9C"/>
    <w:rsid w:val="589D034B"/>
    <w:rsid w:val="58A824E4"/>
    <w:rsid w:val="58AE60B4"/>
    <w:rsid w:val="58BF6B12"/>
    <w:rsid w:val="58C3354F"/>
    <w:rsid w:val="58ED5AB6"/>
    <w:rsid w:val="59046B87"/>
    <w:rsid w:val="59175848"/>
    <w:rsid w:val="59191EEF"/>
    <w:rsid w:val="59267E6B"/>
    <w:rsid w:val="592A3CF3"/>
    <w:rsid w:val="59304C57"/>
    <w:rsid w:val="593A1B47"/>
    <w:rsid w:val="595A2AE4"/>
    <w:rsid w:val="5968307B"/>
    <w:rsid w:val="596A29FC"/>
    <w:rsid w:val="59783C32"/>
    <w:rsid w:val="59847174"/>
    <w:rsid w:val="59B43537"/>
    <w:rsid w:val="59C611F0"/>
    <w:rsid w:val="59C97DC1"/>
    <w:rsid w:val="59D862E0"/>
    <w:rsid w:val="59DD1DCF"/>
    <w:rsid w:val="59E70EA7"/>
    <w:rsid w:val="59FB6D66"/>
    <w:rsid w:val="59FF22DD"/>
    <w:rsid w:val="5A090C70"/>
    <w:rsid w:val="5A101FE4"/>
    <w:rsid w:val="5A1F1AE2"/>
    <w:rsid w:val="5A384F67"/>
    <w:rsid w:val="5A447D82"/>
    <w:rsid w:val="5A5B3499"/>
    <w:rsid w:val="5A747588"/>
    <w:rsid w:val="5A772C9D"/>
    <w:rsid w:val="5A7E21E1"/>
    <w:rsid w:val="5A7F20C9"/>
    <w:rsid w:val="5A9527E5"/>
    <w:rsid w:val="5AA44450"/>
    <w:rsid w:val="5AB240F5"/>
    <w:rsid w:val="5ABE635C"/>
    <w:rsid w:val="5ABE7496"/>
    <w:rsid w:val="5ACA423E"/>
    <w:rsid w:val="5AD14A97"/>
    <w:rsid w:val="5ADF13BA"/>
    <w:rsid w:val="5AE21030"/>
    <w:rsid w:val="5AEC5595"/>
    <w:rsid w:val="5AFD2AB2"/>
    <w:rsid w:val="5B106687"/>
    <w:rsid w:val="5B232EA7"/>
    <w:rsid w:val="5B2C369B"/>
    <w:rsid w:val="5B335A49"/>
    <w:rsid w:val="5B3638A9"/>
    <w:rsid w:val="5B474779"/>
    <w:rsid w:val="5B4C3A28"/>
    <w:rsid w:val="5B4D5C6E"/>
    <w:rsid w:val="5B586589"/>
    <w:rsid w:val="5B662314"/>
    <w:rsid w:val="5B6D6B36"/>
    <w:rsid w:val="5B7B4BC9"/>
    <w:rsid w:val="5B7E7859"/>
    <w:rsid w:val="5B8A1B28"/>
    <w:rsid w:val="5BC04D53"/>
    <w:rsid w:val="5BC10516"/>
    <w:rsid w:val="5BC4398D"/>
    <w:rsid w:val="5BC505CD"/>
    <w:rsid w:val="5BC5437E"/>
    <w:rsid w:val="5BCD57B3"/>
    <w:rsid w:val="5BD31603"/>
    <w:rsid w:val="5BE104D9"/>
    <w:rsid w:val="5BE53344"/>
    <w:rsid w:val="5BE828FE"/>
    <w:rsid w:val="5BEE6597"/>
    <w:rsid w:val="5BF22B62"/>
    <w:rsid w:val="5BF54744"/>
    <w:rsid w:val="5C0133F5"/>
    <w:rsid w:val="5C0269FD"/>
    <w:rsid w:val="5C052F5F"/>
    <w:rsid w:val="5C0713CF"/>
    <w:rsid w:val="5C086D1C"/>
    <w:rsid w:val="5C0E5D02"/>
    <w:rsid w:val="5C0F5D3B"/>
    <w:rsid w:val="5C2F6D4C"/>
    <w:rsid w:val="5C3635DB"/>
    <w:rsid w:val="5C471205"/>
    <w:rsid w:val="5C7314C7"/>
    <w:rsid w:val="5C9326C3"/>
    <w:rsid w:val="5C9D1449"/>
    <w:rsid w:val="5CAA0F4F"/>
    <w:rsid w:val="5CAC11B0"/>
    <w:rsid w:val="5CB80815"/>
    <w:rsid w:val="5CD1066C"/>
    <w:rsid w:val="5CDA7A85"/>
    <w:rsid w:val="5CF63E56"/>
    <w:rsid w:val="5CFA1332"/>
    <w:rsid w:val="5CFF436A"/>
    <w:rsid w:val="5D0A13B1"/>
    <w:rsid w:val="5D2A1F42"/>
    <w:rsid w:val="5D2C0A2C"/>
    <w:rsid w:val="5D473EE4"/>
    <w:rsid w:val="5D503FD1"/>
    <w:rsid w:val="5D531B42"/>
    <w:rsid w:val="5D556E21"/>
    <w:rsid w:val="5D585219"/>
    <w:rsid w:val="5D5877AB"/>
    <w:rsid w:val="5D5E49B3"/>
    <w:rsid w:val="5D5F35CF"/>
    <w:rsid w:val="5D714C74"/>
    <w:rsid w:val="5D7F2F55"/>
    <w:rsid w:val="5DA70D91"/>
    <w:rsid w:val="5DB93883"/>
    <w:rsid w:val="5DBC1046"/>
    <w:rsid w:val="5DCF7FFE"/>
    <w:rsid w:val="5DDD3F6F"/>
    <w:rsid w:val="5DF053E5"/>
    <w:rsid w:val="5DFA2C5A"/>
    <w:rsid w:val="5E0962D0"/>
    <w:rsid w:val="5E0C641A"/>
    <w:rsid w:val="5E124B37"/>
    <w:rsid w:val="5E130F70"/>
    <w:rsid w:val="5E1762E7"/>
    <w:rsid w:val="5E4A77F8"/>
    <w:rsid w:val="5E4F68C9"/>
    <w:rsid w:val="5E5A22CB"/>
    <w:rsid w:val="5E6515F4"/>
    <w:rsid w:val="5E68711B"/>
    <w:rsid w:val="5E6E7FEA"/>
    <w:rsid w:val="5E962D5C"/>
    <w:rsid w:val="5E9C70FA"/>
    <w:rsid w:val="5E9F02DB"/>
    <w:rsid w:val="5EA109AF"/>
    <w:rsid w:val="5EC269C3"/>
    <w:rsid w:val="5ED717B6"/>
    <w:rsid w:val="5EDB3FC9"/>
    <w:rsid w:val="5EEB4505"/>
    <w:rsid w:val="5EEF0CA8"/>
    <w:rsid w:val="5EFA135D"/>
    <w:rsid w:val="5EFF5194"/>
    <w:rsid w:val="5F0706A4"/>
    <w:rsid w:val="5F086294"/>
    <w:rsid w:val="5F1A6368"/>
    <w:rsid w:val="5F1C2073"/>
    <w:rsid w:val="5F2C3484"/>
    <w:rsid w:val="5F2C6B62"/>
    <w:rsid w:val="5F373AF0"/>
    <w:rsid w:val="5F3D1593"/>
    <w:rsid w:val="5F4A1CB3"/>
    <w:rsid w:val="5F602A34"/>
    <w:rsid w:val="5F6F0453"/>
    <w:rsid w:val="5F743779"/>
    <w:rsid w:val="5F7C26B4"/>
    <w:rsid w:val="5F7E7C04"/>
    <w:rsid w:val="5F822810"/>
    <w:rsid w:val="5F877996"/>
    <w:rsid w:val="5F900DC5"/>
    <w:rsid w:val="5F99590D"/>
    <w:rsid w:val="5FB23DD4"/>
    <w:rsid w:val="5FB7170D"/>
    <w:rsid w:val="5FCB6C35"/>
    <w:rsid w:val="5FCE059C"/>
    <w:rsid w:val="5FCE2924"/>
    <w:rsid w:val="5FE25576"/>
    <w:rsid w:val="5FF14CAA"/>
    <w:rsid w:val="5FF72000"/>
    <w:rsid w:val="5FFA1854"/>
    <w:rsid w:val="6009496A"/>
    <w:rsid w:val="60181423"/>
    <w:rsid w:val="60264E1B"/>
    <w:rsid w:val="60272100"/>
    <w:rsid w:val="60273D33"/>
    <w:rsid w:val="6032216B"/>
    <w:rsid w:val="603D224A"/>
    <w:rsid w:val="6047123C"/>
    <w:rsid w:val="60550022"/>
    <w:rsid w:val="605500BA"/>
    <w:rsid w:val="60655C70"/>
    <w:rsid w:val="606A38AB"/>
    <w:rsid w:val="606E3ACA"/>
    <w:rsid w:val="607A771F"/>
    <w:rsid w:val="60830617"/>
    <w:rsid w:val="60967101"/>
    <w:rsid w:val="60A2720B"/>
    <w:rsid w:val="60BB2A36"/>
    <w:rsid w:val="60C6395A"/>
    <w:rsid w:val="60C96DE9"/>
    <w:rsid w:val="60CB6869"/>
    <w:rsid w:val="60CC4463"/>
    <w:rsid w:val="60D15F2C"/>
    <w:rsid w:val="60D33122"/>
    <w:rsid w:val="60D75559"/>
    <w:rsid w:val="60DA6BE5"/>
    <w:rsid w:val="60DA708B"/>
    <w:rsid w:val="60E667C9"/>
    <w:rsid w:val="60EA7CB7"/>
    <w:rsid w:val="61005134"/>
    <w:rsid w:val="61063241"/>
    <w:rsid w:val="61090B05"/>
    <w:rsid w:val="61095834"/>
    <w:rsid w:val="61102CD2"/>
    <w:rsid w:val="61157B3B"/>
    <w:rsid w:val="611F6673"/>
    <w:rsid w:val="612122E8"/>
    <w:rsid w:val="612862EA"/>
    <w:rsid w:val="61461EB9"/>
    <w:rsid w:val="61514937"/>
    <w:rsid w:val="615805D0"/>
    <w:rsid w:val="616B5657"/>
    <w:rsid w:val="6172090D"/>
    <w:rsid w:val="617C2A63"/>
    <w:rsid w:val="61872057"/>
    <w:rsid w:val="618E0A9E"/>
    <w:rsid w:val="6191606E"/>
    <w:rsid w:val="61C3611D"/>
    <w:rsid w:val="61D2071F"/>
    <w:rsid w:val="61D334CD"/>
    <w:rsid w:val="61D75732"/>
    <w:rsid w:val="61DC4510"/>
    <w:rsid w:val="61E21912"/>
    <w:rsid w:val="61E27AB3"/>
    <w:rsid w:val="61E73D9A"/>
    <w:rsid w:val="61F619C2"/>
    <w:rsid w:val="61FB6A37"/>
    <w:rsid w:val="61FC4955"/>
    <w:rsid w:val="62090F3A"/>
    <w:rsid w:val="62091B49"/>
    <w:rsid w:val="6213238C"/>
    <w:rsid w:val="622F3F2F"/>
    <w:rsid w:val="623E375F"/>
    <w:rsid w:val="625B302C"/>
    <w:rsid w:val="625E53C3"/>
    <w:rsid w:val="627633B4"/>
    <w:rsid w:val="62796EF8"/>
    <w:rsid w:val="62D01D80"/>
    <w:rsid w:val="62DA2D5E"/>
    <w:rsid w:val="62E43AA9"/>
    <w:rsid w:val="630268F0"/>
    <w:rsid w:val="630533D7"/>
    <w:rsid w:val="630B68E8"/>
    <w:rsid w:val="63154313"/>
    <w:rsid w:val="631C02E6"/>
    <w:rsid w:val="63213FC2"/>
    <w:rsid w:val="63375E89"/>
    <w:rsid w:val="63560A6A"/>
    <w:rsid w:val="635B3E56"/>
    <w:rsid w:val="63642666"/>
    <w:rsid w:val="63742F47"/>
    <w:rsid w:val="638635A7"/>
    <w:rsid w:val="63AC15F1"/>
    <w:rsid w:val="63B55A9D"/>
    <w:rsid w:val="63B658A0"/>
    <w:rsid w:val="63D07222"/>
    <w:rsid w:val="63D666AE"/>
    <w:rsid w:val="63D95BB4"/>
    <w:rsid w:val="63DB77AF"/>
    <w:rsid w:val="63DD70C2"/>
    <w:rsid w:val="63E336BC"/>
    <w:rsid w:val="63F31BB6"/>
    <w:rsid w:val="64082EF3"/>
    <w:rsid w:val="640E2EA8"/>
    <w:rsid w:val="641B3242"/>
    <w:rsid w:val="642E50B8"/>
    <w:rsid w:val="643E5011"/>
    <w:rsid w:val="6445177D"/>
    <w:rsid w:val="644C1122"/>
    <w:rsid w:val="6452267B"/>
    <w:rsid w:val="645B06BB"/>
    <w:rsid w:val="64647B8A"/>
    <w:rsid w:val="648D11B5"/>
    <w:rsid w:val="649E5DDA"/>
    <w:rsid w:val="64A92971"/>
    <w:rsid w:val="64B51565"/>
    <w:rsid w:val="64CE3E22"/>
    <w:rsid w:val="64D151FC"/>
    <w:rsid w:val="64E17006"/>
    <w:rsid w:val="64F26611"/>
    <w:rsid w:val="64FB014A"/>
    <w:rsid w:val="650207EA"/>
    <w:rsid w:val="650D3212"/>
    <w:rsid w:val="65132119"/>
    <w:rsid w:val="651B3998"/>
    <w:rsid w:val="651F1A43"/>
    <w:rsid w:val="652C121C"/>
    <w:rsid w:val="652C1BB7"/>
    <w:rsid w:val="65301E81"/>
    <w:rsid w:val="653A2629"/>
    <w:rsid w:val="654A1D8C"/>
    <w:rsid w:val="65585B0E"/>
    <w:rsid w:val="65652EDE"/>
    <w:rsid w:val="65890437"/>
    <w:rsid w:val="658E3620"/>
    <w:rsid w:val="65A24B1E"/>
    <w:rsid w:val="65AC0FDA"/>
    <w:rsid w:val="65AF432F"/>
    <w:rsid w:val="65BB6291"/>
    <w:rsid w:val="65BC2E4D"/>
    <w:rsid w:val="65C55ADA"/>
    <w:rsid w:val="65D47C03"/>
    <w:rsid w:val="65DB5725"/>
    <w:rsid w:val="65DC69A5"/>
    <w:rsid w:val="65DF38F7"/>
    <w:rsid w:val="65E92FC1"/>
    <w:rsid w:val="65FE2ED4"/>
    <w:rsid w:val="660A015B"/>
    <w:rsid w:val="660A541F"/>
    <w:rsid w:val="6610213E"/>
    <w:rsid w:val="66135400"/>
    <w:rsid w:val="66167066"/>
    <w:rsid w:val="661E124A"/>
    <w:rsid w:val="66274B08"/>
    <w:rsid w:val="66301A77"/>
    <w:rsid w:val="663535DE"/>
    <w:rsid w:val="66374E9B"/>
    <w:rsid w:val="664D37DB"/>
    <w:rsid w:val="66551DEA"/>
    <w:rsid w:val="667306B9"/>
    <w:rsid w:val="66731BFD"/>
    <w:rsid w:val="66846CC6"/>
    <w:rsid w:val="66954899"/>
    <w:rsid w:val="66B0119A"/>
    <w:rsid w:val="66BA6F40"/>
    <w:rsid w:val="66BC1CAA"/>
    <w:rsid w:val="66BD3EEF"/>
    <w:rsid w:val="66C3662B"/>
    <w:rsid w:val="66CE2DC5"/>
    <w:rsid w:val="66D24BF0"/>
    <w:rsid w:val="66D95659"/>
    <w:rsid w:val="66DE1999"/>
    <w:rsid w:val="66E013C0"/>
    <w:rsid w:val="671475A3"/>
    <w:rsid w:val="67227A73"/>
    <w:rsid w:val="67264066"/>
    <w:rsid w:val="672B76AF"/>
    <w:rsid w:val="672C6D2E"/>
    <w:rsid w:val="6739128C"/>
    <w:rsid w:val="67401194"/>
    <w:rsid w:val="67483316"/>
    <w:rsid w:val="674B3018"/>
    <w:rsid w:val="675115AF"/>
    <w:rsid w:val="6752326B"/>
    <w:rsid w:val="67597FA6"/>
    <w:rsid w:val="675C4FD4"/>
    <w:rsid w:val="6786353E"/>
    <w:rsid w:val="67871787"/>
    <w:rsid w:val="678E3F05"/>
    <w:rsid w:val="67AE3FCE"/>
    <w:rsid w:val="67B12C0A"/>
    <w:rsid w:val="67BE300D"/>
    <w:rsid w:val="67DA2EF3"/>
    <w:rsid w:val="67F45803"/>
    <w:rsid w:val="6817485B"/>
    <w:rsid w:val="68192F63"/>
    <w:rsid w:val="681F7ECC"/>
    <w:rsid w:val="68246190"/>
    <w:rsid w:val="68282B36"/>
    <w:rsid w:val="68310775"/>
    <w:rsid w:val="683D778A"/>
    <w:rsid w:val="684C1986"/>
    <w:rsid w:val="684D2DF7"/>
    <w:rsid w:val="68510E89"/>
    <w:rsid w:val="68517E21"/>
    <w:rsid w:val="685F7E87"/>
    <w:rsid w:val="686330F7"/>
    <w:rsid w:val="686D0D2B"/>
    <w:rsid w:val="686F4F6F"/>
    <w:rsid w:val="687E1A05"/>
    <w:rsid w:val="68880CA9"/>
    <w:rsid w:val="6888195F"/>
    <w:rsid w:val="68956F17"/>
    <w:rsid w:val="689D1960"/>
    <w:rsid w:val="689E429C"/>
    <w:rsid w:val="68A104B3"/>
    <w:rsid w:val="68A34FA6"/>
    <w:rsid w:val="68AA3358"/>
    <w:rsid w:val="68C73ED6"/>
    <w:rsid w:val="68DA0612"/>
    <w:rsid w:val="68E30E7B"/>
    <w:rsid w:val="68EB5910"/>
    <w:rsid w:val="6907412B"/>
    <w:rsid w:val="69084C42"/>
    <w:rsid w:val="690935FE"/>
    <w:rsid w:val="690E5BCA"/>
    <w:rsid w:val="691D149B"/>
    <w:rsid w:val="692107D3"/>
    <w:rsid w:val="69411517"/>
    <w:rsid w:val="69494D93"/>
    <w:rsid w:val="695208C2"/>
    <w:rsid w:val="69630FE6"/>
    <w:rsid w:val="6974400F"/>
    <w:rsid w:val="69843FCE"/>
    <w:rsid w:val="69990828"/>
    <w:rsid w:val="69A031D4"/>
    <w:rsid w:val="69A54BC2"/>
    <w:rsid w:val="69A764CB"/>
    <w:rsid w:val="69AB0F38"/>
    <w:rsid w:val="69C14EDB"/>
    <w:rsid w:val="69FF43A6"/>
    <w:rsid w:val="6A07620B"/>
    <w:rsid w:val="6A144F80"/>
    <w:rsid w:val="6A1940A7"/>
    <w:rsid w:val="6A290232"/>
    <w:rsid w:val="6A2A63FE"/>
    <w:rsid w:val="6A340679"/>
    <w:rsid w:val="6A354C54"/>
    <w:rsid w:val="6A3E45A3"/>
    <w:rsid w:val="6A5C7656"/>
    <w:rsid w:val="6A831673"/>
    <w:rsid w:val="6A9642AC"/>
    <w:rsid w:val="6A9955D1"/>
    <w:rsid w:val="6AB00A2E"/>
    <w:rsid w:val="6ABE7BDC"/>
    <w:rsid w:val="6AD96D3A"/>
    <w:rsid w:val="6ADE3C8F"/>
    <w:rsid w:val="6AE310C9"/>
    <w:rsid w:val="6AE54D67"/>
    <w:rsid w:val="6AF271FA"/>
    <w:rsid w:val="6AF30C97"/>
    <w:rsid w:val="6AFE1381"/>
    <w:rsid w:val="6B011030"/>
    <w:rsid w:val="6B06008A"/>
    <w:rsid w:val="6B1612EB"/>
    <w:rsid w:val="6B2A4182"/>
    <w:rsid w:val="6B403D03"/>
    <w:rsid w:val="6B4D3C20"/>
    <w:rsid w:val="6B544E1F"/>
    <w:rsid w:val="6B5D794B"/>
    <w:rsid w:val="6B6A1464"/>
    <w:rsid w:val="6B720BEC"/>
    <w:rsid w:val="6B804655"/>
    <w:rsid w:val="6B881A62"/>
    <w:rsid w:val="6BB40CF6"/>
    <w:rsid w:val="6BC913C2"/>
    <w:rsid w:val="6BC92B6C"/>
    <w:rsid w:val="6BCE7683"/>
    <w:rsid w:val="6BD5273C"/>
    <w:rsid w:val="6BD62915"/>
    <w:rsid w:val="6BF447AB"/>
    <w:rsid w:val="6BFA4E41"/>
    <w:rsid w:val="6BFB7C20"/>
    <w:rsid w:val="6BFE0A58"/>
    <w:rsid w:val="6C116B90"/>
    <w:rsid w:val="6C2F1F78"/>
    <w:rsid w:val="6C5838EA"/>
    <w:rsid w:val="6C6E0A69"/>
    <w:rsid w:val="6C6F27EF"/>
    <w:rsid w:val="6C73404E"/>
    <w:rsid w:val="6C777622"/>
    <w:rsid w:val="6C9B7DBA"/>
    <w:rsid w:val="6C9E4502"/>
    <w:rsid w:val="6CAF632C"/>
    <w:rsid w:val="6CAF6C23"/>
    <w:rsid w:val="6CB0669B"/>
    <w:rsid w:val="6CB30060"/>
    <w:rsid w:val="6CC8098E"/>
    <w:rsid w:val="6CD076F7"/>
    <w:rsid w:val="6D0934EF"/>
    <w:rsid w:val="6D0C571A"/>
    <w:rsid w:val="6D224F8C"/>
    <w:rsid w:val="6D452787"/>
    <w:rsid w:val="6D474B9E"/>
    <w:rsid w:val="6D493174"/>
    <w:rsid w:val="6D58789D"/>
    <w:rsid w:val="6D5B100C"/>
    <w:rsid w:val="6D5F165B"/>
    <w:rsid w:val="6D6516A0"/>
    <w:rsid w:val="6D7404BC"/>
    <w:rsid w:val="6D8166C9"/>
    <w:rsid w:val="6D8A4883"/>
    <w:rsid w:val="6D9E2E15"/>
    <w:rsid w:val="6DAA3EE7"/>
    <w:rsid w:val="6DAB1138"/>
    <w:rsid w:val="6DAD7160"/>
    <w:rsid w:val="6DB04E2C"/>
    <w:rsid w:val="6DB07296"/>
    <w:rsid w:val="6DB10468"/>
    <w:rsid w:val="6DB90CD2"/>
    <w:rsid w:val="6DC1599A"/>
    <w:rsid w:val="6DC42BB5"/>
    <w:rsid w:val="6DC83E67"/>
    <w:rsid w:val="6DCA1749"/>
    <w:rsid w:val="6DD4342F"/>
    <w:rsid w:val="6DDB771D"/>
    <w:rsid w:val="6DDE216C"/>
    <w:rsid w:val="6DE1752C"/>
    <w:rsid w:val="6DE2643D"/>
    <w:rsid w:val="6E050616"/>
    <w:rsid w:val="6E054A36"/>
    <w:rsid w:val="6E2343C8"/>
    <w:rsid w:val="6E2C6CE4"/>
    <w:rsid w:val="6E337802"/>
    <w:rsid w:val="6E3613CF"/>
    <w:rsid w:val="6E39307F"/>
    <w:rsid w:val="6E4642B0"/>
    <w:rsid w:val="6E470E5F"/>
    <w:rsid w:val="6E4F14B3"/>
    <w:rsid w:val="6E7674BB"/>
    <w:rsid w:val="6E802B97"/>
    <w:rsid w:val="6E865C74"/>
    <w:rsid w:val="6E872180"/>
    <w:rsid w:val="6E94268E"/>
    <w:rsid w:val="6EA40FC8"/>
    <w:rsid w:val="6EB331E9"/>
    <w:rsid w:val="6EBD076C"/>
    <w:rsid w:val="6EC26900"/>
    <w:rsid w:val="6ED15465"/>
    <w:rsid w:val="6EE17441"/>
    <w:rsid w:val="6EEE5B51"/>
    <w:rsid w:val="6EF079C8"/>
    <w:rsid w:val="6EF37B3E"/>
    <w:rsid w:val="6EF4430E"/>
    <w:rsid w:val="6F1000BE"/>
    <w:rsid w:val="6F1A2D9E"/>
    <w:rsid w:val="6F1B5E8F"/>
    <w:rsid w:val="6F290E5E"/>
    <w:rsid w:val="6F44099F"/>
    <w:rsid w:val="6F4E6B5A"/>
    <w:rsid w:val="6F5030AB"/>
    <w:rsid w:val="6F561F8E"/>
    <w:rsid w:val="6F5D6AE6"/>
    <w:rsid w:val="6F784B7D"/>
    <w:rsid w:val="6F903FD5"/>
    <w:rsid w:val="6F91471B"/>
    <w:rsid w:val="6F927E85"/>
    <w:rsid w:val="6F9678A5"/>
    <w:rsid w:val="6FA2285D"/>
    <w:rsid w:val="6FAF15C0"/>
    <w:rsid w:val="6FC131C0"/>
    <w:rsid w:val="6FC62111"/>
    <w:rsid w:val="6FD5210E"/>
    <w:rsid w:val="6FF76396"/>
    <w:rsid w:val="6FF86ACD"/>
    <w:rsid w:val="6FFC63B7"/>
    <w:rsid w:val="700C03B1"/>
    <w:rsid w:val="701C4CDA"/>
    <w:rsid w:val="70330E69"/>
    <w:rsid w:val="70402DAE"/>
    <w:rsid w:val="70513433"/>
    <w:rsid w:val="70573C78"/>
    <w:rsid w:val="70577AC3"/>
    <w:rsid w:val="705C2A3A"/>
    <w:rsid w:val="70637F06"/>
    <w:rsid w:val="707A1540"/>
    <w:rsid w:val="70990186"/>
    <w:rsid w:val="70A2238A"/>
    <w:rsid w:val="70AD5564"/>
    <w:rsid w:val="70BD2CB4"/>
    <w:rsid w:val="70C67B76"/>
    <w:rsid w:val="70C81220"/>
    <w:rsid w:val="70C90BC7"/>
    <w:rsid w:val="70CE0DE8"/>
    <w:rsid w:val="70CF7D6C"/>
    <w:rsid w:val="70D03112"/>
    <w:rsid w:val="70DF2F8D"/>
    <w:rsid w:val="70F93BD9"/>
    <w:rsid w:val="710E5161"/>
    <w:rsid w:val="71112109"/>
    <w:rsid w:val="711678EC"/>
    <w:rsid w:val="7126438B"/>
    <w:rsid w:val="712804B4"/>
    <w:rsid w:val="71472F9E"/>
    <w:rsid w:val="714F4A3A"/>
    <w:rsid w:val="71505EA7"/>
    <w:rsid w:val="7152373A"/>
    <w:rsid w:val="715B6907"/>
    <w:rsid w:val="71662D5C"/>
    <w:rsid w:val="717F2F4A"/>
    <w:rsid w:val="717F49E0"/>
    <w:rsid w:val="71837D01"/>
    <w:rsid w:val="71887092"/>
    <w:rsid w:val="718B6F12"/>
    <w:rsid w:val="7192028A"/>
    <w:rsid w:val="71B339D0"/>
    <w:rsid w:val="71BC191E"/>
    <w:rsid w:val="71C71C26"/>
    <w:rsid w:val="71CC4B70"/>
    <w:rsid w:val="720B1A8D"/>
    <w:rsid w:val="7210770F"/>
    <w:rsid w:val="7214024B"/>
    <w:rsid w:val="721B3683"/>
    <w:rsid w:val="721C049B"/>
    <w:rsid w:val="72227163"/>
    <w:rsid w:val="72250B5C"/>
    <w:rsid w:val="72473A9D"/>
    <w:rsid w:val="724C234F"/>
    <w:rsid w:val="724C6EAE"/>
    <w:rsid w:val="724F56FC"/>
    <w:rsid w:val="7252245E"/>
    <w:rsid w:val="725845FE"/>
    <w:rsid w:val="72596DE6"/>
    <w:rsid w:val="72653F17"/>
    <w:rsid w:val="726C4415"/>
    <w:rsid w:val="726C795A"/>
    <w:rsid w:val="727602C0"/>
    <w:rsid w:val="72803A54"/>
    <w:rsid w:val="729151A7"/>
    <w:rsid w:val="729A4F7F"/>
    <w:rsid w:val="729C0FCF"/>
    <w:rsid w:val="72A04C46"/>
    <w:rsid w:val="72A62C8C"/>
    <w:rsid w:val="72A7524A"/>
    <w:rsid w:val="72A91768"/>
    <w:rsid w:val="72A947A0"/>
    <w:rsid w:val="72AA49F4"/>
    <w:rsid w:val="72B820A8"/>
    <w:rsid w:val="72BD4160"/>
    <w:rsid w:val="72D06CE4"/>
    <w:rsid w:val="72D469A8"/>
    <w:rsid w:val="72E12D97"/>
    <w:rsid w:val="72E36715"/>
    <w:rsid w:val="72EA1EC6"/>
    <w:rsid w:val="72EC23A3"/>
    <w:rsid w:val="72F05AC5"/>
    <w:rsid w:val="72F6349F"/>
    <w:rsid w:val="72F63B4D"/>
    <w:rsid w:val="72FC19DA"/>
    <w:rsid w:val="73013E47"/>
    <w:rsid w:val="73017350"/>
    <w:rsid w:val="730860A7"/>
    <w:rsid w:val="730A50A2"/>
    <w:rsid w:val="731E2C1A"/>
    <w:rsid w:val="731E591E"/>
    <w:rsid w:val="732C72D0"/>
    <w:rsid w:val="732E51CC"/>
    <w:rsid w:val="733B063F"/>
    <w:rsid w:val="734C644F"/>
    <w:rsid w:val="734C6DD1"/>
    <w:rsid w:val="735325FE"/>
    <w:rsid w:val="735C3CFC"/>
    <w:rsid w:val="7363430B"/>
    <w:rsid w:val="736C077A"/>
    <w:rsid w:val="73713852"/>
    <w:rsid w:val="737826B2"/>
    <w:rsid w:val="738471B3"/>
    <w:rsid w:val="738B7644"/>
    <w:rsid w:val="738F1848"/>
    <w:rsid w:val="739E6032"/>
    <w:rsid w:val="73B60130"/>
    <w:rsid w:val="73B931C0"/>
    <w:rsid w:val="73BC3247"/>
    <w:rsid w:val="73D107DB"/>
    <w:rsid w:val="73D1663E"/>
    <w:rsid w:val="73DB0B05"/>
    <w:rsid w:val="73E848B8"/>
    <w:rsid w:val="73EA21C4"/>
    <w:rsid w:val="73F04404"/>
    <w:rsid w:val="73FE2072"/>
    <w:rsid w:val="74011F26"/>
    <w:rsid w:val="74060DDE"/>
    <w:rsid w:val="741E490F"/>
    <w:rsid w:val="7420481F"/>
    <w:rsid w:val="74213F82"/>
    <w:rsid w:val="742E4B86"/>
    <w:rsid w:val="742E5FE5"/>
    <w:rsid w:val="74310EB8"/>
    <w:rsid w:val="743E29B8"/>
    <w:rsid w:val="7448637E"/>
    <w:rsid w:val="744C3373"/>
    <w:rsid w:val="746E304E"/>
    <w:rsid w:val="74700A23"/>
    <w:rsid w:val="74702CB3"/>
    <w:rsid w:val="74797633"/>
    <w:rsid w:val="748A671B"/>
    <w:rsid w:val="74AD02D8"/>
    <w:rsid w:val="74AE38E0"/>
    <w:rsid w:val="74B11D65"/>
    <w:rsid w:val="74C05592"/>
    <w:rsid w:val="74C06345"/>
    <w:rsid w:val="74C366BF"/>
    <w:rsid w:val="74C61059"/>
    <w:rsid w:val="74C63B5A"/>
    <w:rsid w:val="74E6072F"/>
    <w:rsid w:val="74E62C7F"/>
    <w:rsid w:val="74F22F56"/>
    <w:rsid w:val="74F72168"/>
    <w:rsid w:val="74FF1787"/>
    <w:rsid w:val="750503D8"/>
    <w:rsid w:val="750D7712"/>
    <w:rsid w:val="75201B48"/>
    <w:rsid w:val="75427313"/>
    <w:rsid w:val="754D07E6"/>
    <w:rsid w:val="754D16AD"/>
    <w:rsid w:val="754E5B98"/>
    <w:rsid w:val="75585EA5"/>
    <w:rsid w:val="75603DE9"/>
    <w:rsid w:val="75794384"/>
    <w:rsid w:val="75993F80"/>
    <w:rsid w:val="759C3B3E"/>
    <w:rsid w:val="75A24B1D"/>
    <w:rsid w:val="75A514C4"/>
    <w:rsid w:val="75C53EC5"/>
    <w:rsid w:val="75D353BC"/>
    <w:rsid w:val="75E52526"/>
    <w:rsid w:val="75F22283"/>
    <w:rsid w:val="75F43C95"/>
    <w:rsid w:val="75F76298"/>
    <w:rsid w:val="760004DA"/>
    <w:rsid w:val="76016344"/>
    <w:rsid w:val="760744FD"/>
    <w:rsid w:val="760A3251"/>
    <w:rsid w:val="760D1388"/>
    <w:rsid w:val="760E764E"/>
    <w:rsid w:val="76161C70"/>
    <w:rsid w:val="76241718"/>
    <w:rsid w:val="76291E01"/>
    <w:rsid w:val="763A743E"/>
    <w:rsid w:val="76486E97"/>
    <w:rsid w:val="764C6A33"/>
    <w:rsid w:val="765526A9"/>
    <w:rsid w:val="76631949"/>
    <w:rsid w:val="76694162"/>
    <w:rsid w:val="767A6977"/>
    <w:rsid w:val="768076E6"/>
    <w:rsid w:val="769539E3"/>
    <w:rsid w:val="769D79CF"/>
    <w:rsid w:val="76A134A5"/>
    <w:rsid w:val="76A82C5E"/>
    <w:rsid w:val="76AD1683"/>
    <w:rsid w:val="76AF7069"/>
    <w:rsid w:val="76BA4C07"/>
    <w:rsid w:val="76C1721D"/>
    <w:rsid w:val="76C70413"/>
    <w:rsid w:val="76CC5F88"/>
    <w:rsid w:val="76D067C4"/>
    <w:rsid w:val="76D75C6A"/>
    <w:rsid w:val="76D807D9"/>
    <w:rsid w:val="76D8519D"/>
    <w:rsid w:val="76E2066C"/>
    <w:rsid w:val="76F541DD"/>
    <w:rsid w:val="76F966E4"/>
    <w:rsid w:val="77016B10"/>
    <w:rsid w:val="77114D49"/>
    <w:rsid w:val="77280F2A"/>
    <w:rsid w:val="77383F11"/>
    <w:rsid w:val="775579DB"/>
    <w:rsid w:val="775F54BC"/>
    <w:rsid w:val="776E3895"/>
    <w:rsid w:val="77760E66"/>
    <w:rsid w:val="77777BD3"/>
    <w:rsid w:val="777F740F"/>
    <w:rsid w:val="7784299B"/>
    <w:rsid w:val="77870075"/>
    <w:rsid w:val="77883A1E"/>
    <w:rsid w:val="77953143"/>
    <w:rsid w:val="77C11A21"/>
    <w:rsid w:val="77D563FC"/>
    <w:rsid w:val="77E70091"/>
    <w:rsid w:val="77EF5DB2"/>
    <w:rsid w:val="780F31A5"/>
    <w:rsid w:val="782E5E1B"/>
    <w:rsid w:val="78357760"/>
    <w:rsid w:val="783D58F3"/>
    <w:rsid w:val="783D7222"/>
    <w:rsid w:val="783F241B"/>
    <w:rsid w:val="784247E1"/>
    <w:rsid w:val="784626B8"/>
    <w:rsid w:val="785C1E41"/>
    <w:rsid w:val="785C60B1"/>
    <w:rsid w:val="7861200F"/>
    <w:rsid w:val="786745D7"/>
    <w:rsid w:val="786C273F"/>
    <w:rsid w:val="788B67E9"/>
    <w:rsid w:val="788E73CA"/>
    <w:rsid w:val="788F21CC"/>
    <w:rsid w:val="78950D3B"/>
    <w:rsid w:val="78AB6130"/>
    <w:rsid w:val="78AD62EE"/>
    <w:rsid w:val="78B864F5"/>
    <w:rsid w:val="78C66547"/>
    <w:rsid w:val="78D56339"/>
    <w:rsid w:val="78D84779"/>
    <w:rsid w:val="78E27192"/>
    <w:rsid w:val="78E4413F"/>
    <w:rsid w:val="78F55EDB"/>
    <w:rsid w:val="79057C88"/>
    <w:rsid w:val="790A2077"/>
    <w:rsid w:val="792A75AC"/>
    <w:rsid w:val="79340EB9"/>
    <w:rsid w:val="794146B1"/>
    <w:rsid w:val="794209A6"/>
    <w:rsid w:val="794D6990"/>
    <w:rsid w:val="795D2730"/>
    <w:rsid w:val="797353B6"/>
    <w:rsid w:val="797E3B66"/>
    <w:rsid w:val="798326D4"/>
    <w:rsid w:val="79920206"/>
    <w:rsid w:val="799B1729"/>
    <w:rsid w:val="799B19F2"/>
    <w:rsid w:val="79BB7D21"/>
    <w:rsid w:val="79E449F7"/>
    <w:rsid w:val="79E450B6"/>
    <w:rsid w:val="79F0320B"/>
    <w:rsid w:val="79F06635"/>
    <w:rsid w:val="79F452CB"/>
    <w:rsid w:val="7A007A84"/>
    <w:rsid w:val="7A03460E"/>
    <w:rsid w:val="7A0E7B2D"/>
    <w:rsid w:val="7A184974"/>
    <w:rsid w:val="7A1D5F11"/>
    <w:rsid w:val="7A423D26"/>
    <w:rsid w:val="7A494FD0"/>
    <w:rsid w:val="7A4A54C8"/>
    <w:rsid w:val="7A5F1742"/>
    <w:rsid w:val="7A5F6BC9"/>
    <w:rsid w:val="7A8524AC"/>
    <w:rsid w:val="7A88299F"/>
    <w:rsid w:val="7A8B4D49"/>
    <w:rsid w:val="7A916FE4"/>
    <w:rsid w:val="7AA2156B"/>
    <w:rsid w:val="7AA276E0"/>
    <w:rsid w:val="7ABA57D2"/>
    <w:rsid w:val="7ABF120E"/>
    <w:rsid w:val="7AC448AF"/>
    <w:rsid w:val="7AD30300"/>
    <w:rsid w:val="7AD55F12"/>
    <w:rsid w:val="7AD74659"/>
    <w:rsid w:val="7ADA287A"/>
    <w:rsid w:val="7ADE70F3"/>
    <w:rsid w:val="7AE96D94"/>
    <w:rsid w:val="7AF56014"/>
    <w:rsid w:val="7B0A0A0D"/>
    <w:rsid w:val="7B0F72A0"/>
    <w:rsid w:val="7B180857"/>
    <w:rsid w:val="7B1B1C06"/>
    <w:rsid w:val="7B31722F"/>
    <w:rsid w:val="7B474C98"/>
    <w:rsid w:val="7B5514C9"/>
    <w:rsid w:val="7B6E48AE"/>
    <w:rsid w:val="7B704788"/>
    <w:rsid w:val="7B7902AF"/>
    <w:rsid w:val="7B7A247C"/>
    <w:rsid w:val="7B815550"/>
    <w:rsid w:val="7B9F403C"/>
    <w:rsid w:val="7BA911BC"/>
    <w:rsid w:val="7BB46345"/>
    <w:rsid w:val="7BBD772F"/>
    <w:rsid w:val="7BD549BD"/>
    <w:rsid w:val="7BDB2A1F"/>
    <w:rsid w:val="7BE04F0D"/>
    <w:rsid w:val="7BE556E0"/>
    <w:rsid w:val="7BE704DF"/>
    <w:rsid w:val="7BE70C2F"/>
    <w:rsid w:val="7BEA4A28"/>
    <w:rsid w:val="7BEB1B25"/>
    <w:rsid w:val="7BEC6B07"/>
    <w:rsid w:val="7BF34EEF"/>
    <w:rsid w:val="7BFA0864"/>
    <w:rsid w:val="7C1E09D7"/>
    <w:rsid w:val="7C2640BE"/>
    <w:rsid w:val="7C2B04C7"/>
    <w:rsid w:val="7C4D7499"/>
    <w:rsid w:val="7C5B420A"/>
    <w:rsid w:val="7C667724"/>
    <w:rsid w:val="7C691F4D"/>
    <w:rsid w:val="7C6C6C60"/>
    <w:rsid w:val="7C6D0553"/>
    <w:rsid w:val="7C746386"/>
    <w:rsid w:val="7C7F333A"/>
    <w:rsid w:val="7C8707E0"/>
    <w:rsid w:val="7C8E5954"/>
    <w:rsid w:val="7CA05F96"/>
    <w:rsid w:val="7CB37B94"/>
    <w:rsid w:val="7CD36376"/>
    <w:rsid w:val="7CD83538"/>
    <w:rsid w:val="7CD92F3C"/>
    <w:rsid w:val="7CEF058A"/>
    <w:rsid w:val="7CF8315C"/>
    <w:rsid w:val="7D0A37AE"/>
    <w:rsid w:val="7D120EA5"/>
    <w:rsid w:val="7D2832C6"/>
    <w:rsid w:val="7D427DEB"/>
    <w:rsid w:val="7D510DF9"/>
    <w:rsid w:val="7D516493"/>
    <w:rsid w:val="7D556664"/>
    <w:rsid w:val="7D585E87"/>
    <w:rsid w:val="7D6B0CB4"/>
    <w:rsid w:val="7D7F42E6"/>
    <w:rsid w:val="7D8172EC"/>
    <w:rsid w:val="7D944B7A"/>
    <w:rsid w:val="7D9C6E73"/>
    <w:rsid w:val="7DA305FF"/>
    <w:rsid w:val="7DA75FFC"/>
    <w:rsid w:val="7DA84FD2"/>
    <w:rsid w:val="7DA94B10"/>
    <w:rsid w:val="7DE161B0"/>
    <w:rsid w:val="7DE71469"/>
    <w:rsid w:val="7DFE21E4"/>
    <w:rsid w:val="7E266126"/>
    <w:rsid w:val="7E406115"/>
    <w:rsid w:val="7E437958"/>
    <w:rsid w:val="7E4E7F58"/>
    <w:rsid w:val="7E6F0B14"/>
    <w:rsid w:val="7E740345"/>
    <w:rsid w:val="7E7D723F"/>
    <w:rsid w:val="7E7F6AFD"/>
    <w:rsid w:val="7E833CE8"/>
    <w:rsid w:val="7E84648C"/>
    <w:rsid w:val="7E883C4D"/>
    <w:rsid w:val="7E8A0360"/>
    <w:rsid w:val="7EA47918"/>
    <w:rsid w:val="7EA52015"/>
    <w:rsid w:val="7EA70726"/>
    <w:rsid w:val="7EB33AA7"/>
    <w:rsid w:val="7EB94FE4"/>
    <w:rsid w:val="7EC0107E"/>
    <w:rsid w:val="7EC75FFB"/>
    <w:rsid w:val="7ED921BF"/>
    <w:rsid w:val="7EE11239"/>
    <w:rsid w:val="7EE366C6"/>
    <w:rsid w:val="7EEA77E8"/>
    <w:rsid w:val="7EFF5C2F"/>
    <w:rsid w:val="7F101B0B"/>
    <w:rsid w:val="7F125259"/>
    <w:rsid w:val="7F176639"/>
    <w:rsid w:val="7F245033"/>
    <w:rsid w:val="7F290F05"/>
    <w:rsid w:val="7F473921"/>
    <w:rsid w:val="7F820026"/>
    <w:rsid w:val="7F8E481B"/>
    <w:rsid w:val="7F8E61A2"/>
    <w:rsid w:val="7F9D472C"/>
    <w:rsid w:val="7FAC5122"/>
    <w:rsid w:val="7FB572A7"/>
    <w:rsid w:val="7FD63D18"/>
    <w:rsid w:val="7FE1456B"/>
    <w:rsid w:val="7FF94A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24"/>
    <w:qFormat/>
    <w:uiPriority w:val="0"/>
    <w:pPr>
      <w:spacing w:beforeAutospacing="1" w:afterAutospacing="1"/>
      <w:jc w:val="left"/>
      <w:outlineLvl w:val="0"/>
    </w:pPr>
    <w:rPr>
      <w:rFonts w:hint="eastAsia" w:ascii="宋体" w:hAnsi="宋体" w:cs="Times New Roman"/>
      <w:b/>
      <w:kern w:val="44"/>
      <w:sz w:val="48"/>
      <w:szCs w:val="48"/>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kern w:val="0"/>
      <w:sz w:val="32"/>
      <w:szCs w:val="32"/>
    </w:rPr>
  </w:style>
  <w:style w:type="paragraph" w:styleId="4">
    <w:name w:val="Normal Indent"/>
    <w:basedOn w:val="1"/>
    <w:next w:val="5"/>
    <w:unhideWhenUsed/>
    <w:qFormat/>
    <w:uiPriority w:val="99"/>
    <w:pPr>
      <w:spacing w:line="560" w:lineRule="exact"/>
      <w:ind w:firstLine="560"/>
    </w:pPr>
    <w:rPr>
      <w:rFonts w:eastAsia="仿宋_GB2312"/>
      <w:sz w:val="36"/>
      <w:szCs w:val="36"/>
    </w:rPr>
  </w:style>
  <w:style w:type="paragraph" w:styleId="5">
    <w:name w:val="Body Text Indent"/>
    <w:basedOn w:val="1"/>
    <w:next w:val="4"/>
    <w:unhideWhenUsed/>
    <w:qFormat/>
    <w:uiPriority w:val="99"/>
    <w:pPr>
      <w:widowControl w:val="0"/>
      <w:ind w:left="284"/>
      <w:jc w:val="both"/>
    </w:pPr>
    <w:rPr>
      <w:rFonts w:ascii="楷体_GB2312" w:hAnsi="Times New Roman" w:eastAsia="楷体_GB2312" w:cs="Times New Roman"/>
      <w:kern w:val="2"/>
      <w:sz w:val="84"/>
      <w:szCs w:val="20"/>
      <w:lang w:val="en-US" w:eastAsia="zh-CN" w:bidi="ar-SA"/>
    </w:rPr>
  </w:style>
  <w:style w:type="paragraph" w:styleId="6">
    <w:name w:val="annotation text"/>
    <w:basedOn w:val="1"/>
    <w:unhideWhenUsed/>
    <w:qFormat/>
    <w:uiPriority w:val="99"/>
    <w:pPr>
      <w:jc w:val="left"/>
    </w:pPr>
  </w:style>
  <w:style w:type="paragraph" w:styleId="7">
    <w:name w:val="Body Text"/>
    <w:basedOn w:val="1"/>
    <w:next w:val="8"/>
    <w:qFormat/>
    <w:uiPriority w:val="0"/>
    <w:pPr>
      <w:widowControl w:val="0"/>
      <w:suppressAutoHyphens/>
      <w:spacing w:line="360" w:lineRule="exact"/>
      <w:jc w:val="both"/>
    </w:pPr>
    <w:rPr>
      <w:rFonts w:ascii="宋体" w:hAnsi="宋体" w:eastAsia="宋体" w:cs="宋体"/>
      <w:kern w:val="1"/>
      <w:sz w:val="24"/>
      <w:szCs w:val="24"/>
      <w:lang w:val="en-US" w:eastAsia="zh-CN" w:bidi="ar-SA"/>
    </w:rPr>
  </w:style>
  <w:style w:type="paragraph" w:customStyle="1" w:styleId="8">
    <w:name w:val="Body Text 21"/>
    <w:qFormat/>
    <w:uiPriority w:val="0"/>
    <w:pPr>
      <w:widowControl w:val="0"/>
      <w:suppressAutoHyphens/>
      <w:spacing w:after="120" w:line="480" w:lineRule="auto"/>
      <w:jc w:val="both"/>
    </w:pPr>
    <w:rPr>
      <w:rFonts w:ascii="Arial" w:hAnsi="Arial" w:eastAsia="宋体" w:cs="Times New Roman"/>
      <w:kern w:val="2"/>
      <w:sz w:val="21"/>
      <w:szCs w:val="24"/>
      <w:lang w:val="en-US" w:eastAsia="zh-CN" w:bidi="ar-SA"/>
    </w:rPr>
  </w:style>
  <w:style w:type="paragraph" w:styleId="9">
    <w:name w:val="Plain Text"/>
    <w:basedOn w:val="1"/>
    <w:next w:val="1"/>
    <w:qFormat/>
    <w:uiPriority w:val="99"/>
    <w:rPr>
      <w:rFonts w:ascii="宋体" w:hAnsi="Courier New" w:cs="宋体"/>
    </w:rPr>
  </w:style>
  <w:style w:type="paragraph" w:styleId="10">
    <w:name w:val="footer"/>
    <w:basedOn w:val="1"/>
    <w:next w:val="1"/>
    <w:link w:val="21"/>
    <w:qFormat/>
    <w:uiPriority w:val="99"/>
    <w:pPr>
      <w:tabs>
        <w:tab w:val="center" w:pos="4153"/>
        <w:tab w:val="right" w:pos="8306"/>
      </w:tabs>
      <w:snapToGrid w:val="0"/>
      <w:jc w:val="left"/>
    </w:pPr>
    <w:rPr>
      <w:rFonts w:ascii="Times New Roman" w:hAnsi="Times New Roman" w:cs="Times New Roman"/>
      <w:sz w:val="18"/>
      <w:szCs w:val="18"/>
    </w:rPr>
  </w:style>
  <w:style w:type="paragraph" w:styleId="11">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2">
    <w:name w:val="index 9"/>
    <w:basedOn w:val="1"/>
    <w:next w:val="1"/>
    <w:qFormat/>
    <w:uiPriority w:val="0"/>
    <w:pPr>
      <w:ind w:left="1600" w:leftChars="1600"/>
    </w:p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qFormat/>
    <w:uiPriority w:val="0"/>
    <w:rPr>
      <w:b/>
    </w:rPr>
  </w:style>
  <w:style w:type="paragraph" w:customStyle="1" w:styleId="17">
    <w:name w:val="BodyText"/>
    <w:basedOn w:val="1"/>
    <w:qFormat/>
    <w:uiPriority w:val="0"/>
    <w:pPr>
      <w:widowControl/>
    </w:pPr>
    <w:rPr>
      <w:rFonts w:eastAsia="楷体_GB2312"/>
      <w:sz w:val="32"/>
    </w:rPr>
  </w:style>
  <w:style w:type="paragraph" w:customStyle="1" w:styleId="18">
    <w:name w:val="_Style 17"/>
    <w:unhideWhenUsed/>
    <w:qFormat/>
    <w:uiPriority w:val="99"/>
    <w:rPr>
      <w:rFonts w:ascii="Times New Roman" w:hAnsi="Times New Roman" w:eastAsia="宋体" w:cs="Calibri"/>
      <w:kern w:val="2"/>
      <w:sz w:val="21"/>
      <w:szCs w:val="21"/>
      <w:lang w:val="en-US" w:eastAsia="zh-CN" w:bidi="ar-SA"/>
    </w:rPr>
  </w:style>
  <w:style w:type="paragraph" w:customStyle="1" w:styleId="19">
    <w:name w:val="列出段落1"/>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20">
    <w:name w:val="PlainText"/>
    <w:qFormat/>
    <w:uiPriority w:val="0"/>
    <w:pPr>
      <w:widowControl w:val="0"/>
      <w:jc w:val="both"/>
    </w:pPr>
    <w:rPr>
      <w:rFonts w:ascii="宋体" w:hAnsi="Courier New" w:eastAsia="宋体" w:cs="Times New Roman"/>
      <w:kern w:val="2"/>
      <w:sz w:val="21"/>
      <w:szCs w:val="21"/>
      <w:lang w:val="en-US" w:eastAsia="zh-CN" w:bidi="ar-SA"/>
    </w:rPr>
  </w:style>
  <w:style w:type="character" w:customStyle="1" w:styleId="21">
    <w:name w:val="页脚 字符"/>
    <w:link w:val="10"/>
    <w:qFormat/>
    <w:uiPriority w:val="99"/>
    <w:rPr>
      <w:rFonts w:ascii="Times New Roman" w:hAnsi="Times New Roman"/>
      <w:kern w:val="2"/>
      <w:sz w:val="18"/>
      <w:szCs w:val="18"/>
    </w:rPr>
  </w:style>
  <w:style w:type="character" w:customStyle="1" w:styleId="22">
    <w:name w:val="font31"/>
    <w:qFormat/>
    <w:uiPriority w:val="99"/>
    <w:rPr>
      <w:rFonts w:ascii="宋体" w:hAnsi="宋体" w:eastAsia="宋体" w:cs="宋体"/>
      <w:color w:val="000000"/>
      <w:sz w:val="24"/>
      <w:szCs w:val="24"/>
      <w:u w:val="none"/>
    </w:rPr>
  </w:style>
  <w:style w:type="character" w:customStyle="1" w:styleId="23">
    <w:name w:val="NormalCharacter"/>
    <w:qFormat/>
    <w:uiPriority w:val="0"/>
    <w:rPr>
      <w:rFonts w:ascii="Calibri" w:hAnsi="Calibri" w:eastAsia="宋体" w:cs="宋体"/>
      <w:kern w:val="2"/>
      <w:sz w:val="21"/>
      <w:szCs w:val="24"/>
      <w:lang w:val="en-US" w:eastAsia="zh-CN" w:bidi="ar-SA"/>
    </w:rPr>
  </w:style>
  <w:style w:type="character" w:customStyle="1" w:styleId="24">
    <w:name w:val="标题 1 字符"/>
    <w:link w:val="3"/>
    <w:qFormat/>
    <w:uiPriority w:val="0"/>
    <w:rPr>
      <w:rFonts w:ascii="宋体" w:hAnsi="宋体"/>
      <w:b/>
      <w:kern w:val="44"/>
      <w:sz w:val="48"/>
      <w:szCs w:val="48"/>
    </w:rPr>
  </w:style>
  <w:style w:type="character" w:customStyle="1" w:styleId="25">
    <w:name w:val="页眉 字符"/>
    <w:link w:val="11"/>
    <w:uiPriority w:val="0"/>
    <w:rPr>
      <w:rFonts w:cs="Calibri"/>
      <w:kern w:val="2"/>
      <w:sz w:val="18"/>
      <w:szCs w:val="18"/>
    </w:rPr>
  </w:style>
  <w:style w:type="character" w:customStyle="1" w:styleId="26">
    <w:name w:val="font41"/>
    <w:qFormat/>
    <w:uiPriority w:val="99"/>
    <w:rPr>
      <w:rFonts w:ascii="宋体" w:hAnsi="宋体" w:eastAsia="宋体" w:cs="宋体"/>
      <w:color w:val="000000"/>
      <w:sz w:val="24"/>
      <w:szCs w:val="24"/>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textRotate="1"/>
    <customShpInfo spid="_x0000_s1026"/>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3630</Words>
  <Characters>20693</Characters>
  <Lines>172</Lines>
  <Paragraphs>48</Paragraphs>
  <TotalTime>1</TotalTime>
  <ScaleCrop>false</ScaleCrop>
  <LinksUpToDate>false</LinksUpToDate>
  <CharactersWithSpaces>24275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2022-12-02T02:33:00Z</dcterms:created>
  <dc:creator>NTKO</dc:creator>
  <cp:lastModifiedBy>shiwenjie</cp:lastModifiedBy>
  <cp:lastPrinted>2024-01-05T12:26:00Z</cp:lastPrinted>
  <dcterms:modified xsi:type="dcterms:W3CDTF">2024-02-05T08:39:29Z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7AB62854DA794023B1CF88CA56D76DA2_13</vt:lpwstr>
  </property>
</Properties>
</file>