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lang w:bidi="ar"/>
        </w:rPr>
        <w:t>中关村科技园区西城园管理委员会</w:t>
      </w:r>
    </w:p>
    <w:p>
      <w:pPr>
        <w:jc w:val="center"/>
        <w:rPr>
          <w:rFonts w:ascii="宋体" w:hAnsi="宋体" w:eastAsia="宋体" w:cs="宋体"/>
          <w:b/>
          <w:sz w:val="44"/>
          <w:szCs w:val="44"/>
        </w:rPr>
      </w:pPr>
      <w:r>
        <w:rPr>
          <w:rFonts w:hint="eastAsia" w:ascii="宋体" w:hAnsi="宋体" w:eastAsia="宋体" w:cs="宋体"/>
          <w:b/>
          <w:sz w:val="44"/>
          <w:szCs w:val="44"/>
          <w:lang w:bidi="ar"/>
        </w:rPr>
        <w:t>202</w:t>
      </w:r>
      <w:r>
        <w:rPr>
          <w:rFonts w:hint="eastAsia" w:ascii="宋体" w:hAnsi="宋体" w:eastAsia="宋体" w:cs="宋体"/>
          <w:b/>
          <w:sz w:val="44"/>
          <w:szCs w:val="44"/>
          <w:lang w:val="en-US" w:eastAsia="zh-CN" w:bidi="ar"/>
        </w:rPr>
        <w:t>4</w:t>
      </w:r>
      <w:r>
        <w:rPr>
          <w:rFonts w:hint="eastAsia" w:ascii="宋体" w:hAnsi="宋体" w:eastAsia="宋体" w:cs="宋体"/>
          <w:b/>
          <w:sz w:val="44"/>
          <w:szCs w:val="44"/>
          <w:lang w:bidi="ar"/>
        </w:rPr>
        <w:t>年部门预算信息公开目录</w:t>
      </w:r>
    </w:p>
    <w:p>
      <w:pPr>
        <w:spacing w:line="560" w:lineRule="exact"/>
        <w:ind w:firstLine="320" w:firstLineChars="100"/>
        <w:rPr>
          <w:rFonts w:ascii="仿宋_GB2312" w:eastAsia="仿宋_GB2312" w:cs="仿宋_GB2312"/>
          <w:color w:val="000000"/>
          <w:sz w:val="32"/>
          <w:szCs w:val="32"/>
        </w:rPr>
      </w:pPr>
    </w:p>
    <w:p>
      <w:pPr>
        <w:spacing w:line="560" w:lineRule="exact"/>
        <w:ind w:firstLine="320" w:firstLineChars="100"/>
        <w:rPr>
          <w:rFonts w:ascii="黑体" w:hAnsi="宋体" w:eastAsia="黑体" w:cs="黑体"/>
          <w:color w:val="000000"/>
          <w:sz w:val="32"/>
          <w:szCs w:val="32"/>
        </w:rPr>
      </w:pPr>
      <w:r>
        <w:rPr>
          <w:rFonts w:hint="eastAsia" w:ascii="黑体" w:hAnsi="宋体" w:eastAsia="黑体" w:cs="黑体"/>
          <w:color w:val="000000"/>
          <w:sz w:val="32"/>
          <w:szCs w:val="32"/>
          <w:lang w:bidi="ar"/>
        </w:rPr>
        <w:t>第一部分、202</w:t>
      </w:r>
      <w:r>
        <w:rPr>
          <w:rFonts w:hint="eastAsia" w:ascii="黑体" w:hAnsi="宋体" w:eastAsia="黑体" w:cs="黑体"/>
          <w:color w:val="000000"/>
          <w:sz w:val="32"/>
          <w:szCs w:val="32"/>
          <w:lang w:val="en-US" w:eastAsia="zh-CN" w:bidi="ar"/>
        </w:rPr>
        <w:t>4</w:t>
      </w:r>
      <w:r>
        <w:rPr>
          <w:rFonts w:hint="eastAsia" w:ascii="黑体" w:hAnsi="宋体" w:eastAsia="黑体" w:cs="黑体"/>
          <w:color w:val="000000"/>
          <w:sz w:val="32"/>
          <w:szCs w:val="32"/>
          <w:lang w:bidi="ar"/>
        </w:rPr>
        <w:t>年部门预算情况说明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一、部门主要职责及机构设置情况</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（一）部门机构设置、职责</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（二）人员构成情况</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二、202</w:t>
      </w:r>
      <w:r>
        <w:rPr>
          <w:rFonts w:hint="eastAsia" w:ascii="仿宋_GB2312" w:hAnsi="Times New Roman" w:eastAsia="仿宋_GB2312" w:cs="仿宋_GB2312"/>
          <w:b/>
          <w:color w:val="000000"/>
          <w:sz w:val="32"/>
          <w:szCs w:val="32"/>
          <w:lang w:val="en-US" w:eastAsia="zh-CN" w:bidi="ar"/>
        </w:rPr>
        <w:t>4</w:t>
      </w:r>
      <w:r>
        <w:rPr>
          <w:rFonts w:hint="eastAsia" w:ascii="仿宋_GB2312" w:hAnsi="Times New Roman" w:eastAsia="仿宋_GB2312" w:cs="仿宋_GB2312"/>
          <w:b/>
          <w:color w:val="000000"/>
          <w:sz w:val="32"/>
          <w:szCs w:val="32"/>
          <w:lang w:bidi="ar"/>
        </w:rPr>
        <w:t>年部门预算收支及增减变化情况说明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三、主要支出情况</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四、部门</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三公</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经费财政拨款预算说明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经费的单位范围</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经费预算财政拨款情况说明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五、其他情况说明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（一）机关运行经费说明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（二）政府采购预算说明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（三）政府购买服务预算说明</w:t>
      </w:r>
    </w:p>
    <w:p>
      <w:pPr>
        <w:spacing w:line="560" w:lineRule="exact"/>
        <w:ind w:firstLine="645"/>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（四）绩效目标情况及绩效评价结果说明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（五）国有资本经营预算财政拨款情况说明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（六）国有资产占用情况说明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六、名称解释</w:t>
      </w:r>
    </w:p>
    <w:p>
      <w:pPr>
        <w:spacing w:line="560" w:lineRule="exact"/>
        <w:ind w:firstLine="320" w:firstLineChars="100"/>
        <w:rPr>
          <w:rFonts w:ascii="黑体" w:hAnsi="宋体" w:eastAsia="黑体" w:cs="黑体"/>
          <w:color w:val="000000"/>
          <w:sz w:val="32"/>
          <w:szCs w:val="32"/>
        </w:rPr>
      </w:pPr>
      <w:r>
        <w:rPr>
          <w:rFonts w:hint="eastAsia" w:ascii="黑体" w:hAnsi="宋体" w:eastAsia="黑体" w:cs="黑体"/>
          <w:color w:val="000000"/>
          <w:sz w:val="32"/>
          <w:szCs w:val="32"/>
          <w:lang w:bidi="ar"/>
        </w:rPr>
        <w:t>第二部分、202</w:t>
      </w:r>
      <w:r>
        <w:rPr>
          <w:rFonts w:hint="eastAsia" w:ascii="黑体" w:hAnsi="宋体" w:eastAsia="黑体" w:cs="黑体"/>
          <w:color w:val="000000"/>
          <w:sz w:val="32"/>
          <w:szCs w:val="32"/>
          <w:lang w:val="en-US" w:eastAsia="zh-CN" w:bidi="ar"/>
        </w:rPr>
        <w:t>4</w:t>
      </w:r>
      <w:r>
        <w:rPr>
          <w:rFonts w:hint="eastAsia" w:ascii="黑体" w:hAnsi="宋体" w:eastAsia="黑体" w:cs="黑体"/>
          <w:color w:val="000000"/>
          <w:sz w:val="32"/>
          <w:szCs w:val="32"/>
          <w:lang w:bidi="ar"/>
        </w:rPr>
        <w:t>年部门预算表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表一、部门收支总体情况表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表二、部门收入总体情况表</w:t>
      </w:r>
    </w:p>
    <w:p>
      <w:pPr>
        <w:ind w:firstLine="640"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表三、部门支出总体情况表</w:t>
      </w:r>
    </w:p>
    <w:p>
      <w:pPr>
        <w:ind w:firstLine="640"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表四、</w:t>
      </w:r>
      <w:r>
        <w:rPr>
          <w:rFonts w:hint="eastAsia" w:ascii="仿宋_GB2312" w:eastAsia="仿宋_GB2312"/>
          <w:sz w:val="32"/>
          <w:szCs w:val="32"/>
        </w:rPr>
        <w:t>项目支出表上级转移支付细化明细表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表五、财政拨款收支总体情况表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表六、一般公共预算支出情况表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表七、一般公共预算基本支出情况表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表八、政府性基金预算支出情况表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hAnsi="楷体" w:eastAsia="仿宋_GB2312" w:cs="仿宋_GB2312"/>
          <w:sz w:val="32"/>
          <w:szCs w:val="32"/>
          <w:lang w:bidi="ar"/>
        </w:rPr>
        <w:t>表九、</w:t>
      </w:r>
      <w:r>
        <w:rPr>
          <w:rFonts w:hint="eastAsia" w:ascii="仿宋_GB2312" w:eastAsia="仿宋_GB2312"/>
          <w:sz w:val="32"/>
          <w:szCs w:val="32"/>
        </w:rPr>
        <w:t>国有资本经营预算财政拨款支出表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表十三、项目支出绩效目标申报表</w:t>
      </w:r>
    </w:p>
    <w:p>
      <w:pPr>
        <w:ind w:firstLine="660"/>
        <w:rPr>
          <w:rFonts w:ascii="仿宋_GB2312" w:hAnsi="楷体" w:eastAsia="仿宋_GB2312" w:cs="仿宋_GB2312"/>
          <w:sz w:val="32"/>
          <w:szCs w:val="32"/>
        </w:rPr>
      </w:pPr>
      <w:r>
        <w:rPr>
          <w:rFonts w:hint="eastAsia" w:ascii="仿宋_GB2312" w:eastAsia="仿宋_GB2312"/>
          <w:sz w:val="32"/>
          <w:szCs w:val="32"/>
        </w:rPr>
        <w:t>表十四、部门整体支出绩效目标申报表</w:t>
      </w: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jc w:val="center"/>
        <w:rPr>
          <w:rFonts w:ascii="黑体" w:hAnsi="宋体" w:eastAsia="黑体" w:cs="黑体"/>
          <w:b/>
          <w:sz w:val="32"/>
          <w:szCs w:val="32"/>
        </w:rPr>
      </w:pPr>
      <w:r>
        <w:rPr>
          <w:rFonts w:hint="eastAsia" w:ascii="黑体" w:hAnsi="宋体" w:eastAsia="黑体" w:cs="黑体"/>
          <w:b/>
          <w:sz w:val="32"/>
          <w:szCs w:val="32"/>
          <w:lang w:bidi="ar"/>
        </w:rPr>
        <w:t>第一部分  202</w:t>
      </w:r>
      <w:r>
        <w:rPr>
          <w:rFonts w:hint="eastAsia" w:ascii="黑体" w:hAnsi="宋体" w:eastAsia="黑体" w:cs="黑体"/>
          <w:b/>
          <w:sz w:val="32"/>
          <w:szCs w:val="32"/>
          <w:lang w:val="en-US" w:eastAsia="zh-CN" w:bidi="ar"/>
        </w:rPr>
        <w:t>4</w:t>
      </w:r>
      <w:r>
        <w:rPr>
          <w:rFonts w:hint="eastAsia" w:ascii="黑体" w:hAnsi="宋体" w:eastAsia="黑体" w:cs="黑体"/>
          <w:b/>
          <w:sz w:val="32"/>
          <w:szCs w:val="32"/>
          <w:lang w:bidi="ar"/>
        </w:rPr>
        <w:t>年部门预算情况说明</w:t>
      </w:r>
    </w:p>
    <w:p>
      <w:pPr>
        <w:jc w:val="center"/>
        <w:rPr>
          <w:rFonts w:ascii="楷体" w:hAnsi="楷体" w:eastAsia="楷体" w:cs="楷体"/>
          <w:b/>
          <w:sz w:val="36"/>
          <w:szCs w:val="36"/>
        </w:rPr>
      </w:pPr>
    </w:p>
    <w:p>
      <w:pPr>
        <w:spacing w:line="360" w:lineRule="auto"/>
        <w:ind w:left="64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一、部门主要职责及机构设置情况</w:t>
      </w:r>
    </w:p>
    <w:p>
      <w:pPr>
        <w:spacing w:line="360" w:lineRule="auto"/>
        <w:ind w:left="640"/>
        <w:outlineLvl w:val="0"/>
        <w:rPr>
          <w:rFonts w:ascii="楷体" w:hAnsi="楷体" w:eastAsia="楷体" w:cs="楷体"/>
          <w:sz w:val="32"/>
          <w:szCs w:val="32"/>
        </w:rPr>
      </w:pPr>
      <w:r>
        <w:rPr>
          <w:rFonts w:hint="eastAsia" w:ascii="仿宋_GB2312" w:hAnsi="Times New Roman" w:eastAsia="仿宋_GB2312" w:cs="仿宋_GB2312"/>
          <w:sz w:val="32"/>
          <w:szCs w:val="32"/>
          <w:lang w:bidi="ar"/>
        </w:rPr>
        <w:t>（一）部门机构设置、职责</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中关村科技园区西城园管理委员会（简称西城园管委会）是区政府派出机构，共设办公室、</w:t>
      </w:r>
      <w:r>
        <w:rPr>
          <w:rFonts w:hint="eastAsia" w:ascii="仿宋_GB2312" w:hAnsi="Times New Roman" w:eastAsia="仿宋_GB2312" w:cs="仿宋_GB2312"/>
          <w:sz w:val="32"/>
          <w:szCs w:val="32"/>
          <w:lang w:eastAsia="zh-CN" w:bidi="ar"/>
        </w:rPr>
        <w:t>党群工作科</w:t>
      </w:r>
      <w:r>
        <w:rPr>
          <w:rFonts w:hint="eastAsia" w:ascii="仿宋_GB2312" w:hAnsi="Times New Roman" w:eastAsia="仿宋_GB2312" w:cs="仿宋_GB2312"/>
          <w:sz w:val="32"/>
          <w:szCs w:val="32"/>
          <w:lang w:bidi="ar"/>
        </w:rPr>
        <w:t>、规划</w:t>
      </w:r>
      <w:r>
        <w:rPr>
          <w:rFonts w:hint="eastAsia" w:ascii="仿宋_GB2312" w:hAnsi="Times New Roman" w:eastAsia="仿宋_GB2312" w:cs="仿宋_GB2312"/>
          <w:sz w:val="32"/>
          <w:szCs w:val="32"/>
          <w:lang w:eastAsia="zh-CN" w:bidi="ar"/>
        </w:rPr>
        <w:t>协调科</w:t>
      </w:r>
      <w:r>
        <w:rPr>
          <w:rFonts w:hint="eastAsia" w:ascii="仿宋_GB2312" w:hAnsi="Times New Roman" w:eastAsia="仿宋_GB2312" w:cs="仿宋_GB2312"/>
          <w:sz w:val="32"/>
          <w:szCs w:val="32"/>
          <w:lang w:bidi="ar"/>
        </w:rPr>
        <w:t>、产业</w:t>
      </w:r>
      <w:r>
        <w:rPr>
          <w:rFonts w:hint="eastAsia" w:ascii="仿宋_GB2312" w:hAnsi="Times New Roman" w:eastAsia="仿宋_GB2312" w:cs="仿宋_GB2312"/>
          <w:sz w:val="32"/>
          <w:szCs w:val="32"/>
          <w:lang w:eastAsia="zh-CN" w:bidi="ar"/>
        </w:rPr>
        <w:t>促进科</w:t>
      </w:r>
      <w:r>
        <w:rPr>
          <w:rFonts w:hint="eastAsia" w:ascii="仿宋_GB2312" w:hAnsi="Times New Roman" w:eastAsia="仿宋_GB2312" w:cs="仿宋_GB2312"/>
          <w:sz w:val="32"/>
          <w:szCs w:val="32"/>
          <w:lang w:bidi="ar"/>
        </w:rPr>
        <w:t>、创新</w:t>
      </w:r>
      <w:r>
        <w:rPr>
          <w:rFonts w:hint="eastAsia" w:ascii="仿宋_GB2312" w:hAnsi="Times New Roman" w:eastAsia="仿宋_GB2312" w:cs="仿宋_GB2312"/>
          <w:sz w:val="32"/>
          <w:szCs w:val="32"/>
          <w:lang w:eastAsia="zh-CN" w:bidi="ar"/>
        </w:rPr>
        <w:t>创业服务科</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z w:val="32"/>
          <w:szCs w:val="32"/>
          <w:lang w:eastAsia="zh-CN" w:bidi="ar"/>
        </w:rPr>
        <w:t>金融科技服务科</w:t>
      </w:r>
      <w:r>
        <w:rPr>
          <w:rFonts w:hint="eastAsia" w:ascii="仿宋_GB2312" w:hAnsi="Times New Roman" w:eastAsia="仿宋_GB2312" w:cs="仿宋_GB2312"/>
          <w:sz w:val="32"/>
          <w:szCs w:val="32"/>
          <w:lang w:bidi="ar"/>
        </w:rPr>
        <w:t>等6个</w:t>
      </w:r>
      <w:r>
        <w:rPr>
          <w:rFonts w:hint="eastAsia" w:ascii="仿宋_GB2312" w:hAnsi="Times New Roman" w:eastAsia="仿宋_GB2312" w:cs="仿宋_GB2312"/>
          <w:sz w:val="32"/>
          <w:szCs w:val="32"/>
          <w:lang w:eastAsia="zh-CN" w:bidi="ar"/>
        </w:rPr>
        <w:t>科</w:t>
      </w:r>
      <w:r>
        <w:rPr>
          <w:rFonts w:hint="eastAsia" w:ascii="仿宋_GB2312" w:hAnsi="Times New Roman" w:eastAsia="仿宋_GB2312" w:cs="仿宋_GB2312"/>
          <w:sz w:val="32"/>
          <w:szCs w:val="32"/>
          <w:lang w:bidi="ar"/>
        </w:rPr>
        <w:t>室。</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主要职责：</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贯彻落实国家有关法律、法规、规章、政策和北京市的有关规定，组织拟订相关政策措施并组织实施，研究提出政策建议。</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2.</w:t>
      </w:r>
      <w:r>
        <w:rPr>
          <w:rFonts w:hint="eastAsia" w:ascii="仿宋_GB2312" w:hAnsi="Times New Roman" w:eastAsia="仿宋_GB2312" w:cs="仿宋_GB2312"/>
          <w:sz w:val="32"/>
          <w:szCs w:val="32"/>
          <w:lang w:bidi="ar"/>
        </w:rPr>
        <w:t>组织或参与编制园区发展规划、空间规划和产业规划，组织制定、实施园区发展建设实施方案。</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负责园区产业促进工作，推动建设园区重点工程、特色产业基地（园区），服务重大项目落地，落实示范区产业布局定位，推进园区产业结构优化升级。</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协调开展园区创业服务、人才服务、企业服务，优化园区发展环境。</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组织开展科技成果转化、科技金融、创新能力建设、新技术新产品推广、军民融合、国际化发展等方面的促进服务工作，按照规定管理使用专项资金。</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6.</w:t>
      </w:r>
      <w:r>
        <w:rPr>
          <w:rFonts w:hint="eastAsia" w:ascii="仿宋_GB2312" w:hAnsi="Times New Roman" w:eastAsia="仿宋_GB2312" w:cs="仿宋_GB2312"/>
          <w:sz w:val="32"/>
          <w:szCs w:val="32"/>
          <w:lang w:bidi="ar"/>
        </w:rPr>
        <w:t>负责园区高新技术企业认定的申报服务工作。组织开展高层次人才引进、信息化建设、经济分析、稳增长工作，配合开展企业入园统计工作。</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7.</w:t>
      </w:r>
      <w:r>
        <w:rPr>
          <w:rFonts w:hint="eastAsia" w:ascii="仿宋_GB2312" w:hAnsi="Times New Roman" w:eastAsia="仿宋_GB2312" w:cs="仿宋_GB2312"/>
          <w:sz w:val="32"/>
          <w:szCs w:val="32"/>
          <w:lang w:bidi="ar"/>
        </w:rPr>
        <w:t>组织开展政策宣传和政策落实工作，协调开展园区公共服务、成果宣传、创新文化建设活动。</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8.</w:t>
      </w:r>
      <w:r>
        <w:rPr>
          <w:rFonts w:hint="eastAsia" w:ascii="仿宋_GB2312" w:hAnsi="Times New Roman" w:eastAsia="仿宋_GB2312" w:cs="仿宋_GB2312"/>
          <w:sz w:val="32"/>
          <w:szCs w:val="32"/>
          <w:lang w:bidi="ar"/>
        </w:rPr>
        <w:t>承担国家级金融科技示范区管理与服务工作，制定并组织实施相关配套支持政策。</w:t>
      </w:r>
    </w:p>
    <w:p>
      <w:pPr>
        <w:spacing w:line="360" w:lineRule="auto"/>
        <w:ind w:firstLine="640" w:firstLineChars="200"/>
        <w:outlineLvl w:val="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val="en-US" w:eastAsia="zh-CN" w:bidi="ar"/>
        </w:rPr>
        <w:t>9.</w:t>
      </w:r>
      <w:r>
        <w:rPr>
          <w:rFonts w:hint="eastAsia" w:ascii="仿宋_GB2312" w:hAnsi="Times New Roman" w:eastAsia="仿宋_GB2312" w:cs="仿宋_GB2312"/>
          <w:sz w:val="32"/>
          <w:szCs w:val="32"/>
          <w:lang w:bidi="ar"/>
        </w:rPr>
        <w:t>按照“管行业必须管安全、管业务必须管安全、管生产经营必须管安全”的要求，承担相关安全生产工作职责。</w:t>
      </w:r>
    </w:p>
    <w:p>
      <w:pPr>
        <w:spacing w:line="360" w:lineRule="auto"/>
        <w:ind w:firstLine="640" w:firstLineChars="200"/>
        <w:outlineLvl w:val="0"/>
        <w:rPr>
          <w:rFonts w:ascii="楷体" w:hAnsi="楷体" w:eastAsia="楷体" w:cs="楷体"/>
          <w:sz w:val="32"/>
          <w:szCs w:val="32"/>
        </w:rPr>
      </w:pPr>
      <w:r>
        <w:rPr>
          <w:rFonts w:hint="eastAsia" w:ascii="仿宋_GB2312" w:hAnsi="Times New Roman" w:eastAsia="仿宋_GB2312" w:cs="仿宋_GB2312"/>
          <w:sz w:val="32"/>
          <w:szCs w:val="32"/>
          <w:lang w:val="en-US" w:eastAsia="zh-CN" w:bidi="ar"/>
        </w:rPr>
        <w:t>10.</w:t>
      </w:r>
      <w:r>
        <w:rPr>
          <w:rFonts w:hint="eastAsia" w:ascii="仿宋_GB2312" w:hAnsi="Times New Roman" w:eastAsia="仿宋_GB2312" w:cs="仿宋_GB2312"/>
          <w:sz w:val="32"/>
          <w:szCs w:val="32"/>
          <w:lang w:bidi="ar"/>
        </w:rPr>
        <w:t>完成上级业务指导部门和区委、区政府交办的其他任务。</w:t>
      </w:r>
    </w:p>
    <w:p>
      <w:pPr>
        <w:spacing w:line="360" w:lineRule="auto"/>
        <w:ind w:left="64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（二）人员构成情况</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中关村科技园区西城园管理委员会行政编制31人，实际在职人员</w:t>
      </w:r>
      <w:r>
        <w:rPr>
          <w:rFonts w:hint="eastAsia" w:ascii="仿宋_GB2312" w:hAnsi="Times New Roman" w:eastAsia="仿宋_GB2312" w:cs="仿宋_GB2312"/>
          <w:sz w:val="32"/>
          <w:szCs w:val="32"/>
          <w:lang w:val="en-US" w:eastAsia="zh-CN" w:bidi="ar"/>
        </w:rPr>
        <w:t>28</w:t>
      </w:r>
      <w:r>
        <w:rPr>
          <w:rFonts w:hint="eastAsia" w:ascii="仿宋_GB2312" w:hAnsi="Times New Roman" w:eastAsia="仿宋_GB2312" w:cs="仿宋_GB2312"/>
          <w:sz w:val="32"/>
          <w:szCs w:val="32"/>
          <w:lang w:bidi="ar"/>
        </w:rPr>
        <w:t>人</w:t>
      </w:r>
      <w:r>
        <w:rPr>
          <w:rFonts w:hint="eastAsia" w:ascii="仿宋_GB2312" w:hAnsi="Times New Roman" w:eastAsia="仿宋_GB2312" w:cs="仿宋_GB2312"/>
          <w:sz w:val="32"/>
          <w:szCs w:val="32"/>
          <w:lang w:eastAsia="zh-CN" w:bidi="ar"/>
        </w:rPr>
        <w:t>，退休人员</w:t>
      </w:r>
      <w:r>
        <w:rPr>
          <w:rFonts w:hint="eastAsia" w:ascii="仿宋_GB2312" w:hAnsi="Times New Roman" w:eastAsia="仿宋_GB2312" w:cs="仿宋_GB2312"/>
          <w:sz w:val="32"/>
          <w:szCs w:val="32"/>
          <w:lang w:val="en-US" w:eastAsia="zh-CN" w:bidi="ar"/>
        </w:rPr>
        <w:t>1人</w:t>
      </w:r>
      <w:r>
        <w:rPr>
          <w:rFonts w:hint="eastAsia" w:ascii="仿宋_GB2312" w:hAnsi="Times New Roman" w:eastAsia="仿宋_GB2312" w:cs="仿宋_GB2312"/>
          <w:sz w:val="32"/>
          <w:szCs w:val="32"/>
          <w:lang w:bidi="ar"/>
        </w:rPr>
        <w:t>。</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二、202</w:t>
      </w:r>
      <w:r>
        <w:rPr>
          <w:rFonts w:hint="eastAsia" w:ascii="仿宋_GB2312" w:hAnsi="Times New Roman" w:eastAsia="仿宋_GB2312" w:cs="仿宋_GB2312"/>
          <w:b/>
          <w:sz w:val="32"/>
          <w:szCs w:val="32"/>
          <w:lang w:val="en-US" w:eastAsia="zh-CN" w:bidi="ar"/>
        </w:rPr>
        <w:t>4</w:t>
      </w:r>
      <w:r>
        <w:rPr>
          <w:rFonts w:hint="eastAsia" w:ascii="仿宋_GB2312" w:hAnsi="Times New Roman" w:eastAsia="仿宋_GB2312" w:cs="仿宋_GB2312"/>
          <w:b/>
          <w:sz w:val="32"/>
          <w:szCs w:val="32"/>
          <w:lang w:bidi="ar"/>
        </w:rPr>
        <w:t>年部门预算收支及增减变化情况说明</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（一）收入预算说明</w:t>
      </w:r>
    </w:p>
    <w:p>
      <w:pPr>
        <w:spacing w:line="360" w:lineRule="auto"/>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年收入预算3,302.502490</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元，其中:一般公共预算财政拨款3,302.502490</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元。比202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年收入预算</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47.7135万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提高</w:t>
      </w:r>
      <w:r>
        <w:rPr>
          <w:rFonts w:hint="eastAsia" w:ascii="仿宋_GB2312" w:hAnsi="Times New Roman" w:eastAsia="仿宋_GB2312" w:cs="仿宋_GB2312"/>
          <w:sz w:val="32"/>
          <w:szCs w:val="32"/>
          <w:lang w:val="en-US" w:eastAsia="zh-CN" w:bidi="ar"/>
        </w:rPr>
        <w:t>1.47</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根据实际安排，预算项目有所调整</w:t>
      </w:r>
      <w:r>
        <w:rPr>
          <w:rFonts w:hint="eastAsia" w:ascii="仿宋_GB2312" w:hAnsi="Times New Roman" w:eastAsia="仿宋_GB2312" w:cs="仿宋_GB2312"/>
          <w:sz w:val="32"/>
          <w:szCs w:val="32"/>
          <w:lang w:bidi="ar"/>
        </w:rPr>
        <w:t>。</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（二）支出预算说明</w:t>
      </w:r>
    </w:p>
    <w:p>
      <w:pPr>
        <w:widowControl/>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年支出预算3,302.502490</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元，比202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年支出预算</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47.7135万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提高</w:t>
      </w:r>
      <w:r>
        <w:rPr>
          <w:rFonts w:hint="eastAsia" w:ascii="仿宋_GB2312" w:hAnsi="Times New Roman" w:eastAsia="仿宋_GB2312" w:cs="仿宋_GB2312"/>
          <w:sz w:val="32"/>
          <w:szCs w:val="32"/>
          <w:lang w:val="en-US" w:eastAsia="zh-CN" w:bidi="ar"/>
        </w:rPr>
        <w:t>1.47</w:t>
      </w:r>
      <w:r>
        <w:rPr>
          <w:rFonts w:hint="eastAsia" w:ascii="仿宋_GB2312" w:hAnsi="Times New Roman" w:eastAsia="仿宋_GB2312" w:cs="仿宋_GB2312"/>
          <w:sz w:val="32"/>
          <w:szCs w:val="32"/>
          <w:lang w:bidi="ar"/>
        </w:rPr>
        <w:t>%，其中：预算内资金安排3,302.502490</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元，财政专户资金安排0元，其他资金安排0元，市级提前下达专项转移支付项目资金安排0元。</w:t>
      </w:r>
    </w:p>
    <w:p>
      <w:pPr>
        <w:widowControl/>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预算内资金中基本支出预算1,002.978579</w:t>
      </w:r>
      <w:r>
        <w:rPr>
          <w:rFonts w:hint="eastAsia" w:ascii="仿宋_GB2312" w:hAnsi="Times New Roman" w:eastAsia="仿宋_GB2312" w:cs="仿宋_GB2312"/>
          <w:sz w:val="32"/>
          <w:szCs w:val="32"/>
          <w:lang w:eastAsia="zh-CN" w:bidi="ar"/>
        </w:rPr>
        <w:t>万元</w:t>
      </w:r>
      <w:r>
        <w:rPr>
          <w:rFonts w:hint="eastAsia" w:ascii="仿宋_GB2312" w:hAnsi="Times New Roman" w:eastAsia="仿宋_GB2312" w:cs="仿宋_GB2312"/>
          <w:sz w:val="32"/>
          <w:szCs w:val="32"/>
          <w:lang w:bidi="ar"/>
        </w:rPr>
        <w:t>，比202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减少</w:t>
      </w:r>
      <w:r>
        <w:rPr>
          <w:rFonts w:hint="eastAsia" w:ascii="仿宋_GB2312" w:hAnsi="Times New Roman" w:eastAsia="仿宋_GB2312" w:cs="仿宋_GB2312"/>
          <w:sz w:val="32"/>
          <w:szCs w:val="32"/>
          <w:lang w:val="en-US" w:eastAsia="zh-CN" w:bidi="ar"/>
        </w:rPr>
        <w:t>59.173731万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降低</w:t>
      </w:r>
      <w:r>
        <w:rPr>
          <w:rFonts w:hint="eastAsia" w:ascii="仿宋_GB2312" w:hAnsi="Times New Roman" w:eastAsia="仿宋_GB2312" w:cs="仿宋_GB2312"/>
          <w:sz w:val="32"/>
          <w:szCs w:val="32"/>
          <w:lang w:val="en-US" w:eastAsia="zh-CN" w:bidi="ar"/>
        </w:rPr>
        <w:t>5.57</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在职</w:t>
      </w:r>
      <w:r>
        <w:rPr>
          <w:rFonts w:hint="eastAsia" w:ascii="仿宋_GB2312" w:hAnsi="Times New Roman" w:eastAsia="仿宋_GB2312" w:cs="仿宋_GB2312"/>
          <w:sz w:val="32"/>
          <w:szCs w:val="32"/>
          <w:lang w:bidi="ar"/>
        </w:rPr>
        <w:t>人员</w:t>
      </w:r>
      <w:r>
        <w:rPr>
          <w:rFonts w:hint="eastAsia" w:ascii="仿宋_GB2312" w:hAnsi="Times New Roman" w:eastAsia="仿宋_GB2312" w:cs="仿宋_GB2312"/>
          <w:sz w:val="32"/>
          <w:szCs w:val="32"/>
          <w:lang w:eastAsia="zh-CN" w:bidi="ar"/>
        </w:rPr>
        <w:t>人数变化</w:t>
      </w:r>
      <w:r>
        <w:rPr>
          <w:rFonts w:hint="eastAsia" w:ascii="仿宋_GB2312" w:hAnsi="Times New Roman" w:eastAsia="仿宋_GB2312" w:cs="仿宋_GB2312"/>
          <w:sz w:val="32"/>
          <w:szCs w:val="32"/>
          <w:lang w:bidi="ar"/>
        </w:rPr>
        <w:t>；项目支出预算2,299.523911</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元，比202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106.887202万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上升</w:t>
      </w:r>
      <w:r>
        <w:rPr>
          <w:rFonts w:hint="eastAsia" w:ascii="仿宋_GB2312" w:hAnsi="Times New Roman" w:eastAsia="仿宋_GB2312" w:cs="仿宋_GB2312"/>
          <w:sz w:val="32"/>
          <w:szCs w:val="32"/>
          <w:lang w:val="en-US" w:eastAsia="zh-CN" w:bidi="ar"/>
        </w:rPr>
        <w:t>4.87</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根据实际安排，预算项目有所调整</w:t>
      </w:r>
      <w:r>
        <w:rPr>
          <w:rFonts w:hint="eastAsia" w:ascii="仿宋_GB2312" w:hAnsi="Times New Roman" w:eastAsia="仿宋_GB2312" w:cs="仿宋_GB2312"/>
          <w:sz w:val="32"/>
          <w:szCs w:val="32"/>
          <w:lang w:bidi="ar"/>
        </w:rPr>
        <w:t>。</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三、主要支出情况</w:t>
      </w:r>
    </w:p>
    <w:p>
      <w:pPr>
        <w:spacing w:line="360" w:lineRule="auto"/>
        <w:ind w:firstLine="640" w:firstLineChars="200"/>
        <w:outlineLvl w:val="0"/>
        <w:rPr>
          <w:rFonts w:ascii="仿宋_GB2312" w:eastAsia="仿宋_GB2312" w:cs="仿宋_GB2312"/>
          <w:sz w:val="32"/>
          <w:szCs w:val="32"/>
        </w:rPr>
      </w:pPr>
      <w:bookmarkStart w:id="0" w:name="_Toc25448"/>
      <w:bookmarkStart w:id="1" w:name="_Toc17531"/>
      <w:r>
        <w:rPr>
          <w:rFonts w:hint="eastAsia" w:ascii="仿宋_GB2312" w:hAnsi="Times New Roman" w:eastAsia="仿宋_GB2312" w:cs="仿宋_GB2312"/>
          <w:sz w:val="32"/>
          <w:szCs w:val="32"/>
          <w:lang w:bidi="ar"/>
        </w:rPr>
        <w:t>基本支出主要包括</w:t>
      </w:r>
      <w:bookmarkEnd w:id="0"/>
      <w:bookmarkEnd w:id="1"/>
      <w:r>
        <w:rPr>
          <w:rFonts w:hint="eastAsia" w:ascii="仿宋_GB2312" w:hAnsi="Times New Roman" w:eastAsia="仿宋_GB2312" w:cs="仿宋_GB2312"/>
          <w:sz w:val="32"/>
          <w:szCs w:val="32"/>
          <w:lang w:bidi="ar"/>
        </w:rPr>
        <w:t>在职人员支出、个人和家庭补助支出及</w:t>
      </w:r>
      <w:bookmarkStart w:id="2" w:name="_Toc7025"/>
      <w:bookmarkStart w:id="3" w:name="_Toc3237"/>
      <w:r>
        <w:rPr>
          <w:rFonts w:hint="eastAsia" w:ascii="仿宋_GB2312" w:hAnsi="Times New Roman" w:eastAsia="仿宋_GB2312" w:cs="仿宋_GB2312"/>
          <w:sz w:val="32"/>
          <w:szCs w:val="32"/>
          <w:lang w:bidi="ar"/>
        </w:rPr>
        <w:t>日常公用支出。</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项目支出主要</w:t>
      </w:r>
      <w:bookmarkEnd w:id="2"/>
      <w:bookmarkEnd w:id="3"/>
      <w:r>
        <w:rPr>
          <w:rFonts w:hint="eastAsia" w:ascii="仿宋_GB2312" w:hAnsi="Times New Roman" w:eastAsia="仿宋_GB2312" w:cs="仿宋_GB2312"/>
          <w:sz w:val="32"/>
          <w:szCs w:val="32"/>
          <w:lang w:bidi="ar"/>
        </w:rPr>
        <w:t>包括创新创意成果展示中心运营费用、房租、中关村西城园体制机制改革提升项目</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党建工作经费等。</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四、部门“三公”经费财政拨款预算说明</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（一）“三公”经费的单位范围</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年部门预算中因公出国（境）费、公务接待费、公务用车购置及运行维护费的支出单位包括1个所属单位，即中关村科技园区西城园管理委员会。</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（二）“三公”经费预算财政拨款情况说明</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年部门预算“三公”经费财政拨款预算0元，与202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年初</w:t>
      </w:r>
      <w:r>
        <w:rPr>
          <w:rFonts w:hint="eastAsia" w:ascii="仿宋_GB2312" w:hAnsi="Times New Roman" w:eastAsia="仿宋_GB2312" w:cs="仿宋_GB2312"/>
          <w:sz w:val="32"/>
          <w:szCs w:val="32"/>
          <w:lang w:bidi="ar"/>
        </w:rPr>
        <w:t>预算一致。</w:t>
      </w:r>
    </w:p>
    <w:p>
      <w:pPr>
        <w:pStyle w:val="7"/>
        <w:ind w:left="640" w:firstLine="0" w:firstLineChars="0"/>
        <w:rPr>
          <w:rFonts w:ascii="仿宋_GB2312" w:eastAsia="仿宋_GB2312" w:cs="仿宋_GB2312"/>
          <w:sz w:val="32"/>
          <w:szCs w:val="32"/>
        </w:rPr>
      </w:pPr>
      <w:r>
        <w:rPr>
          <w:rFonts w:hint="eastAsia" w:ascii="仿宋_GB2312" w:hAnsi="Times New Roman" w:eastAsia="仿宋_GB2312" w:cs="仿宋_GB2312"/>
          <w:sz w:val="32"/>
          <w:szCs w:val="32"/>
          <w:lang w:bidi="ar"/>
        </w:rPr>
        <w:t>1.因公出国（境）费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年预算0元，与202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年初</w:t>
      </w:r>
      <w:r>
        <w:rPr>
          <w:rFonts w:hint="eastAsia" w:ascii="仿宋_GB2312" w:hAnsi="Times New Roman" w:eastAsia="仿宋_GB2312" w:cs="仿宋_GB2312"/>
          <w:sz w:val="32"/>
          <w:szCs w:val="32"/>
          <w:lang w:bidi="ar"/>
        </w:rPr>
        <w:t>预算一致。</w:t>
      </w:r>
    </w:p>
    <w:p>
      <w:pPr>
        <w:ind w:left="640"/>
        <w:rPr>
          <w:rFonts w:ascii="仿宋_GB2312" w:eastAsia="仿宋_GB2312" w:cs="仿宋_GB2312"/>
          <w:sz w:val="32"/>
          <w:szCs w:val="32"/>
        </w:rPr>
      </w:pPr>
      <w:r>
        <w:rPr>
          <w:rFonts w:hint="eastAsia" w:ascii="仿宋_GB2312" w:hAnsi="Times New Roman" w:eastAsia="仿宋_GB2312" w:cs="仿宋_GB2312"/>
          <w:sz w:val="32"/>
          <w:szCs w:val="32"/>
          <w:lang w:bidi="ar"/>
        </w:rPr>
        <w:t>2.公务接待费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年预算0元，与202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年预算一致。</w:t>
      </w:r>
    </w:p>
    <w:p>
      <w:pPr>
        <w:ind w:left="640"/>
        <w:rPr>
          <w:rFonts w:ascii="仿宋_GB2312" w:eastAsia="仿宋_GB2312" w:cs="仿宋_GB2312"/>
          <w:sz w:val="32"/>
          <w:szCs w:val="32"/>
        </w:rPr>
      </w:pPr>
      <w:r>
        <w:rPr>
          <w:rFonts w:hint="eastAsia" w:ascii="仿宋_GB2312" w:hAnsi="Times New Roman" w:eastAsia="仿宋_GB2312" w:cs="仿宋_GB2312"/>
          <w:sz w:val="32"/>
          <w:szCs w:val="32"/>
          <w:lang w:bidi="ar"/>
        </w:rPr>
        <w:t>3.公务用车购置及运行维护费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年公务用车数量为0辆，预算0万元，其中公务用车购置费0万元，公务用车运行维护费0万元。与202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年公务用车预算一致。</w:t>
      </w:r>
    </w:p>
    <w:p>
      <w:pPr>
        <w:spacing w:line="360" w:lineRule="auto"/>
        <w:ind w:firstLine="643" w:firstLineChars="200"/>
        <w:outlineLvl w:val="0"/>
        <w:rPr>
          <w:rFonts w:hint="eastAsia" w:ascii="仿宋_GB2312" w:hAnsi="Times New Roman" w:eastAsia="仿宋_GB2312" w:cs="仿宋_GB2312"/>
          <w:b/>
          <w:sz w:val="32"/>
          <w:szCs w:val="32"/>
          <w:lang w:bidi="ar"/>
        </w:rPr>
      </w:pPr>
      <w:r>
        <w:rPr>
          <w:rFonts w:hint="eastAsia" w:ascii="仿宋_GB2312" w:hAnsi="Times New Roman" w:eastAsia="仿宋_GB2312" w:cs="仿宋_GB2312"/>
          <w:b/>
          <w:sz w:val="32"/>
          <w:szCs w:val="32"/>
          <w:lang w:bidi="ar"/>
        </w:rPr>
        <w:t>五、其他情况说明</w:t>
      </w:r>
    </w:p>
    <w:p>
      <w:pPr>
        <w:spacing w:line="560" w:lineRule="exact"/>
        <w:ind w:firstLine="640" w:firstLineChars="200"/>
        <w:rPr>
          <w:rFonts w:hint="eastAsia" w:ascii="仿宋_GB2312" w:hAnsi="Times New Roman" w:eastAsia="仿宋_GB2312" w:cs="仿宋_GB2312"/>
          <w:sz w:val="32"/>
          <w:szCs w:val="32"/>
          <w:lang w:eastAsia="zh-CN" w:bidi="ar"/>
        </w:rPr>
      </w:pPr>
      <w:r>
        <w:rPr>
          <w:rFonts w:hint="eastAsia" w:ascii="仿宋_GB2312" w:hAnsi="Times New Roman" w:eastAsia="仿宋_GB2312" w:cs="仿宋_GB2312"/>
          <w:sz w:val="32"/>
          <w:szCs w:val="32"/>
          <w:lang w:eastAsia="zh-CN" w:bidi="ar"/>
        </w:rPr>
        <w:t>（一）机构运行经费说明</w:t>
      </w:r>
    </w:p>
    <w:p>
      <w:pPr>
        <w:spacing w:line="560" w:lineRule="exact"/>
        <w:ind w:firstLine="640" w:firstLineChars="200"/>
        <w:rPr>
          <w:rFonts w:hint="eastAsia" w:ascii="仿宋_GB2312" w:hAnsi="Times New Roman" w:eastAsia="仿宋_GB2312" w:cs="仿宋_GB2312"/>
          <w:sz w:val="32"/>
          <w:szCs w:val="32"/>
          <w:lang w:val="en-US" w:eastAsia="zh-CN" w:bidi="ar"/>
        </w:rPr>
      </w:pPr>
      <w:r>
        <w:rPr>
          <w:rFonts w:hint="eastAsia" w:ascii="仿宋_GB2312" w:hAnsi="Times New Roman" w:eastAsia="仿宋_GB2312" w:cs="仿宋_GB2312"/>
          <w:sz w:val="32"/>
          <w:szCs w:val="32"/>
          <w:lang w:val="en-US" w:eastAsia="zh-CN" w:bidi="ar"/>
        </w:rPr>
        <w:t>2023年基本支出合计</w:t>
      </w:r>
      <w:r>
        <w:rPr>
          <w:rFonts w:hint="eastAsia" w:ascii="仿宋_GB2312" w:hAnsi="Times New Roman" w:eastAsia="仿宋_GB2312" w:cs="仿宋_GB2312"/>
          <w:sz w:val="32"/>
          <w:szCs w:val="32"/>
          <w:lang w:bidi="ar"/>
        </w:rPr>
        <w:t>1,002.978579</w:t>
      </w:r>
      <w:r>
        <w:rPr>
          <w:rFonts w:hint="eastAsia" w:ascii="仿宋_GB2312" w:hAnsi="Times New Roman" w:eastAsia="仿宋_GB2312" w:cs="仿宋_GB2312"/>
          <w:sz w:val="32"/>
          <w:szCs w:val="32"/>
          <w:lang w:eastAsia="zh-CN" w:bidi="ar"/>
        </w:rPr>
        <w:t>万元</w:t>
      </w:r>
      <w:r>
        <w:rPr>
          <w:rFonts w:hint="eastAsia" w:ascii="仿宋_GB2312" w:hAnsi="Times New Roman" w:eastAsia="仿宋_GB2312" w:cs="仿宋_GB2312"/>
          <w:sz w:val="32"/>
          <w:szCs w:val="32"/>
          <w:lang w:val="en-US" w:eastAsia="zh-CN" w:bidi="ar"/>
        </w:rPr>
        <w:t>，其中，人员经费912.343147万元，公用经费90.635432万元。</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w:t>
      </w:r>
      <w:r>
        <w:rPr>
          <w:rFonts w:hint="eastAsia" w:ascii="仿宋_GB2312" w:hAnsi="Times New Roman" w:eastAsia="仿宋_GB2312" w:cs="仿宋_GB2312"/>
          <w:sz w:val="32"/>
          <w:szCs w:val="32"/>
          <w:lang w:eastAsia="zh-CN" w:bidi="ar"/>
        </w:rPr>
        <w:t>二</w:t>
      </w:r>
      <w:r>
        <w:rPr>
          <w:rFonts w:hint="eastAsia" w:ascii="仿宋_GB2312" w:hAnsi="Times New Roman" w:eastAsia="仿宋_GB2312" w:cs="仿宋_GB2312"/>
          <w:sz w:val="32"/>
          <w:szCs w:val="32"/>
          <w:lang w:bidi="ar"/>
        </w:rPr>
        <w:t>）政府采购预算说明</w:t>
      </w:r>
    </w:p>
    <w:p>
      <w:pPr>
        <w:spacing w:line="360" w:lineRule="auto"/>
        <w:ind w:firstLine="713" w:firstLineChars="223"/>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年政府采购项目</w:t>
      </w:r>
      <w:r>
        <w:rPr>
          <w:rFonts w:hint="eastAsia" w:ascii="仿宋_GB2312" w:hAnsi="Times New Roman" w:eastAsia="仿宋_GB2312" w:cs="仿宋_GB2312"/>
          <w:sz w:val="32"/>
          <w:szCs w:val="32"/>
          <w:lang w:val="en-US" w:eastAsia="zh-CN" w:bidi="ar"/>
        </w:rPr>
        <w:t>0项</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pacing w:val="-14"/>
          <w:sz w:val="32"/>
          <w:szCs w:val="32"/>
          <w:lang w:eastAsia="zh-CN" w:bidi="ar"/>
        </w:rPr>
        <w:t>预算资金</w:t>
      </w:r>
      <w:r>
        <w:rPr>
          <w:rFonts w:hint="eastAsia" w:ascii="仿宋_GB2312" w:hAnsi="Times New Roman" w:eastAsia="仿宋_GB2312" w:cs="仿宋_GB2312"/>
          <w:sz w:val="32"/>
          <w:szCs w:val="32"/>
          <w:lang w:val="en-US" w:eastAsia="zh-CN" w:bidi="ar"/>
        </w:rPr>
        <w:t>0元</w:t>
      </w:r>
      <w:r>
        <w:rPr>
          <w:rFonts w:hint="eastAsia" w:ascii="仿宋_GB2312" w:hAnsi="Times New Roman" w:eastAsia="仿宋_GB2312" w:cs="仿宋_GB2312"/>
          <w:sz w:val="32"/>
          <w:szCs w:val="32"/>
          <w:lang w:bidi="ar"/>
        </w:rPr>
        <w:t>。</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三</w:t>
      </w:r>
      <w:r>
        <w:rPr>
          <w:rFonts w:hint="eastAsia" w:ascii="仿宋_GB2312" w:hAnsi="Times New Roman" w:eastAsia="仿宋_GB2312" w:cs="仿宋_GB2312"/>
          <w:sz w:val="32"/>
          <w:szCs w:val="32"/>
          <w:lang w:bidi="ar"/>
        </w:rPr>
        <w:t>）政府购买服务预算说明</w:t>
      </w:r>
    </w:p>
    <w:p>
      <w:pPr>
        <w:spacing w:line="360" w:lineRule="auto"/>
        <w:ind w:firstLine="730" w:firstLineChars="250"/>
        <w:rPr>
          <w:rFonts w:ascii="仿宋_GB2312" w:eastAsia="仿宋_GB2312" w:cs="仿宋_GB2312"/>
          <w:spacing w:val="-14"/>
          <w:sz w:val="32"/>
          <w:szCs w:val="32"/>
        </w:rPr>
      </w:pPr>
      <w:r>
        <w:rPr>
          <w:rFonts w:hint="eastAsia" w:ascii="仿宋_GB2312" w:hAnsi="Times New Roman" w:eastAsia="仿宋_GB2312" w:cs="仿宋_GB2312"/>
          <w:spacing w:val="-14"/>
          <w:sz w:val="32"/>
          <w:szCs w:val="32"/>
          <w:lang w:bidi="ar"/>
        </w:rPr>
        <w:t>202</w:t>
      </w:r>
      <w:r>
        <w:rPr>
          <w:rFonts w:hint="eastAsia" w:ascii="仿宋_GB2312" w:hAnsi="Times New Roman" w:eastAsia="仿宋_GB2312" w:cs="仿宋_GB2312"/>
          <w:spacing w:val="-14"/>
          <w:sz w:val="32"/>
          <w:szCs w:val="32"/>
          <w:lang w:val="en-US" w:eastAsia="zh-CN" w:bidi="ar"/>
        </w:rPr>
        <w:t>4</w:t>
      </w:r>
      <w:r>
        <w:rPr>
          <w:rFonts w:hint="eastAsia" w:ascii="仿宋_GB2312" w:hAnsi="Times New Roman" w:eastAsia="仿宋_GB2312" w:cs="仿宋_GB2312"/>
          <w:spacing w:val="-14"/>
          <w:sz w:val="32"/>
          <w:szCs w:val="32"/>
          <w:lang w:bidi="ar"/>
        </w:rPr>
        <w:t>年政府购买服务项目</w:t>
      </w:r>
      <w:r>
        <w:rPr>
          <w:rFonts w:hint="eastAsia" w:ascii="仿宋_GB2312" w:hAnsi="Times New Roman" w:eastAsia="仿宋_GB2312" w:cs="仿宋_GB2312"/>
          <w:spacing w:val="-14"/>
          <w:sz w:val="32"/>
          <w:szCs w:val="32"/>
          <w:lang w:val="en-US" w:eastAsia="zh-CN" w:bidi="ar"/>
        </w:rPr>
        <w:t>3</w:t>
      </w:r>
      <w:r>
        <w:rPr>
          <w:rFonts w:hint="eastAsia" w:ascii="仿宋_GB2312" w:hAnsi="Times New Roman" w:eastAsia="仿宋_GB2312" w:cs="仿宋_GB2312"/>
          <w:spacing w:val="-14"/>
          <w:sz w:val="32"/>
          <w:szCs w:val="32"/>
          <w:lang w:eastAsia="zh-CN" w:bidi="ar"/>
        </w:rPr>
        <w:t>项</w:t>
      </w:r>
      <w:r>
        <w:rPr>
          <w:rFonts w:hint="eastAsia" w:ascii="仿宋_GB2312" w:hAnsi="Times New Roman" w:eastAsia="仿宋_GB2312" w:cs="仿宋_GB2312"/>
          <w:spacing w:val="-14"/>
          <w:sz w:val="32"/>
          <w:szCs w:val="32"/>
          <w:lang w:bidi="ar"/>
        </w:rPr>
        <w:t>，</w:t>
      </w:r>
      <w:r>
        <w:rPr>
          <w:rFonts w:hint="eastAsia" w:ascii="仿宋_GB2312" w:hAnsi="Times New Roman" w:eastAsia="仿宋_GB2312" w:cs="仿宋_GB2312"/>
          <w:spacing w:val="-14"/>
          <w:sz w:val="32"/>
          <w:szCs w:val="32"/>
          <w:lang w:eastAsia="zh-CN" w:bidi="ar"/>
        </w:rPr>
        <w:t>预算资金</w:t>
      </w:r>
      <w:r>
        <w:rPr>
          <w:rFonts w:hint="eastAsia" w:ascii="仿宋_GB2312" w:hAnsi="Times New Roman" w:eastAsia="仿宋_GB2312" w:cs="仿宋_GB2312"/>
          <w:sz w:val="32"/>
          <w:szCs w:val="32"/>
          <w:lang w:bidi="ar"/>
        </w:rPr>
        <w:t>669.912680</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val="en-US" w:eastAsia="zh-CN" w:bidi="ar"/>
        </w:rPr>
        <w:t>元</w:t>
      </w:r>
      <w:r>
        <w:rPr>
          <w:rFonts w:hint="eastAsia" w:ascii="仿宋_GB2312" w:hAnsi="Times New Roman" w:eastAsia="仿宋_GB2312" w:cs="仿宋_GB2312"/>
          <w:sz w:val="32"/>
          <w:szCs w:val="32"/>
          <w:lang w:bidi="ar"/>
        </w:rPr>
        <w:t>。</w:t>
      </w:r>
    </w:p>
    <w:p>
      <w:pPr>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bidi="ar"/>
          <w14:textFill>
            <w14:solidFill>
              <w14:schemeClr w14:val="tx1"/>
            </w14:solidFill>
          </w14:textFill>
        </w:rPr>
        <w:t>（</w:t>
      </w:r>
      <w:r>
        <w:rPr>
          <w:rFonts w:hint="eastAsia" w:ascii="仿宋_GB2312" w:hAnsi="Times New Roman" w:eastAsia="仿宋_GB2312" w:cs="仿宋_GB2312"/>
          <w:sz w:val="32"/>
          <w:szCs w:val="32"/>
          <w:lang w:eastAsia="zh-CN" w:bidi="ar"/>
        </w:rPr>
        <w:t>四</w:t>
      </w:r>
      <w:r>
        <w:rPr>
          <w:rFonts w:hint="eastAsia" w:ascii="仿宋_GB2312" w:hAnsi="Times New Roman" w:eastAsia="仿宋_GB2312" w:cs="仿宋_GB2312"/>
          <w:color w:val="000000" w:themeColor="text1"/>
          <w:sz w:val="32"/>
          <w:szCs w:val="32"/>
          <w:lang w:bidi="ar"/>
          <w14:textFill>
            <w14:solidFill>
              <w14:schemeClr w14:val="tx1"/>
            </w14:solidFill>
          </w14:textFill>
        </w:rPr>
        <w:t>）项目支出绩效目标情况说明</w:t>
      </w:r>
    </w:p>
    <w:p>
      <w:pPr>
        <w:ind w:firstLine="640" w:firstLineChars="200"/>
        <w:rPr>
          <w:rFonts w:hint="eastAsia" w:ascii="仿宋_GB2312" w:hAnsi="Times New Roman" w:eastAsia="仿宋_GB2312" w:cs="仿宋_GB2312"/>
          <w:color w:val="000000" w:themeColor="text1"/>
          <w:sz w:val="32"/>
          <w:szCs w:val="32"/>
          <w:lang w:bidi="ar"/>
          <w14:textFill>
            <w14:solidFill>
              <w14:schemeClr w14:val="tx1"/>
            </w14:solidFill>
          </w14:textFill>
        </w:rPr>
      </w:pPr>
      <w:r>
        <w:rPr>
          <w:rFonts w:hint="eastAsia" w:ascii="仿宋_GB2312" w:hAnsi="Times New Roman" w:eastAsia="仿宋_GB2312" w:cs="仿宋_GB2312"/>
          <w:color w:val="000000" w:themeColor="text1"/>
          <w:sz w:val="32"/>
          <w:szCs w:val="32"/>
          <w:lang w:bidi="ar"/>
          <w14:textFill>
            <w14:solidFill>
              <w14:schemeClr w14:val="tx1"/>
            </w14:solidFill>
          </w14:textFill>
        </w:rPr>
        <w:t>202</w:t>
      </w:r>
      <w:r>
        <w:rPr>
          <w:rFonts w:hint="eastAsia" w:ascii="仿宋_GB2312" w:hAnsi="Times New Roman" w:eastAsia="仿宋_GB2312" w:cs="仿宋_GB2312"/>
          <w:color w:val="000000" w:themeColor="text1"/>
          <w:sz w:val="32"/>
          <w:szCs w:val="32"/>
          <w:lang w:val="en-US" w:eastAsia="zh-CN" w:bidi="ar"/>
          <w14:textFill>
            <w14:solidFill>
              <w14:schemeClr w14:val="tx1"/>
            </w14:solidFill>
          </w14:textFill>
        </w:rPr>
        <w:t>4</w:t>
      </w:r>
      <w:r>
        <w:rPr>
          <w:rFonts w:hint="eastAsia" w:ascii="仿宋_GB2312" w:hAnsi="Times New Roman" w:eastAsia="仿宋_GB2312" w:cs="仿宋_GB2312"/>
          <w:color w:val="000000" w:themeColor="text1"/>
          <w:sz w:val="32"/>
          <w:szCs w:val="32"/>
          <w:lang w:bidi="ar"/>
          <w14:textFill>
            <w14:solidFill>
              <w14:schemeClr w14:val="tx1"/>
            </w14:solidFill>
          </w14:textFill>
        </w:rPr>
        <w:t>年本部门填报绩效目标的预算项目</w:t>
      </w:r>
      <w:r>
        <w:rPr>
          <w:rFonts w:hint="eastAsia" w:ascii="仿宋_GB2312" w:hAnsi="Times New Roman" w:eastAsia="仿宋_GB2312" w:cs="仿宋_GB2312"/>
          <w:color w:val="000000" w:themeColor="text1"/>
          <w:sz w:val="32"/>
          <w:szCs w:val="32"/>
          <w:lang w:val="en-US" w:eastAsia="zh-CN" w:bidi="ar"/>
          <w14:textFill>
            <w14:solidFill>
              <w14:schemeClr w14:val="tx1"/>
            </w14:solidFill>
          </w14:textFill>
        </w:rPr>
        <w:t>29</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项</w:t>
      </w:r>
      <w:r>
        <w:rPr>
          <w:rFonts w:hint="eastAsia" w:ascii="仿宋_GB2312" w:hAnsi="Times New Roman" w:eastAsia="仿宋_GB2312" w:cs="仿宋_GB2312"/>
          <w:color w:val="000000" w:themeColor="text1"/>
          <w:sz w:val="32"/>
          <w:szCs w:val="32"/>
          <w:lang w:bidi="ar"/>
          <w14:textFill>
            <w14:solidFill>
              <w14:schemeClr w14:val="tx1"/>
            </w14:solidFill>
          </w14:textFill>
        </w:rPr>
        <w:t>，预算资金2,299.523911</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万</w:t>
      </w:r>
      <w:r>
        <w:rPr>
          <w:rFonts w:hint="eastAsia" w:ascii="仿宋_GB2312" w:hAnsi="Times New Roman" w:eastAsia="仿宋_GB2312" w:cs="仿宋_GB2312"/>
          <w:color w:val="000000" w:themeColor="text1"/>
          <w:sz w:val="32"/>
          <w:szCs w:val="32"/>
          <w:lang w:bidi="ar"/>
          <w14:textFill>
            <w14:solidFill>
              <w14:schemeClr w14:val="tx1"/>
            </w14:solidFill>
          </w14:textFill>
        </w:rPr>
        <w:t>元。</w:t>
      </w:r>
    </w:p>
    <w:p>
      <w:pPr>
        <w:numPr>
          <w:ilvl w:val="0"/>
          <w:numId w:val="0"/>
        </w:numPr>
        <w:spacing w:line="560" w:lineRule="exact"/>
        <w:ind w:firstLine="640" w:firstLineChars="200"/>
        <w:rPr>
          <w:rFonts w:hint="eastAsia" w:ascii="仿宋_GB2312" w:eastAsia="仿宋_GB2312" w:cs="楷体_GB2312"/>
          <w:bCs/>
          <w:sz w:val="32"/>
          <w:szCs w:val="32"/>
          <w:lang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年财政绩效评价</w:t>
      </w:r>
      <w:r>
        <w:rPr>
          <w:rFonts w:hint="eastAsia" w:ascii="仿宋_GB2312" w:eastAsia="仿宋_GB2312"/>
          <w:color w:val="000000"/>
          <w:sz w:val="32"/>
          <w:szCs w:val="32"/>
          <w:lang w:eastAsia="zh-CN"/>
        </w:rPr>
        <w:t>：2021年度“科创十条”政策第一批条款兑现资金。</w:t>
      </w:r>
      <w:r>
        <w:rPr>
          <w:rFonts w:hint="eastAsia" w:ascii="仿宋_GB2312" w:eastAsia="仿宋_GB2312"/>
          <w:color w:val="000000"/>
          <w:sz w:val="32"/>
          <w:szCs w:val="32"/>
          <w:lang w:val="en-US" w:eastAsia="zh-CN"/>
        </w:rPr>
        <w:t>评价结果为优秀</w:t>
      </w:r>
      <w:bookmarkStart w:id="4" w:name="_GoBack"/>
      <w:bookmarkEnd w:id="4"/>
      <w:r>
        <w:rPr>
          <w:rFonts w:hint="eastAsia" w:ascii="仿宋_GB2312" w:eastAsia="仿宋_GB2312"/>
          <w:color w:val="000000"/>
          <w:sz w:val="32"/>
          <w:szCs w:val="32"/>
          <w:lang w:val="en-US" w:eastAsia="zh-CN"/>
        </w:rPr>
        <w:t>。</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w:t>
      </w:r>
      <w:r>
        <w:rPr>
          <w:rFonts w:hint="eastAsia" w:ascii="仿宋_GB2312" w:hAnsi="Times New Roman" w:eastAsia="仿宋_GB2312" w:cs="仿宋_GB2312"/>
          <w:sz w:val="32"/>
          <w:szCs w:val="32"/>
          <w:lang w:eastAsia="zh-CN" w:bidi="ar"/>
        </w:rPr>
        <w:t>五</w:t>
      </w:r>
      <w:r>
        <w:rPr>
          <w:rFonts w:hint="eastAsia" w:ascii="仿宋_GB2312" w:hAnsi="Times New Roman" w:eastAsia="仿宋_GB2312" w:cs="仿宋_GB2312"/>
          <w:sz w:val="32"/>
          <w:szCs w:val="32"/>
          <w:lang w:bidi="ar"/>
        </w:rPr>
        <w:t>）国有资本经营预算财政拨款情况说明</w:t>
      </w:r>
    </w:p>
    <w:p>
      <w:pPr>
        <w:spacing w:line="560" w:lineRule="exact"/>
        <w:ind w:firstLine="64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中关村科技园区西城园管理委员会无国有资本经营预算拨款收支情况。</w:t>
      </w:r>
    </w:p>
    <w:p>
      <w:pPr>
        <w:spacing w:line="560" w:lineRule="exact"/>
        <w:ind w:firstLine="640" w:firstLineChars="200"/>
        <w:rPr>
          <w:rFonts w:asci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eastAsia="zh-CN" w:bidi="ar"/>
        </w:rPr>
        <w:t>六</w:t>
      </w:r>
      <w:r>
        <w:rPr>
          <w:rFonts w:hint="eastAsia" w:ascii="仿宋_GB2312" w:hAnsi="Times New Roman" w:eastAsia="仿宋_GB2312" w:cs="仿宋_GB2312"/>
          <w:sz w:val="32"/>
          <w:szCs w:val="32"/>
          <w:highlight w:val="none"/>
          <w:lang w:bidi="ar"/>
        </w:rPr>
        <w:t>）国有资产占用情况说明</w:t>
      </w:r>
    </w:p>
    <w:p>
      <w:pPr>
        <w:spacing w:line="560" w:lineRule="exact"/>
        <w:ind w:firstLine="640" w:firstLineChars="200"/>
        <w:rPr>
          <w:rFonts w:asci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截止202</w:t>
      </w:r>
      <w:r>
        <w:rPr>
          <w:rFonts w:hint="eastAsia" w:ascii="仿宋_GB2312" w:hAnsi="Times New Roman" w:eastAsia="仿宋_GB2312" w:cs="仿宋_GB2312"/>
          <w:sz w:val="32"/>
          <w:szCs w:val="32"/>
          <w:highlight w:val="none"/>
          <w:lang w:val="en-US" w:eastAsia="zh-CN" w:bidi="ar"/>
        </w:rPr>
        <w:t>3</w:t>
      </w:r>
      <w:r>
        <w:rPr>
          <w:rFonts w:hint="eastAsia" w:ascii="仿宋_GB2312" w:hAnsi="Times New Roman" w:eastAsia="仿宋_GB2312" w:cs="仿宋_GB2312"/>
          <w:sz w:val="32"/>
          <w:szCs w:val="32"/>
          <w:highlight w:val="none"/>
          <w:lang w:bidi="ar"/>
        </w:rPr>
        <w:t>年底，本部门固定资产总额</w:t>
      </w:r>
      <w:r>
        <w:rPr>
          <w:rFonts w:hint="eastAsia" w:ascii="仿宋_GB2312" w:hAnsi="Times New Roman" w:eastAsia="仿宋_GB2312" w:cs="仿宋_GB2312"/>
          <w:sz w:val="32"/>
          <w:szCs w:val="32"/>
          <w:highlight w:val="none"/>
          <w:lang w:val="en-US" w:eastAsia="zh-CN" w:bidi="ar"/>
        </w:rPr>
        <w:t>156.60万</w:t>
      </w:r>
      <w:r>
        <w:rPr>
          <w:rFonts w:hint="eastAsia" w:ascii="仿宋_GB2312" w:hAnsi="Times New Roman" w:eastAsia="仿宋_GB2312" w:cs="仿宋_GB2312"/>
          <w:color w:val="000000" w:themeColor="text1"/>
          <w:sz w:val="32"/>
          <w:szCs w:val="32"/>
          <w:highlight w:val="none"/>
          <w:lang w:bidi="ar"/>
          <w14:textFill>
            <w14:solidFill>
              <w14:schemeClr w14:val="tx1"/>
            </w14:solidFill>
          </w14:textFill>
        </w:rPr>
        <w:t>元</w:t>
      </w:r>
      <w:r>
        <w:rPr>
          <w:rFonts w:hint="eastAsia" w:ascii="仿宋_GB2312" w:hAnsi="Times New Roman" w:eastAsia="仿宋_GB2312" w:cs="仿宋_GB2312"/>
          <w:sz w:val="32"/>
          <w:szCs w:val="32"/>
          <w:highlight w:val="none"/>
          <w:lang w:bidi="ar"/>
        </w:rPr>
        <w:t>，其中：车辆0台，0万元；单位价值50万元以上的通用设备0台（套）、0万元，单位价值100万元以上的专用设备0台（套）、0万元。</w:t>
      </w:r>
    </w:p>
    <w:p>
      <w:pPr>
        <w:spacing w:line="560" w:lineRule="exact"/>
        <w:ind w:firstLine="640" w:firstLineChars="200"/>
        <w:rPr>
          <w:rFonts w:ascii="仿宋_GB2312" w:hAnsi="Times New Roman" w:eastAsia="仿宋_GB2312" w:cs="仿宋_GB2312"/>
          <w:sz w:val="32"/>
          <w:szCs w:val="32"/>
          <w:highlight w:val="none"/>
          <w:lang w:bidi="ar"/>
        </w:rPr>
      </w:pPr>
      <w:r>
        <w:rPr>
          <w:rFonts w:hint="eastAsia" w:ascii="仿宋_GB2312" w:hAnsi="Times New Roman" w:eastAsia="仿宋_GB2312" w:cs="仿宋_GB2312"/>
          <w:sz w:val="32"/>
          <w:szCs w:val="32"/>
          <w:highlight w:val="none"/>
          <w:lang w:bidi="ar"/>
        </w:rPr>
        <w:t>202</w:t>
      </w:r>
      <w:r>
        <w:rPr>
          <w:rFonts w:hint="eastAsia" w:ascii="仿宋_GB2312" w:hAnsi="Times New Roman" w:eastAsia="仿宋_GB2312" w:cs="仿宋_GB2312"/>
          <w:sz w:val="32"/>
          <w:szCs w:val="32"/>
          <w:highlight w:val="none"/>
          <w:lang w:val="en-US" w:eastAsia="zh-CN" w:bidi="ar"/>
        </w:rPr>
        <w:t>4</w:t>
      </w:r>
      <w:r>
        <w:rPr>
          <w:rFonts w:hint="eastAsia" w:ascii="仿宋_GB2312" w:hAnsi="Times New Roman" w:eastAsia="仿宋_GB2312" w:cs="仿宋_GB2312"/>
          <w:sz w:val="32"/>
          <w:szCs w:val="32"/>
          <w:highlight w:val="none"/>
          <w:lang w:bidi="ar"/>
        </w:rPr>
        <w:t>年部门预算:安排购置车辆0台,0万元,安排购置单位价值50万元以上的通用设备0台(套),0万元;单位价值100万元以上的专用设备0台(套),0万元。</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六、名称解释</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“三公”经费财政拨款预算数：指本部门当年部门预算安排的因公出国（境）费用、公务接待费、公务用车购置和运行维护费预算数。</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机关运行经费：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F"/>
    <w:rsid w:val="00040841"/>
    <w:rsid w:val="000615C4"/>
    <w:rsid w:val="00074E4A"/>
    <w:rsid w:val="00094311"/>
    <w:rsid w:val="000A04A6"/>
    <w:rsid w:val="000A48CD"/>
    <w:rsid w:val="000D39F7"/>
    <w:rsid w:val="000D488E"/>
    <w:rsid w:val="00110579"/>
    <w:rsid w:val="00113A9F"/>
    <w:rsid w:val="00134F3D"/>
    <w:rsid w:val="00145122"/>
    <w:rsid w:val="00185CBC"/>
    <w:rsid w:val="001C5F5B"/>
    <w:rsid w:val="002208AF"/>
    <w:rsid w:val="002423DF"/>
    <w:rsid w:val="00265693"/>
    <w:rsid w:val="00274151"/>
    <w:rsid w:val="002C5F59"/>
    <w:rsid w:val="002D469F"/>
    <w:rsid w:val="00313B5F"/>
    <w:rsid w:val="003159C0"/>
    <w:rsid w:val="00347A67"/>
    <w:rsid w:val="00373B6E"/>
    <w:rsid w:val="0039020F"/>
    <w:rsid w:val="003F30F4"/>
    <w:rsid w:val="00421719"/>
    <w:rsid w:val="00464A9A"/>
    <w:rsid w:val="004A4035"/>
    <w:rsid w:val="004C37FA"/>
    <w:rsid w:val="00541532"/>
    <w:rsid w:val="00565A88"/>
    <w:rsid w:val="005D1049"/>
    <w:rsid w:val="005F2C78"/>
    <w:rsid w:val="005F6DAD"/>
    <w:rsid w:val="005F79A5"/>
    <w:rsid w:val="00635AAB"/>
    <w:rsid w:val="006641F3"/>
    <w:rsid w:val="006670B5"/>
    <w:rsid w:val="006A4F3B"/>
    <w:rsid w:val="006E1565"/>
    <w:rsid w:val="007119A7"/>
    <w:rsid w:val="007565F7"/>
    <w:rsid w:val="007806A7"/>
    <w:rsid w:val="007B07B4"/>
    <w:rsid w:val="007C41F3"/>
    <w:rsid w:val="007E74A2"/>
    <w:rsid w:val="00801568"/>
    <w:rsid w:val="0082330B"/>
    <w:rsid w:val="00877FCC"/>
    <w:rsid w:val="0088517B"/>
    <w:rsid w:val="00923181"/>
    <w:rsid w:val="00A81815"/>
    <w:rsid w:val="00A93F77"/>
    <w:rsid w:val="00B20AF5"/>
    <w:rsid w:val="00B42F58"/>
    <w:rsid w:val="00B8697D"/>
    <w:rsid w:val="00B963FC"/>
    <w:rsid w:val="00BB512A"/>
    <w:rsid w:val="00C17BA7"/>
    <w:rsid w:val="00C25256"/>
    <w:rsid w:val="00C40F1F"/>
    <w:rsid w:val="00CD6E3E"/>
    <w:rsid w:val="00CD75B2"/>
    <w:rsid w:val="00D066F4"/>
    <w:rsid w:val="00D131CF"/>
    <w:rsid w:val="00D73AA5"/>
    <w:rsid w:val="00D825DB"/>
    <w:rsid w:val="00DC40EC"/>
    <w:rsid w:val="00DD511A"/>
    <w:rsid w:val="00DF4C2F"/>
    <w:rsid w:val="00DF5294"/>
    <w:rsid w:val="00E0230D"/>
    <w:rsid w:val="00E7367D"/>
    <w:rsid w:val="00EE3602"/>
    <w:rsid w:val="00EE3A05"/>
    <w:rsid w:val="00F017E7"/>
    <w:rsid w:val="00F3088F"/>
    <w:rsid w:val="00F32096"/>
    <w:rsid w:val="00F428B9"/>
    <w:rsid w:val="00F4774D"/>
    <w:rsid w:val="00FA652B"/>
    <w:rsid w:val="00FB211E"/>
    <w:rsid w:val="00FF3BB8"/>
    <w:rsid w:val="01FA716B"/>
    <w:rsid w:val="0333446E"/>
    <w:rsid w:val="04332EAE"/>
    <w:rsid w:val="04617B3E"/>
    <w:rsid w:val="05B1170B"/>
    <w:rsid w:val="05BA05AE"/>
    <w:rsid w:val="06E3788A"/>
    <w:rsid w:val="06F402FE"/>
    <w:rsid w:val="07170822"/>
    <w:rsid w:val="07E94AFB"/>
    <w:rsid w:val="08125AFE"/>
    <w:rsid w:val="08AB5C24"/>
    <w:rsid w:val="08C36ED2"/>
    <w:rsid w:val="09EB4232"/>
    <w:rsid w:val="0A151D9E"/>
    <w:rsid w:val="0A1D760F"/>
    <w:rsid w:val="0A260888"/>
    <w:rsid w:val="0A4E53E6"/>
    <w:rsid w:val="0C2A0EB2"/>
    <w:rsid w:val="0DBE3791"/>
    <w:rsid w:val="0EBA6745"/>
    <w:rsid w:val="0ED20EC1"/>
    <w:rsid w:val="10071930"/>
    <w:rsid w:val="121E1A0C"/>
    <w:rsid w:val="12345DEA"/>
    <w:rsid w:val="12B07359"/>
    <w:rsid w:val="12F04C70"/>
    <w:rsid w:val="13EB3F0D"/>
    <w:rsid w:val="13FA46A0"/>
    <w:rsid w:val="144B21FE"/>
    <w:rsid w:val="148D442E"/>
    <w:rsid w:val="15356EDE"/>
    <w:rsid w:val="15684223"/>
    <w:rsid w:val="167E493C"/>
    <w:rsid w:val="16D22D62"/>
    <w:rsid w:val="175B6BDE"/>
    <w:rsid w:val="18401E55"/>
    <w:rsid w:val="189870D1"/>
    <w:rsid w:val="1A457F4A"/>
    <w:rsid w:val="1A66697B"/>
    <w:rsid w:val="1A9153F1"/>
    <w:rsid w:val="1AA11F72"/>
    <w:rsid w:val="1AAB5BF2"/>
    <w:rsid w:val="1AF95A42"/>
    <w:rsid w:val="1BA27067"/>
    <w:rsid w:val="1BDF7B74"/>
    <w:rsid w:val="1BFA5FE5"/>
    <w:rsid w:val="1CCD62CA"/>
    <w:rsid w:val="1DE00C15"/>
    <w:rsid w:val="1EFF2C9F"/>
    <w:rsid w:val="1F2662C9"/>
    <w:rsid w:val="1FCE2A33"/>
    <w:rsid w:val="21481E61"/>
    <w:rsid w:val="224834CE"/>
    <w:rsid w:val="225538DE"/>
    <w:rsid w:val="22AB6326"/>
    <w:rsid w:val="238D132B"/>
    <w:rsid w:val="23973918"/>
    <w:rsid w:val="2466265A"/>
    <w:rsid w:val="2510487F"/>
    <w:rsid w:val="25526192"/>
    <w:rsid w:val="2572041D"/>
    <w:rsid w:val="25AD74AE"/>
    <w:rsid w:val="26771131"/>
    <w:rsid w:val="26A32100"/>
    <w:rsid w:val="270D33B5"/>
    <w:rsid w:val="27115366"/>
    <w:rsid w:val="28E8751B"/>
    <w:rsid w:val="29145335"/>
    <w:rsid w:val="29545DC1"/>
    <w:rsid w:val="29CD66F9"/>
    <w:rsid w:val="2A4C3240"/>
    <w:rsid w:val="2B454A2F"/>
    <w:rsid w:val="2BBC39B2"/>
    <w:rsid w:val="2BF332FB"/>
    <w:rsid w:val="2C362DA3"/>
    <w:rsid w:val="2DC3254E"/>
    <w:rsid w:val="2DCC0DD4"/>
    <w:rsid w:val="2DE07532"/>
    <w:rsid w:val="2F010B98"/>
    <w:rsid w:val="2F1154A1"/>
    <w:rsid w:val="2FCD4A45"/>
    <w:rsid w:val="30BD58A8"/>
    <w:rsid w:val="3172713B"/>
    <w:rsid w:val="31D73BE1"/>
    <w:rsid w:val="324A6390"/>
    <w:rsid w:val="32A922FC"/>
    <w:rsid w:val="33012339"/>
    <w:rsid w:val="33024E84"/>
    <w:rsid w:val="338431FF"/>
    <w:rsid w:val="346F4F57"/>
    <w:rsid w:val="34790F07"/>
    <w:rsid w:val="3746470E"/>
    <w:rsid w:val="37A11048"/>
    <w:rsid w:val="385F25F5"/>
    <w:rsid w:val="38A8391E"/>
    <w:rsid w:val="3A5E1222"/>
    <w:rsid w:val="3ABC59F1"/>
    <w:rsid w:val="3AFE103B"/>
    <w:rsid w:val="3BF272DC"/>
    <w:rsid w:val="3C39796B"/>
    <w:rsid w:val="3C8375CB"/>
    <w:rsid w:val="3CE6163A"/>
    <w:rsid w:val="3E005DAD"/>
    <w:rsid w:val="3E483B16"/>
    <w:rsid w:val="3FE47C90"/>
    <w:rsid w:val="400D6B52"/>
    <w:rsid w:val="412466C1"/>
    <w:rsid w:val="41566B5E"/>
    <w:rsid w:val="418D5FCD"/>
    <w:rsid w:val="4244083E"/>
    <w:rsid w:val="43F83E55"/>
    <w:rsid w:val="44483C7A"/>
    <w:rsid w:val="44F01255"/>
    <w:rsid w:val="4559067B"/>
    <w:rsid w:val="46075E02"/>
    <w:rsid w:val="46DF68A7"/>
    <w:rsid w:val="473321DA"/>
    <w:rsid w:val="49610C0B"/>
    <w:rsid w:val="4A236198"/>
    <w:rsid w:val="4A5D680E"/>
    <w:rsid w:val="4BBE4AB2"/>
    <w:rsid w:val="4BCD5DE2"/>
    <w:rsid w:val="4C774D0A"/>
    <w:rsid w:val="4CDB0BE9"/>
    <w:rsid w:val="4DC52623"/>
    <w:rsid w:val="511C6CC4"/>
    <w:rsid w:val="518276CA"/>
    <w:rsid w:val="52CD6FE1"/>
    <w:rsid w:val="53D52C8F"/>
    <w:rsid w:val="53ED0E0B"/>
    <w:rsid w:val="542358DB"/>
    <w:rsid w:val="550C11CF"/>
    <w:rsid w:val="561E4EC3"/>
    <w:rsid w:val="56AB633F"/>
    <w:rsid w:val="57753B01"/>
    <w:rsid w:val="57D76E36"/>
    <w:rsid w:val="588D19F9"/>
    <w:rsid w:val="5BB1282B"/>
    <w:rsid w:val="5BB24811"/>
    <w:rsid w:val="5C3F04B3"/>
    <w:rsid w:val="5CA01820"/>
    <w:rsid w:val="5CDD2714"/>
    <w:rsid w:val="5CF9171A"/>
    <w:rsid w:val="5D1F2BD0"/>
    <w:rsid w:val="5DC44E76"/>
    <w:rsid w:val="5DD1079A"/>
    <w:rsid w:val="5E310711"/>
    <w:rsid w:val="5E9B5A79"/>
    <w:rsid w:val="5F470F6B"/>
    <w:rsid w:val="609350AE"/>
    <w:rsid w:val="617D391A"/>
    <w:rsid w:val="61884D96"/>
    <w:rsid w:val="61AD250C"/>
    <w:rsid w:val="63944C42"/>
    <w:rsid w:val="641B4A5E"/>
    <w:rsid w:val="6470506E"/>
    <w:rsid w:val="65094037"/>
    <w:rsid w:val="65922452"/>
    <w:rsid w:val="663B2C0F"/>
    <w:rsid w:val="6B575739"/>
    <w:rsid w:val="6CAC6E42"/>
    <w:rsid w:val="6D2779F3"/>
    <w:rsid w:val="6DED2176"/>
    <w:rsid w:val="6EBA0E95"/>
    <w:rsid w:val="6F020A65"/>
    <w:rsid w:val="6FBA21AC"/>
    <w:rsid w:val="70730846"/>
    <w:rsid w:val="708C01CA"/>
    <w:rsid w:val="71662EF0"/>
    <w:rsid w:val="745B7027"/>
    <w:rsid w:val="75C626B1"/>
    <w:rsid w:val="761525CC"/>
    <w:rsid w:val="763D2D28"/>
    <w:rsid w:val="781F0119"/>
    <w:rsid w:val="783A5130"/>
    <w:rsid w:val="783C0947"/>
    <w:rsid w:val="790F2186"/>
    <w:rsid w:val="7B047249"/>
    <w:rsid w:val="7B604504"/>
    <w:rsid w:val="7CA14379"/>
    <w:rsid w:val="7D8C074B"/>
    <w:rsid w:val="7DDC5094"/>
    <w:rsid w:val="7DE62119"/>
    <w:rsid w:val="7E2B2AE3"/>
    <w:rsid w:val="7EC0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my正文"/>
    <w:basedOn w:val="1"/>
    <w:qFormat/>
    <w:uiPriority w:val="0"/>
    <w:pPr>
      <w:spacing w:line="360" w:lineRule="auto"/>
      <w:ind w:firstLine="480" w:firstLineChars="200"/>
    </w:pPr>
    <w:rPr>
      <w:sz w:val="24"/>
      <w:lang w:val="zh-CN"/>
    </w:rPr>
  </w:style>
  <w:style w:type="paragraph" w:customStyle="1" w:styleId="6">
    <w:name w:val="Char Char Char1 Char Char Char Char"/>
    <w:basedOn w:val="1"/>
    <w:qFormat/>
    <w:uiPriority w:val="0"/>
    <w:rPr>
      <w:rFonts w:ascii="Tahoma" w:hAnsi="Tahoma" w:eastAsia="宋体" w:cs="Times New Roman"/>
      <w:sz w:val="24"/>
      <w:szCs w:val="20"/>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6C9DA-A9D4-4860-9C62-E3659CBC60DB}">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11141</Words>
  <Characters>7725</Characters>
  <Lines>64</Lines>
  <Paragraphs>37</Paragraphs>
  <TotalTime>9</TotalTime>
  <ScaleCrop>false</ScaleCrop>
  <LinksUpToDate>false</LinksUpToDate>
  <CharactersWithSpaces>18829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毕然</cp:lastModifiedBy>
  <cp:lastPrinted>2023-01-31T10:53:00Z</cp:lastPrinted>
  <dcterms:modified xsi:type="dcterms:W3CDTF">2024-04-15T01:58:51Z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