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北京市丰盛中医骨伤专科医院</w:t>
      </w:r>
    </w:p>
    <w:p>
      <w:pPr>
        <w:jc w:val="center"/>
        <w:rPr>
          <w:rFonts w:ascii="方正小标宋简体" w:hAnsi="楷体" w:eastAsia="方正小标宋简体" w:cs="楷体"/>
          <w:b/>
          <w:bCs/>
          <w:sz w:val="36"/>
          <w:szCs w:val="36"/>
        </w:rPr>
      </w:pPr>
      <w:r>
        <w:rPr>
          <w:rFonts w:hint="eastAsia" w:ascii="方正小标宋简体" w:hAnsi="楷体" w:eastAsia="方正小标宋简体" w:cs="楷体"/>
          <w:b/>
          <w:bCs/>
          <w:sz w:val="36"/>
          <w:szCs w:val="36"/>
        </w:rPr>
        <w:t>2024年预算编制说明</w:t>
      </w:r>
    </w:p>
    <w:p>
      <w:pPr>
        <w:spacing w:line="560" w:lineRule="exact"/>
        <w:rPr>
          <w:rFonts w:ascii="仿宋_GB2312" w:eastAsia="仿宋_GB2312"/>
          <w:b/>
          <w:color w:val="000000"/>
          <w:sz w:val="32"/>
          <w:szCs w:val="32"/>
        </w:rPr>
      </w:pPr>
      <w:r>
        <w:rPr>
          <w:rFonts w:hint="eastAsia" w:ascii="仿宋_GB2312" w:eastAsia="仿宋_GB2312"/>
          <w:b/>
          <w:color w:val="000000"/>
          <w:sz w:val="32"/>
          <w:szCs w:val="32"/>
        </w:rPr>
        <w:t xml:space="preserve">                      目录</w:t>
      </w:r>
    </w:p>
    <w:p>
      <w:pPr>
        <w:spacing w:line="560" w:lineRule="exact"/>
        <w:ind w:firstLine="320" w:firstLineChars="100"/>
        <w:rPr>
          <w:rFonts w:ascii="仿宋_GB2312" w:eastAsia="仿宋_GB2312"/>
          <w:color w:val="000000"/>
          <w:sz w:val="32"/>
          <w:szCs w:val="32"/>
        </w:rPr>
      </w:pPr>
      <w:r>
        <w:rPr>
          <w:rFonts w:hint="eastAsia" w:ascii="仿宋_GB2312" w:eastAsia="仿宋_GB2312"/>
          <w:color w:val="000000"/>
          <w:sz w:val="32"/>
          <w:szCs w:val="32"/>
        </w:rPr>
        <w:t>第一部分</w:t>
      </w:r>
      <w:r>
        <w:rPr>
          <w:rFonts w:ascii="仿宋_GB2312" w:eastAsia="仿宋_GB2312"/>
          <w:color w:val="000000"/>
          <w:sz w:val="32"/>
          <w:szCs w:val="32"/>
        </w:rPr>
        <w:t>、</w:t>
      </w:r>
      <w:r>
        <w:rPr>
          <w:rFonts w:hint="eastAsia" w:ascii="仿宋_GB2312" w:eastAsia="仿宋_GB2312"/>
          <w:color w:val="000000"/>
          <w:sz w:val="32"/>
          <w:szCs w:val="32"/>
        </w:rPr>
        <w:t>2024年</w:t>
      </w:r>
      <w:r>
        <w:rPr>
          <w:rFonts w:ascii="仿宋_GB2312" w:eastAsia="仿宋_GB2312"/>
          <w:color w:val="000000"/>
          <w:sz w:val="32"/>
          <w:szCs w:val="32"/>
        </w:rPr>
        <w:t>部门预算情况说明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w:t>
      </w:r>
      <w:r>
        <w:rPr>
          <w:rFonts w:ascii="仿宋_GB2312" w:eastAsia="仿宋_GB2312"/>
          <w:color w:val="000000"/>
          <w:sz w:val="32"/>
          <w:szCs w:val="32"/>
        </w:rPr>
        <w:t>、</w:t>
      </w:r>
      <w:r>
        <w:rPr>
          <w:rFonts w:hint="eastAsia" w:ascii="仿宋_GB2312" w:eastAsia="仿宋_GB2312"/>
          <w:color w:val="000000"/>
          <w:sz w:val="32"/>
          <w:szCs w:val="32"/>
        </w:rPr>
        <w:t>部门主要职责及机构设置情况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（一）部门</w:t>
      </w:r>
      <w:r>
        <w:rPr>
          <w:rFonts w:ascii="仿宋_GB2312" w:eastAsia="仿宋_GB2312"/>
          <w:color w:val="000000"/>
          <w:sz w:val="32"/>
          <w:szCs w:val="32"/>
        </w:rPr>
        <w:t>机构设置、职责</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（二）人员</w:t>
      </w:r>
      <w:r>
        <w:rPr>
          <w:rFonts w:ascii="仿宋_GB2312" w:eastAsia="仿宋_GB2312"/>
          <w:color w:val="000000"/>
          <w:sz w:val="32"/>
          <w:szCs w:val="32"/>
        </w:rPr>
        <w:t>构成情况</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二</w:t>
      </w:r>
      <w:r>
        <w:rPr>
          <w:rFonts w:ascii="仿宋_GB2312" w:eastAsia="仿宋_GB2312"/>
          <w:color w:val="000000"/>
          <w:sz w:val="32"/>
          <w:szCs w:val="32"/>
        </w:rPr>
        <w:t>、</w:t>
      </w:r>
      <w:r>
        <w:rPr>
          <w:rFonts w:hint="eastAsia" w:ascii="仿宋_GB2312" w:eastAsia="仿宋_GB2312"/>
          <w:color w:val="000000"/>
          <w:sz w:val="32"/>
          <w:szCs w:val="32"/>
        </w:rPr>
        <w:t>2024年部门预算收支及增减变化情况说明</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三</w:t>
      </w:r>
      <w:r>
        <w:rPr>
          <w:rFonts w:ascii="仿宋_GB2312" w:eastAsia="仿宋_GB2312"/>
          <w:color w:val="000000"/>
          <w:sz w:val="32"/>
          <w:szCs w:val="32"/>
        </w:rPr>
        <w:t>、主要支出情况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 四、</w:t>
      </w:r>
      <w:r>
        <w:rPr>
          <w:rFonts w:ascii="仿宋_GB2312" w:eastAsia="仿宋_GB2312"/>
          <w:color w:val="000000"/>
          <w:sz w:val="32"/>
          <w:szCs w:val="32"/>
        </w:rPr>
        <w:t>部门“</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w:t>
      </w:r>
      <w:r>
        <w:rPr>
          <w:rFonts w:ascii="仿宋_GB2312" w:eastAsia="仿宋_GB2312"/>
          <w:color w:val="000000"/>
          <w:sz w:val="32"/>
          <w:szCs w:val="32"/>
        </w:rPr>
        <w:t>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经费的</w:t>
      </w:r>
      <w:r>
        <w:rPr>
          <w:rFonts w:ascii="仿宋_GB2312" w:eastAsia="仿宋_GB2312"/>
          <w:color w:val="000000"/>
          <w:sz w:val="32"/>
          <w:szCs w:val="32"/>
        </w:rPr>
        <w:t>单位</w:t>
      </w:r>
      <w:r>
        <w:rPr>
          <w:rFonts w:hint="eastAsia" w:ascii="仿宋_GB2312" w:eastAsia="仿宋_GB2312"/>
          <w:color w:val="000000"/>
          <w:sz w:val="32"/>
          <w:szCs w:val="32"/>
        </w:rPr>
        <w:t>范围</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经费预算财政</w:t>
      </w:r>
      <w:r>
        <w:rPr>
          <w:rFonts w:ascii="仿宋_GB2312" w:eastAsia="仿宋_GB2312"/>
          <w:color w:val="000000"/>
          <w:sz w:val="32"/>
          <w:szCs w:val="32"/>
        </w:rPr>
        <w:t>拨款情况</w:t>
      </w:r>
      <w:r>
        <w:rPr>
          <w:rFonts w:hint="eastAsia"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w:t>
      </w:r>
      <w:r>
        <w:rPr>
          <w:rFonts w:ascii="仿宋_GB2312" w:eastAsia="仿宋_GB2312"/>
          <w:color w:val="000000"/>
          <w:sz w:val="32"/>
          <w:szCs w:val="32"/>
        </w:rPr>
        <w:t>、其他情况说明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（一）机构运行经费</w:t>
      </w:r>
      <w:r>
        <w:rPr>
          <w:rFonts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（二）政府</w:t>
      </w:r>
      <w:r>
        <w:rPr>
          <w:rFonts w:ascii="仿宋_GB2312" w:eastAsia="仿宋_GB2312"/>
          <w:color w:val="000000"/>
          <w:sz w:val="32"/>
          <w:szCs w:val="32"/>
        </w:rPr>
        <w:t>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（三）政府购买服务</w:t>
      </w:r>
      <w:r>
        <w:rPr>
          <w:rFonts w:ascii="仿宋_GB2312" w:eastAsia="仿宋_GB2312"/>
          <w:color w:val="000000"/>
          <w:sz w:val="32"/>
          <w:szCs w:val="32"/>
        </w:rPr>
        <w:t>预算说明</w:t>
      </w:r>
    </w:p>
    <w:p>
      <w:pPr>
        <w:spacing w:line="560" w:lineRule="exact"/>
        <w:ind w:firstLine="645"/>
        <w:rPr>
          <w:rFonts w:ascii="仿宋_GB2312" w:eastAsia="仿宋_GB2312"/>
          <w:color w:val="000000"/>
          <w:sz w:val="32"/>
          <w:szCs w:val="32"/>
        </w:rPr>
      </w:pPr>
      <w:r>
        <w:rPr>
          <w:rFonts w:hint="eastAsia" w:ascii="仿宋_GB2312" w:eastAsia="仿宋_GB2312"/>
          <w:color w:val="000000"/>
          <w:sz w:val="32"/>
          <w:szCs w:val="32"/>
        </w:rPr>
        <w:t>（四）</w:t>
      </w:r>
      <w:r>
        <w:rPr>
          <w:rFonts w:ascii="仿宋_GB2312" w:eastAsia="仿宋_GB2312"/>
          <w:color w:val="000000"/>
          <w:sz w:val="32"/>
          <w:szCs w:val="32"/>
        </w:rPr>
        <w:t>绩效目标情况</w:t>
      </w:r>
      <w:r>
        <w:rPr>
          <w:rFonts w:hint="eastAsia" w:ascii="仿宋_GB2312" w:eastAsia="仿宋_GB2312"/>
          <w:color w:val="000000"/>
          <w:sz w:val="32"/>
          <w:szCs w:val="32"/>
        </w:rPr>
        <w:t>及绩效评价结果</w:t>
      </w:r>
      <w:r>
        <w:rPr>
          <w:rFonts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（五）国有</w:t>
      </w:r>
      <w:r>
        <w:rPr>
          <w:rFonts w:ascii="仿宋_GB2312" w:eastAsia="仿宋_GB2312"/>
          <w:color w:val="000000"/>
          <w:sz w:val="32"/>
          <w:szCs w:val="32"/>
        </w:rPr>
        <w:t>资本经营预算财政拨款</w:t>
      </w:r>
      <w:r>
        <w:rPr>
          <w:rFonts w:hint="eastAsia" w:ascii="仿宋_GB2312" w:eastAsia="仿宋_GB2312"/>
          <w:color w:val="000000"/>
          <w:sz w:val="32"/>
          <w:szCs w:val="32"/>
        </w:rPr>
        <w:t>情况</w:t>
      </w:r>
      <w:r>
        <w:rPr>
          <w:rFonts w:ascii="仿宋_GB2312" w:eastAsia="仿宋_GB2312"/>
          <w:color w:val="000000"/>
          <w:sz w:val="32"/>
          <w:szCs w:val="32"/>
        </w:rPr>
        <w:t>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（六）国有资产</w:t>
      </w:r>
      <w:r>
        <w:rPr>
          <w:rFonts w:ascii="仿宋_GB2312" w:eastAsia="仿宋_GB2312"/>
          <w:color w:val="000000"/>
          <w:sz w:val="32"/>
          <w:szCs w:val="32"/>
        </w:rPr>
        <w:t>占用情况说明</w:t>
      </w:r>
    </w:p>
    <w:p>
      <w:pPr>
        <w:spacing w:line="560" w:lineRule="exact"/>
        <w:ind w:firstLine="800" w:firstLineChars="250"/>
        <w:rPr>
          <w:rFonts w:ascii="仿宋_GB2312" w:eastAsia="仿宋_GB2312"/>
          <w:color w:val="000000"/>
          <w:sz w:val="32"/>
          <w:szCs w:val="32"/>
        </w:rPr>
      </w:pPr>
      <w:r>
        <w:rPr>
          <w:rFonts w:hint="eastAsia" w:ascii="仿宋_GB2312" w:eastAsia="仿宋_GB2312"/>
          <w:color w:val="000000"/>
          <w:sz w:val="32"/>
          <w:szCs w:val="32"/>
        </w:rPr>
        <w:t>六</w:t>
      </w:r>
      <w:r>
        <w:rPr>
          <w:rFonts w:ascii="仿宋_GB2312" w:eastAsia="仿宋_GB2312"/>
          <w:color w:val="000000"/>
          <w:sz w:val="32"/>
          <w:szCs w:val="32"/>
        </w:rPr>
        <w:t>、名称</w:t>
      </w:r>
      <w:r>
        <w:rPr>
          <w:rFonts w:hint="eastAsia" w:ascii="仿宋_GB2312" w:eastAsia="仿宋_GB2312"/>
          <w:color w:val="000000"/>
          <w:sz w:val="32"/>
          <w:szCs w:val="32"/>
        </w:rPr>
        <w:t>解释</w:t>
      </w:r>
    </w:p>
    <w:p>
      <w:pPr>
        <w:spacing w:line="560" w:lineRule="exact"/>
        <w:ind w:firstLine="800" w:firstLineChars="250"/>
        <w:rPr>
          <w:rFonts w:ascii="仿宋_GB2312" w:eastAsia="仿宋_GB2312"/>
          <w:color w:val="000000"/>
          <w:sz w:val="32"/>
          <w:szCs w:val="32"/>
        </w:rPr>
      </w:pPr>
    </w:p>
    <w:p>
      <w:pPr>
        <w:spacing w:line="560" w:lineRule="exact"/>
        <w:ind w:firstLine="800" w:firstLineChars="250"/>
        <w:rPr>
          <w:rFonts w:ascii="仿宋_GB2312" w:eastAsia="仿宋_GB2312"/>
          <w:color w:val="000000"/>
          <w:sz w:val="32"/>
          <w:szCs w:val="32"/>
        </w:rPr>
      </w:pPr>
    </w:p>
    <w:p>
      <w:pPr>
        <w:spacing w:line="560" w:lineRule="exact"/>
        <w:ind w:firstLine="800" w:firstLineChars="250"/>
        <w:rPr>
          <w:rFonts w:ascii="仿宋_GB2312" w:eastAsia="仿宋_GB2312"/>
          <w:color w:val="000000"/>
          <w:sz w:val="32"/>
          <w:szCs w:val="32"/>
        </w:rPr>
      </w:pPr>
    </w:p>
    <w:p>
      <w:pPr>
        <w:spacing w:line="560" w:lineRule="exact"/>
        <w:ind w:firstLine="800" w:firstLineChars="250"/>
        <w:rPr>
          <w:rFonts w:ascii="仿宋_GB2312" w:eastAsia="仿宋_GB2312"/>
          <w:color w:val="000000"/>
          <w:sz w:val="32"/>
          <w:szCs w:val="32"/>
        </w:rPr>
      </w:pPr>
    </w:p>
    <w:p>
      <w:pPr>
        <w:spacing w:line="560" w:lineRule="exact"/>
        <w:ind w:firstLine="320" w:firstLineChars="100"/>
        <w:rPr>
          <w:rFonts w:ascii="仿宋_GB2312" w:eastAsia="仿宋_GB2312"/>
          <w:color w:val="000000"/>
          <w:sz w:val="32"/>
          <w:szCs w:val="32"/>
        </w:rPr>
      </w:pPr>
      <w:r>
        <w:rPr>
          <w:rFonts w:hint="eastAsia" w:ascii="仿宋_GB2312" w:eastAsia="仿宋_GB2312"/>
          <w:color w:val="000000"/>
          <w:sz w:val="32"/>
          <w:szCs w:val="32"/>
        </w:rPr>
        <w:t>第二部分</w:t>
      </w:r>
      <w:r>
        <w:rPr>
          <w:rFonts w:ascii="仿宋_GB2312" w:eastAsia="仿宋_GB2312"/>
          <w:color w:val="000000"/>
          <w:sz w:val="32"/>
          <w:szCs w:val="32"/>
        </w:rPr>
        <w:t>、</w:t>
      </w:r>
      <w:r>
        <w:rPr>
          <w:rFonts w:hint="eastAsia" w:ascii="仿宋_GB2312" w:eastAsia="仿宋_GB2312"/>
          <w:color w:val="000000"/>
          <w:sz w:val="32"/>
          <w:szCs w:val="32"/>
        </w:rPr>
        <w:t>2024年</w:t>
      </w:r>
      <w:r>
        <w:rPr>
          <w:rFonts w:ascii="仿宋_GB2312" w:eastAsia="仿宋_GB2312"/>
          <w:color w:val="000000"/>
          <w:sz w:val="32"/>
          <w:szCs w:val="32"/>
        </w:rPr>
        <w:t>部门预算</w:t>
      </w:r>
      <w:r>
        <w:rPr>
          <w:rFonts w:hint="eastAsia" w:ascii="仿宋_GB2312" w:eastAsia="仿宋_GB2312"/>
          <w:color w:val="000000"/>
          <w:sz w:val="32"/>
          <w:szCs w:val="32"/>
        </w:rPr>
        <w:t>表</w:t>
      </w:r>
    </w:p>
    <w:p>
      <w:pPr>
        <w:autoSpaceDE w:val="0"/>
        <w:autoSpaceDN w:val="0"/>
        <w:adjustRightInd w:val="0"/>
        <w:spacing w:line="560" w:lineRule="exact"/>
        <w:ind w:firstLine="800" w:firstLineChars="25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表一、部门收支总体情况表 </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表二、部门收入总体情况表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表三、部门支出总体情况表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表四、项目支出表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表五、财政拨款收支总体情况表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表六、一般公共预算支出情况表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表七、一般公共预算基本支出情况表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表八、政府性基金预算支出情况表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表九、国有资本经营预算财政拨款支出表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表十、一般公共预算“三公”经费支出情况表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表十一、政府购买服务预算表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表十二、上级转移支付细化明细表</w:t>
      </w:r>
    </w:p>
    <w:p>
      <w:pPr>
        <w:autoSpaceDE w:val="0"/>
        <w:autoSpaceDN w:val="0"/>
        <w:adjustRightInd w:val="0"/>
        <w:spacing w:line="560" w:lineRule="exact"/>
        <w:ind w:firstLine="800" w:firstLineChars="250"/>
        <w:jc w:val="left"/>
        <w:rPr>
          <w:rFonts w:ascii="仿宋_GB2312" w:eastAsia="仿宋_GB2312"/>
          <w:sz w:val="32"/>
          <w:szCs w:val="32"/>
        </w:rPr>
      </w:pPr>
      <w:r>
        <w:rPr>
          <w:rFonts w:hint="eastAsia" w:ascii="仿宋_GB2312" w:eastAsia="仿宋_GB2312"/>
          <w:sz w:val="32"/>
          <w:szCs w:val="32"/>
        </w:rPr>
        <w:t>表十三、项目支出绩效目标申报表</w:t>
      </w:r>
    </w:p>
    <w:p>
      <w:pPr>
        <w:autoSpaceDE w:val="0"/>
        <w:autoSpaceDN w:val="0"/>
        <w:adjustRightInd w:val="0"/>
        <w:spacing w:line="560" w:lineRule="exact"/>
        <w:ind w:firstLine="800" w:firstLineChars="250"/>
        <w:jc w:val="left"/>
        <w:rPr>
          <w:rFonts w:ascii="仿宋_GB2312" w:eastAsia="仿宋_GB2312"/>
          <w:sz w:val="32"/>
          <w:szCs w:val="32"/>
        </w:rPr>
      </w:pPr>
    </w:p>
    <w:p/>
    <w:p/>
    <w:p/>
    <w:p/>
    <w:p/>
    <w:p/>
    <w:p/>
    <w:p/>
    <w:p/>
    <w:p/>
    <w:p/>
    <w:p/>
    <w:p/>
    <w:p/>
    <w:p/>
    <w:p/>
    <w:p/>
    <w:p>
      <w:pPr>
        <w:spacing w:line="560" w:lineRule="exact"/>
        <w:jc w:val="center"/>
        <w:rPr>
          <w:rFonts w:ascii="黑体" w:hAnsi="黑体" w:eastAsia="黑体"/>
          <w:b/>
          <w:color w:val="000000"/>
          <w:sz w:val="32"/>
          <w:szCs w:val="32"/>
        </w:rPr>
      </w:pPr>
      <w:r>
        <w:rPr>
          <w:rFonts w:hint="eastAsia" w:ascii="黑体" w:hAnsi="黑体" w:eastAsia="黑体"/>
          <w:b/>
          <w:color w:val="000000"/>
          <w:sz w:val="32"/>
          <w:szCs w:val="32"/>
        </w:rPr>
        <w:t>第一部分</w:t>
      </w:r>
      <w:r>
        <w:rPr>
          <w:rFonts w:ascii="黑体" w:hAnsi="黑体" w:eastAsia="黑体"/>
          <w:b/>
          <w:color w:val="000000"/>
          <w:sz w:val="32"/>
          <w:szCs w:val="32"/>
        </w:rPr>
        <w:t>、</w:t>
      </w:r>
      <w:r>
        <w:rPr>
          <w:rFonts w:hint="eastAsia" w:ascii="黑体" w:hAnsi="黑体" w:eastAsia="黑体"/>
          <w:b/>
          <w:color w:val="000000"/>
          <w:sz w:val="32"/>
          <w:szCs w:val="32"/>
        </w:rPr>
        <w:t>2024年度</w:t>
      </w:r>
      <w:r>
        <w:rPr>
          <w:rFonts w:ascii="黑体" w:hAnsi="黑体" w:eastAsia="黑体"/>
          <w:b/>
          <w:color w:val="000000"/>
          <w:sz w:val="32"/>
          <w:szCs w:val="32"/>
        </w:rPr>
        <w:t>部门预算情况说明</w:t>
      </w:r>
    </w:p>
    <w:p>
      <w:pPr>
        <w:spacing w:line="560" w:lineRule="exact"/>
        <w:jc w:val="center"/>
        <w:rPr>
          <w:rFonts w:ascii="黑体" w:hAnsi="黑体" w:eastAsia="黑体"/>
          <w:b/>
          <w:color w:val="000000"/>
          <w:sz w:val="32"/>
          <w:szCs w:val="32"/>
        </w:rPr>
      </w:pPr>
    </w:p>
    <w:p>
      <w:pPr>
        <w:spacing w:line="520" w:lineRule="exact"/>
        <w:ind w:firstLine="643" w:firstLineChars="200"/>
        <w:outlineLvl w:val="0"/>
        <w:rPr>
          <w:rFonts w:ascii="仿宋" w:hAnsi="仿宋" w:eastAsia="仿宋"/>
          <w:b/>
          <w:sz w:val="32"/>
          <w:szCs w:val="32"/>
        </w:rPr>
      </w:pPr>
      <w:r>
        <w:rPr>
          <w:rFonts w:hint="eastAsia" w:ascii="仿宋" w:hAnsi="仿宋" w:eastAsia="仿宋" w:cs="黑体"/>
          <w:b/>
          <w:sz w:val="32"/>
          <w:szCs w:val="32"/>
        </w:rPr>
        <w:t>一、部门主要职责及机构设置情况</w:t>
      </w:r>
    </w:p>
    <w:p>
      <w:pPr>
        <w:spacing w:line="520" w:lineRule="exact"/>
        <w:ind w:firstLine="708" w:firstLineChars="235"/>
        <w:rPr>
          <w:rFonts w:ascii="仿宋" w:hAnsi="仿宋" w:eastAsia="仿宋" w:cs="宋体"/>
          <w:b/>
          <w:bCs/>
          <w:sz w:val="30"/>
          <w:szCs w:val="30"/>
        </w:rPr>
      </w:pPr>
      <w:r>
        <w:rPr>
          <w:rFonts w:hint="eastAsia" w:ascii="仿宋" w:hAnsi="仿宋" w:eastAsia="仿宋" w:cs="宋体"/>
          <w:b/>
          <w:bCs/>
          <w:sz w:val="30"/>
          <w:szCs w:val="30"/>
        </w:rPr>
        <w:t>（一）部门机构设置、职责</w:t>
      </w:r>
    </w:p>
    <w:p>
      <w:pPr>
        <w:snapToGrid w:val="0"/>
        <w:spacing w:line="520" w:lineRule="exact"/>
        <w:ind w:firstLine="640" w:firstLineChars="200"/>
        <w:rPr>
          <w:rFonts w:ascii="仿宋" w:hAnsi="仿宋" w:eastAsia="仿宋" w:cs="楷体_GB2312"/>
          <w:b/>
          <w:bCs/>
          <w:sz w:val="32"/>
          <w:szCs w:val="32"/>
        </w:rPr>
      </w:pPr>
      <w:r>
        <w:rPr>
          <w:rFonts w:hint="eastAsia" w:ascii="仿宋" w:hAnsi="仿宋" w:eastAsia="仿宋" w:cs="仿宋"/>
          <w:bCs/>
          <w:kern w:val="0"/>
          <w:sz w:val="32"/>
          <w:szCs w:val="32"/>
        </w:rPr>
        <w:t>北京市丰盛中医骨伤专科医院</w:t>
      </w:r>
      <w:r>
        <w:rPr>
          <w:rFonts w:hint="eastAsia" w:ascii="仿宋" w:hAnsi="仿宋" w:eastAsia="仿宋" w:cs="仿宋"/>
          <w:sz w:val="32"/>
          <w:szCs w:val="32"/>
        </w:rPr>
        <w:t>是一所中医为主中西医结合治疗骨伤疾病的二级甲等专科医院，设有骨伤科、创伤科、脊柱关节科、推拿科、疼痛科等骨伤专业科室，同时医院还设有皮肤科、内科、外科等专业门诊科室，以及检验、放射、B超、药技等医技科室，并设三个住院病区，开放床位100张。丰盛医院在西城区卫健委及北京市中医局的指导下，在院长及院领导班子的正确领导下，我院不断加强医院内涵建设，完善量化绩效考核体系，提高骨伤专科的服务质量、充分发挥中医药特色优势，使医院整体经济效益与社会效益逐渐提升。</w:t>
      </w:r>
    </w:p>
    <w:p>
      <w:pPr>
        <w:spacing w:line="520" w:lineRule="exact"/>
        <w:ind w:firstLine="626" w:firstLineChars="195"/>
        <w:rPr>
          <w:rFonts w:ascii="仿宋" w:hAnsi="仿宋" w:eastAsia="仿宋" w:cs="仿宋"/>
          <w:b/>
          <w:bCs/>
          <w:sz w:val="32"/>
          <w:szCs w:val="32"/>
        </w:rPr>
      </w:pPr>
      <w:r>
        <w:rPr>
          <w:rFonts w:hint="eastAsia" w:ascii="仿宋" w:hAnsi="仿宋" w:eastAsia="仿宋" w:cs="仿宋"/>
          <w:b/>
          <w:bCs/>
          <w:sz w:val="32"/>
          <w:szCs w:val="32"/>
        </w:rPr>
        <w:t>（二）人员构成情况</w:t>
      </w:r>
    </w:p>
    <w:p>
      <w:pPr>
        <w:spacing w:line="520" w:lineRule="exact"/>
        <w:ind w:firstLine="640" w:firstLineChars="200"/>
        <w:rPr>
          <w:rFonts w:ascii="仿宋" w:hAnsi="仿宋" w:eastAsia="仿宋" w:cs="仿宋"/>
          <w:sz w:val="32"/>
          <w:szCs w:val="32"/>
        </w:rPr>
      </w:pPr>
      <w:r>
        <w:rPr>
          <w:rFonts w:hint="eastAsia" w:ascii="宋体" w:hAnsi="宋体" w:cs="宋体"/>
          <w:sz w:val="32"/>
          <w:szCs w:val="32"/>
        </w:rPr>
        <w:t>北</w:t>
      </w:r>
      <w:r>
        <w:rPr>
          <w:rFonts w:hint="eastAsia" w:ascii="仿宋" w:hAnsi="仿宋" w:eastAsia="仿宋" w:cs="仿宋"/>
          <w:sz w:val="32"/>
          <w:szCs w:val="32"/>
        </w:rPr>
        <w:t>京市丰盛中医骨伤专科医院，行政编制0人;事业编制213人；工勤编制0名；实际176人；长期聘用临时工10</w:t>
      </w:r>
      <w:r>
        <w:rPr>
          <w:rFonts w:hint="eastAsia" w:ascii="仿宋" w:hAnsi="仿宋" w:eastAsia="仿宋" w:cs="仿宋"/>
          <w:sz w:val="32"/>
          <w:szCs w:val="32"/>
          <w:lang w:val="en-US" w:eastAsia="zh-CN"/>
        </w:rPr>
        <w:t>4</w:t>
      </w:r>
      <w:r>
        <w:rPr>
          <w:rFonts w:hint="eastAsia" w:ascii="仿宋" w:hAnsi="仿宋" w:eastAsia="仿宋" w:cs="仿宋"/>
          <w:sz w:val="32"/>
          <w:szCs w:val="32"/>
        </w:rPr>
        <w:t>人。离退休人员1</w:t>
      </w:r>
      <w:r>
        <w:rPr>
          <w:rFonts w:hint="eastAsia" w:ascii="仿宋" w:hAnsi="仿宋" w:eastAsia="仿宋" w:cs="仿宋"/>
          <w:sz w:val="32"/>
          <w:szCs w:val="32"/>
          <w:lang w:val="en-US" w:eastAsia="zh-CN"/>
        </w:rPr>
        <w:t>64</w:t>
      </w:r>
      <w:r>
        <w:rPr>
          <w:rFonts w:hint="eastAsia" w:ascii="仿宋" w:hAnsi="仿宋" w:eastAsia="仿宋" w:cs="仿宋"/>
          <w:sz w:val="32"/>
          <w:szCs w:val="32"/>
        </w:rPr>
        <w:t>人，其中：离休0人，退休1</w:t>
      </w:r>
      <w:r>
        <w:rPr>
          <w:rFonts w:hint="eastAsia" w:ascii="仿宋" w:hAnsi="仿宋" w:eastAsia="仿宋" w:cs="仿宋"/>
          <w:sz w:val="32"/>
          <w:szCs w:val="32"/>
          <w:lang w:val="en-US" w:eastAsia="zh-CN"/>
        </w:rPr>
        <w:t>64</w:t>
      </w:r>
      <w:bookmarkStart w:id="0" w:name="_GoBack"/>
      <w:bookmarkEnd w:id="0"/>
      <w:r>
        <w:rPr>
          <w:rFonts w:hint="eastAsia" w:ascii="仿宋" w:hAnsi="仿宋" w:eastAsia="仿宋" w:cs="仿宋"/>
          <w:sz w:val="32"/>
          <w:szCs w:val="32"/>
        </w:rPr>
        <w:t>人。</w:t>
      </w:r>
    </w:p>
    <w:p>
      <w:pPr>
        <w:spacing w:line="56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二、2024年部门预算收支及增减变化情况说明</w:t>
      </w:r>
    </w:p>
    <w:p>
      <w:pPr>
        <w:spacing w:line="560" w:lineRule="exact"/>
        <w:ind w:firstLine="643" w:firstLineChars="200"/>
        <w:outlineLvl w:val="0"/>
        <w:rPr>
          <w:rFonts w:ascii="仿宋" w:hAnsi="仿宋" w:eastAsia="仿宋"/>
          <w:b/>
          <w:sz w:val="32"/>
          <w:szCs w:val="32"/>
        </w:rPr>
      </w:pPr>
      <w:r>
        <w:rPr>
          <w:rFonts w:hint="eastAsia" w:ascii="仿宋" w:hAnsi="仿宋" w:eastAsia="仿宋" w:cs="黑体"/>
          <w:b/>
          <w:sz w:val="32"/>
          <w:szCs w:val="32"/>
        </w:rPr>
        <w:t>（一）收入预算说明</w:t>
      </w:r>
      <w:r>
        <w:rPr>
          <w:rFonts w:hint="eastAsia" w:ascii="仿宋" w:hAnsi="仿宋" w:eastAsia="仿宋" w:cs="黑体"/>
          <w:b/>
          <w:sz w:val="32"/>
          <w:szCs w:val="32"/>
        </w:rPr>
        <w:tab/>
      </w:r>
    </w:p>
    <w:p>
      <w:pPr>
        <w:spacing w:line="520" w:lineRule="exact"/>
        <w:ind w:firstLine="640" w:firstLineChars="200"/>
        <w:rPr>
          <w:rFonts w:ascii="仿宋" w:hAnsi="仿宋" w:eastAsia="仿宋"/>
          <w:sz w:val="32"/>
          <w:szCs w:val="32"/>
        </w:rPr>
      </w:pPr>
      <w:r>
        <w:rPr>
          <w:rFonts w:hint="eastAsia" w:ascii="仿宋" w:hAnsi="仿宋" w:eastAsia="仿宋" w:cs="仿宋"/>
          <w:sz w:val="32"/>
          <w:szCs w:val="32"/>
        </w:rPr>
        <w:t>2024年北京市丰盛中医骨伤专科医院总收入安排264,520,035.64元。其中：一般公共预算拨款收入25,926,887.39元，财政专户资金安排0.00元，其他资金安排 238,593,148.25 元。2024年收入预算比2023年211,128,007.31元增加 53,392,028.33 元，增幅25.29%。原因：随着医改持续深入，医院合理布局门急诊及出入院诊疗流程、不断提升专科诊疗特色、强化服务意识，医院诊疗人次及相应的医疗收入均有较高提升空间。</w:t>
      </w:r>
    </w:p>
    <w:p>
      <w:pPr>
        <w:spacing w:line="560" w:lineRule="exact"/>
        <w:ind w:firstLine="643" w:firstLineChars="200"/>
        <w:rPr>
          <w:rFonts w:ascii="仿宋" w:hAnsi="仿宋" w:eastAsia="仿宋"/>
          <w:b/>
          <w:sz w:val="32"/>
          <w:szCs w:val="32"/>
        </w:rPr>
      </w:pPr>
      <w:r>
        <w:rPr>
          <w:rFonts w:hint="eastAsia" w:ascii="仿宋" w:hAnsi="仿宋" w:eastAsia="仿宋" w:cs="黑体"/>
          <w:b/>
          <w:sz w:val="32"/>
          <w:szCs w:val="32"/>
        </w:rPr>
        <w:t>（二）支出预算说明</w:t>
      </w:r>
    </w:p>
    <w:p>
      <w:pPr>
        <w:spacing w:line="560" w:lineRule="exact"/>
        <w:ind w:firstLine="640" w:firstLineChars="200"/>
        <w:rPr>
          <w:rFonts w:ascii="仿宋" w:hAnsi="仿宋" w:eastAsia="仿宋" w:cs="仿宋"/>
          <w:sz w:val="32"/>
          <w:szCs w:val="32"/>
        </w:rPr>
      </w:pPr>
      <w:r>
        <w:rPr>
          <w:rFonts w:hint="eastAsia" w:ascii="仿宋" w:hAnsi="仿宋" w:eastAsia="仿宋"/>
          <w:sz w:val="32"/>
          <w:szCs w:val="32"/>
        </w:rPr>
        <w:t>2024年支出预算</w:t>
      </w:r>
      <w:r>
        <w:rPr>
          <w:rFonts w:hint="eastAsia" w:ascii="仿宋" w:hAnsi="仿宋" w:eastAsia="仿宋" w:cs="仿宋"/>
          <w:sz w:val="32"/>
          <w:szCs w:val="32"/>
        </w:rPr>
        <w:t>264,520,035.64</w:t>
      </w:r>
      <w:r>
        <w:rPr>
          <w:rFonts w:hint="eastAsia" w:ascii="仿宋" w:hAnsi="仿宋" w:eastAsia="仿宋"/>
          <w:sz w:val="32"/>
          <w:szCs w:val="32"/>
        </w:rPr>
        <w:t>元，其中：预算内资金安排25,926,887.39元（包括提前下达专项转移支付项目-京财社指[2023]1789号-市对区转移支付促进基层中医药传</w:t>
      </w:r>
      <w:r>
        <w:rPr>
          <w:rFonts w:hint="eastAsia" w:ascii="仿宋" w:hAnsi="仿宋" w:eastAsia="仿宋" w:cs="仿宋"/>
          <w:sz w:val="32"/>
          <w:szCs w:val="32"/>
        </w:rPr>
        <w:t>承创新发展经费（丰盛医院）资金30,000.00元），比2023年29,462,627.23元减少了3,535,739.84 元，减幅12%。基本支出增加326,163.64 元，项目支出减少3,861,903.48  元。财政专户资金安排0.00元，与2023年持平；其他资金安排 238,593,148.25 元，比2023年预算181,110,058.08元增加57,483,090.17元，增幅31.74%。主要原因：1，医疗预算收入的提升,导致相应的药品费及各类耗材成本预算增加；2，医院绩效考核完成率提升，增加人员成本预算开支。</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三、主要支出情况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2024年支出预算</w:t>
      </w:r>
      <w:r>
        <w:rPr>
          <w:rFonts w:hint="eastAsia" w:ascii="仿宋" w:hAnsi="仿宋" w:eastAsia="仿宋" w:cs="仿宋"/>
          <w:sz w:val="32"/>
          <w:szCs w:val="32"/>
        </w:rPr>
        <w:t>264,520,035.64</w:t>
      </w:r>
      <w:r>
        <w:rPr>
          <w:rFonts w:hint="eastAsia" w:ascii="仿宋" w:hAnsi="仿宋" w:eastAsia="仿宋"/>
          <w:sz w:val="32"/>
          <w:szCs w:val="32"/>
        </w:rPr>
        <w:t>元，按用途划分：</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1.基本支出预算234,979,845.17元，其中财政拨款基本支出18,857,917.40元。主要包括在职、离退休人员支出、公用支出。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2.项目支出预算29,540,190.47元，其中财政拨款项目支出7,068,969.99元。</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主要项目是①丰盛医院中医绩效考核项目；②丰盛医院小型修缮补助项目；③丰盛医院病案转移保存数字化项目；④京财社指[2023]1789号-市对区转移支付促进基层中医药传承创新发展经费（丰盛医院）项目；</w:t>
      </w:r>
      <w:r>
        <w:rPr>
          <w:rFonts w:ascii="仿宋" w:hAnsi="仿宋" w:eastAsia="仿宋"/>
          <w:sz w:val="32"/>
          <w:szCs w:val="32"/>
        </w:rPr>
        <w:fldChar w:fldCharType="begin"/>
      </w:r>
      <w:r>
        <w:rPr>
          <w:rFonts w:hint="eastAsia" w:ascii="仿宋" w:hAnsi="仿宋" w:eastAsia="仿宋"/>
          <w:sz w:val="32"/>
          <w:szCs w:val="32"/>
        </w:rPr>
        <w:instrText xml:space="preserve">= 5 \* GB3</w:instrText>
      </w:r>
      <w:r>
        <w:rPr>
          <w:rFonts w:ascii="仿宋" w:hAnsi="仿宋" w:eastAsia="仿宋"/>
          <w:sz w:val="32"/>
          <w:szCs w:val="32"/>
        </w:rPr>
        <w:fldChar w:fldCharType="separate"/>
      </w:r>
      <w:r>
        <w:rPr>
          <w:rFonts w:hint="eastAsia" w:ascii="仿宋" w:hAnsi="仿宋" w:eastAsia="仿宋"/>
          <w:sz w:val="32"/>
          <w:szCs w:val="32"/>
        </w:rPr>
        <w:t>⑤</w:t>
      </w:r>
      <w:r>
        <w:rPr>
          <w:rFonts w:ascii="仿宋" w:hAnsi="仿宋" w:eastAsia="仿宋"/>
          <w:sz w:val="32"/>
          <w:szCs w:val="32"/>
        </w:rPr>
        <w:fldChar w:fldCharType="end"/>
      </w:r>
      <w:r>
        <w:rPr>
          <w:rFonts w:hint="eastAsia" w:ascii="仿宋" w:hAnsi="仿宋" w:eastAsia="仿宋"/>
          <w:sz w:val="32"/>
          <w:szCs w:val="32"/>
        </w:rPr>
        <w:t>丰盛医院购置消防主机及配套产品购置项目；⑥北京市非遗项目“丰盛正骨”的推广应用项目。</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四、部门“三公”经费财政拨款预算说明</w:t>
      </w:r>
    </w:p>
    <w:p>
      <w:pPr>
        <w:spacing w:line="560" w:lineRule="exact"/>
        <w:ind w:firstLine="643" w:firstLineChars="200"/>
        <w:rPr>
          <w:rFonts w:ascii="仿宋" w:hAnsi="仿宋" w:eastAsia="仿宋"/>
          <w:b/>
          <w:sz w:val="32"/>
          <w:szCs w:val="32"/>
        </w:rPr>
      </w:pPr>
      <w:r>
        <w:rPr>
          <w:rFonts w:hint="eastAsia" w:ascii="仿宋" w:hAnsi="仿宋" w:eastAsia="仿宋"/>
          <w:b/>
          <w:sz w:val="32"/>
          <w:szCs w:val="32"/>
        </w:rPr>
        <w:t>（一）“三公”经费的单位范围</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北京市丰盛中医骨伤专科医院部门预算中因公出国（境）费、公务接待费、公务用车购置及运行维护费的支出单位包括</w:t>
      </w:r>
      <w:r>
        <w:rPr>
          <w:rFonts w:ascii="仿宋_GB2312" w:hAnsi="黑体" w:eastAsia="仿宋_GB2312"/>
          <w:sz w:val="32"/>
          <w:szCs w:val="32"/>
        </w:rPr>
        <w:t>1</w:t>
      </w:r>
      <w:r>
        <w:rPr>
          <w:rFonts w:hint="eastAsia" w:ascii="仿宋_GB2312" w:hAnsi="黑体" w:eastAsia="仿宋_GB2312"/>
          <w:sz w:val="32"/>
          <w:szCs w:val="32"/>
        </w:rPr>
        <w:t>个单位，即北京市丰盛中医骨伤专科医院。</w:t>
      </w:r>
    </w:p>
    <w:p>
      <w:pPr>
        <w:spacing w:line="560" w:lineRule="exact"/>
        <w:ind w:firstLine="643" w:firstLineChars="200"/>
        <w:rPr>
          <w:rFonts w:ascii="仿宋" w:hAnsi="仿宋" w:eastAsia="仿宋"/>
          <w:b/>
          <w:color w:val="000000"/>
          <w:sz w:val="32"/>
          <w:szCs w:val="32"/>
        </w:rPr>
      </w:pPr>
      <w:r>
        <w:rPr>
          <w:rFonts w:hint="eastAsia" w:ascii="仿宋" w:hAnsi="仿宋" w:eastAsia="仿宋"/>
          <w:b/>
          <w:sz w:val="32"/>
          <w:szCs w:val="32"/>
        </w:rPr>
        <w:t>（二）</w:t>
      </w:r>
      <w:r>
        <w:rPr>
          <w:rFonts w:ascii="仿宋" w:hAnsi="仿宋" w:eastAsia="仿宋"/>
          <w:b/>
          <w:color w:val="000000"/>
          <w:sz w:val="32"/>
          <w:szCs w:val="32"/>
        </w:rPr>
        <w:t>“</w:t>
      </w:r>
      <w:r>
        <w:rPr>
          <w:rFonts w:hint="eastAsia" w:ascii="仿宋" w:hAnsi="仿宋" w:eastAsia="仿宋"/>
          <w:b/>
          <w:color w:val="000000"/>
          <w:sz w:val="32"/>
          <w:szCs w:val="32"/>
        </w:rPr>
        <w:t>三公</w:t>
      </w:r>
      <w:r>
        <w:rPr>
          <w:rFonts w:ascii="仿宋" w:hAnsi="仿宋" w:eastAsia="仿宋"/>
          <w:b/>
          <w:color w:val="000000"/>
          <w:sz w:val="32"/>
          <w:szCs w:val="32"/>
        </w:rPr>
        <w:t>”</w:t>
      </w:r>
      <w:r>
        <w:rPr>
          <w:rFonts w:hint="eastAsia" w:ascii="仿宋" w:hAnsi="仿宋" w:eastAsia="仿宋"/>
          <w:b/>
          <w:color w:val="000000"/>
          <w:sz w:val="32"/>
          <w:szCs w:val="32"/>
        </w:rPr>
        <w:t>经费预算财政</w:t>
      </w:r>
      <w:r>
        <w:rPr>
          <w:rFonts w:ascii="仿宋" w:hAnsi="仿宋" w:eastAsia="仿宋"/>
          <w:b/>
          <w:color w:val="000000"/>
          <w:sz w:val="32"/>
          <w:szCs w:val="32"/>
        </w:rPr>
        <w:t>拨款情况</w:t>
      </w:r>
      <w:r>
        <w:rPr>
          <w:rFonts w:hint="eastAsia" w:ascii="仿宋" w:hAnsi="仿宋" w:eastAsia="仿宋"/>
          <w:b/>
          <w:color w:val="000000"/>
          <w:sz w:val="32"/>
          <w:szCs w:val="32"/>
        </w:rPr>
        <w:t>说明</w:t>
      </w:r>
    </w:p>
    <w:p>
      <w:pPr>
        <w:spacing w:line="520" w:lineRule="exact"/>
        <w:ind w:firstLine="800" w:firstLineChars="250"/>
        <w:rPr>
          <w:rFonts w:ascii="仿宋" w:hAnsi="仿宋" w:eastAsia="仿宋" w:cs="仿宋"/>
          <w:sz w:val="32"/>
          <w:szCs w:val="32"/>
        </w:rPr>
      </w:pPr>
      <w:r>
        <w:rPr>
          <w:rFonts w:hint="eastAsia" w:ascii="仿宋" w:hAnsi="仿宋" w:eastAsia="仿宋" w:cs="仿宋"/>
          <w:sz w:val="32"/>
          <w:szCs w:val="32"/>
        </w:rPr>
        <w:t>2024年部门预算“三公”经费财政拨款预算安排0.00元，其中：</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1.因公出国（境）费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2024年财政拨款预算安排0.00元，2023年财政拨款预算安排0.00元，与2023年持平，近两年均未有此类财政拨款预算安排。</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2.公务接待费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2024年财政拨款预算安排0.00元，2023年财政拨款预算安排0.00元，与2023年持平，近两年均未有此类财政拨款预算安排。</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3.公务用车购置及运行维护费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2024年财政拨款预算安排0.00元，2023年财政拨款预算安排0.00元，与2023年持平，近两年均未有此类财政拨款预算安排。</w:t>
      </w:r>
    </w:p>
    <w:p>
      <w:pPr>
        <w:spacing w:line="560" w:lineRule="exact"/>
        <w:ind w:firstLine="640" w:firstLineChars="200"/>
        <w:rPr>
          <w:rFonts w:ascii="仿宋" w:hAnsi="仿宋" w:eastAsia="仿宋" w:cs="仿宋"/>
          <w:sz w:val="32"/>
          <w:szCs w:val="32"/>
        </w:rPr>
      </w:pPr>
    </w:p>
    <w:p>
      <w:pPr>
        <w:spacing w:line="560" w:lineRule="exact"/>
        <w:ind w:firstLine="640" w:firstLineChars="200"/>
        <w:rPr>
          <w:rFonts w:ascii="仿宋" w:hAnsi="仿宋" w:eastAsia="仿宋" w:cs="仿宋"/>
          <w:sz w:val="32"/>
          <w:szCs w:val="32"/>
        </w:rPr>
      </w:pPr>
    </w:p>
    <w:p>
      <w:pPr>
        <w:spacing w:line="560" w:lineRule="exact"/>
        <w:ind w:firstLine="800" w:firstLineChars="250"/>
        <w:rPr>
          <w:rFonts w:ascii="黑体" w:hAnsi="黑体" w:eastAsia="黑体"/>
          <w:sz w:val="32"/>
          <w:szCs w:val="32"/>
        </w:rPr>
      </w:pPr>
      <w:r>
        <w:rPr>
          <w:rFonts w:hint="eastAsia" w:ascii="黑体" w:hAnsi="黑体" w:eastAsia="黑体"/>
          <w:sz w:val="32"/>
          <w:szCs w:val="32"/>
        </w:rPr>
        <w:t>五、其他情况说明</w:t>
      </w:r>
    </w:p>
    <w:p>
      <w:pPr>
        <w:spacing w:line="560" w:lineRule="exact"/>
        <w:ind w:firstLine="643" w:firstLineChars="200"/>
        <w:rPr>
          <w:rFonts w:ascii="仿宋" w:hAnsi="仿宋" w:eastAsia="仿宋"/>
          <w:b/>
          <w:sz w:val="32"/>
          <w:szCs w:val="32"/>
        </w:rPr>
      </w:pPr>
      <w:r>
        <w:rPr>
          <w:rFonts w:hint="eastAsia" w:ascii="仿宋" w:hAnsi="仿宋" w:eastAsia="仿宋"/>
          <w:b/>
          <w:sz w:val="32"/>
          <w:szCs w:val="32"/>
        </w:rPr>
        <w:t>（一）机关运行经费说明</w:t>
      </w:r>
    </w:p>
    <w:p>
      <w:pPr>
        <w:spacing w:line="560" w:lineRule="exact"/>
        <w:ind w:firstLine="640" w:firstLineChars="200"/>
        <w:rPr>
          <w:rFonts w:ascii="仿宋" w:hAnsi="仿宋" w:eastAsia="仿宋"/>
          <w:sz w:val="32"/>
          <w:szCs w:val="32"/>
        </w:rPr>
      </w:pPr>
      <w:r>
        <w:rPr>
          <w:rFonts w:hint="eastAsia" w:ascii="仿宋" w:hAnsi="仿宋" w:eastAsia="仿宋" w:cs="仿宋"/>
          <w:sz w:val="32"/>
          <w:szCs w:val="32"/>
        </w:rPr>
        <w:t>2024年我院履行事业单位管理职能、维持医院正常运行，用于一般公共预算安排的行政运行经费，合计0.00元，与2023年持平，近两年均未有此类财政拨款预算安排。</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（二）政府</w:t>
      </w:r>
      <w:r>
        <w:rPr>
          <w:rFonts w:ascii="仿宋" w:hAnsi="仿宋" w:eastAsia="仿宋"/>
          <w:b/>
          <w:color w:val="000000"/>
          <w:sz w:val="32"/>
          <w:szCs w:val="32"/>
        </w:rPr>
        <w:t>采购预算说明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2024年涉及政府采购项目8个，预算资金 1,653,720.48 元，其中预算内资金0.00元、其他资金1,653,720.48元。</w:t>
      </w:r>
    </w:p>
    <w:p>
      <w:pPr>
        <w:spacing w:line="560" w:lineRule="exact"/>
        <w:ind w:firstLine="643" w:firstLineChars="200"/>
        <w:rPr>
          <w:rFonts w:ascii="仿宋" w:hAnsi="仿宋" w:eastAsia="仿宋"/>
          <w:b/>
          <w:color w:val="000000"/>
          <w:sz w:val="32"/>
          <w:szCs w:val="32"/>
        </w:rPr>
      </w:pPr>
      <w:r>
        <w:rPr>
          <w:rFonts w:hint="eastAsia" w:ascii="仿宋" w:hAnsi="仿宋" w:eastAsia="仿宋"/>
          <w:b/>
          <w:sz w:val="32"/>
          <w:szCs w:val="32"/>
        </w:rPr>
        <w:t>（三）</w:t>
      </w:r>
      <w:r>
        <w:rPr>
          <w:rFonts w:hint="eastAsia" w:ascii="仿宋" w:hAnsi="仿宋" w:eastAsia="仿宋"/>
          <w:b/>
          <w:color w:val="000000"/>
          <w:sz w:val="32"/>
          <w:szCs w:val="32"/>
        </w:rPr>
        <w:t>政府购买服务</w:t>
      </w:r>
      <w:r>
        <w:rPr>
          <w:rFonts w:ascii="仿宋" w:hAnsi="仿宋" w:eastAsia="仿宋"/>
          <w:b/>
          <w:color w:val="000000"/>
          <w:sz w:val="32"/>
          <w:szCs w:val="32"/>
        </w:rPr>
        <w:t>预算说明</w:t>
      </w:r>
    </w:p>
    <w:p>
      <w:pPr>
        <w:spacing w:line="560" w:lineRule="exact"/>
        <w:rPr>
          <w:rFonts w:ascii="仿宋" w:hAnsi="仿宋" w:eastAsia="仿宋"/>
          <w:sz w:val="32"/>
          <w:szCs w:val="32"/>
        </w:rPr>
      </w:pPr>
      <w:r>
        <w:rPr>
          <w:rFonts w:hint="eastAsia" w:ascii="仿宋" w:hAnsi="仿宋" w:eastAsia="仿宋"/>
          <w:sz w:val="32"/>
          <w:szCs w:val="32"/>
        </w:rPr>
        <w:t>2024年涉及政府购买服务项目0个，预算资金0.00元。</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（四）绩效目标情况及绩效评价结果</w:t>
      </w:r>
      <w:r>
        <w:rPr>
          <w:rFonts w:ascii="仿宋" w:hAnsi="仿宋" w:eastAsia="仿宋"/>
          <w:b/>
          <w:color w:val="000000"/>
          <w:sz w:val="32"/>
          <w:szCs w:val="32"/>
        </w:rPr>
        <w:t>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我单位预算内项目16个，金额7,068,969.99元。其中：100万以上的项目1个，金额5,280,000.00元。具体项目绩效目标见附表。</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我单位按照区财政局要求进行了部门及100.00万元以上项目的绩效评价自评工作，并就本单位2024年全年财政收支整体情况做出分析说明报财政局备案。</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（五）国有</w:t>
      </w:r>
      <w:r>
        <w:rPr>
          <w:rFonts w:ascii="仿宋" w:hAnsi="仿宋" w:eastAsia="仿宋"/>
          <w:b/>
          <w:color w:val="000000"/>
          <w:sz w:val="32"/>
          <w:szCs w:val="32"/>
        </w:rPr>
        <w:t>资本经营预算财政拨款</w:t>
      </w:r>
      <w:r>
        <w:rPr>
          <w:rFonts w:hint="eastAsia" w:ascii="仿宋" w:hAnsi="仿宋" w:eastAsia="仿宋"/>
          <w:b/>
          <w:color w:val="000000"/>
          <w:sz w:val="32"/>
          <w:szCs w:val="32"/>
        </w:rPr>
        <w:t>情况</w:t>
      </w:r>
      <w:r>
        <w:rPr>
          <w:rFonts w:ascii="仿宋" w:hAnsi="仿宋" w:eastAsia="仿宋"/>
          <w:b/>
          <w:color w:val="000000"/>
          <w:sz w:val="32"/>
          <w:szCs w:val="32"/>
        </w:rPr>
        <w:t>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本单位无此类信息。</w:t>
      </w:r>
    </w:p>
    <w:p>
      <w:pPr>
        <w:spacing w:line="560" w:lineRule="exact"/>
        <w:ind w:firstLine="643" w:firstLineChars="200"/>
        <w:rPr>
          <w:rFonts w:ascii="仿宋" w:hAnsi="仿宋" w:eastAsia="仿宋"/>
          <w:b/>
          <w:color w:val="000000"/>
          <w:sz w:val="32"/>
          <w:szCs w:val="32"/>
        </w:rPr>
      </w:pPr>
      <w:r>
        <w:rPr>
          <w:rFonts w:hint="eastAsia" w:ascii="仿宋" w:hAnsi="仿宋" w:eastAsia="仿宋"/>
          <w:b/>
          <w:color w:val="000000"/>
          <w:sz w:val="32"/>
          <w:szCs w:val="32"/>
        </w:rPr>
        <w:t>（六）国有资产</w:t>
      </w:r>
      <w:r>
        <w:rPr>
          <w:rFonts w:ascii="仿宋" w:hAnsi="仿宋" w:eastAsia="仿宋"/>
          <w:b/>
          <w:color w:val="000000"/>
          <w:sz w:val="32"/>
          <w:szCs w:val="32"/>
        </w:rPr>
        <w:t>占用情况说明</w:t>
      </w:r>
    </w:p>
    <w:p>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截止2023年底，我单位固定资产总额94,812,360.91元，其中：车辆1台，606,800.00元；单位价值50万元以上的通用设备1台（套），606,800.00元；单位价值100万元以上的专用设备20台（套）,47,290,250.00元。</w:t>
      </w:r>
    </w:p>
    <w:p>
      <w:pPr>
        <w:spacing w:line="560" w:lineRule="exact"/>
        <w:ind w:firstLine="640" w:firstLineChars="200"/>
        <w:rPr>
          <w:rFonts w:hint="eastAsia" w:ascii="仿宋" w:hAnsi="仿宋" w:eastAsia="仿宋"/>
          <w:color w:val="000000"/>
          <w:sz w:val="32"/>
          <w:szCs w:val="32"/>
          <w:highlight w:val="yellow"/>
        </w:rPr>
      </w:pPr>
      <w:r>
        <w:rPr>
          <w:rFonts w:hint="eastAsia" w:ascii="仿宋_GB2312" w:eastAsia="仿宋_GB2312"/>
          <w:color w:val="000000"/>
          <w:sz w:val="32"/>
          <w:szCs w:val="32"/>
        </w:rPr>
        <w:t>2024部门财政预算：安排购置车辆0台</w:t>
      </w:r>
      <w:r>
        <w:rPr>
          <w:rFonts w:ascii="仿宋_GB2312" w:eastAsia="仿宋_GB2312"/>
          <w:color w:val="000000"/>
          <w:sz w:val="32"/>
          <w:szCs w:val="32"/>
        </w:rPr>
        <w:t>，</w:t>
      </w:r>
      <w:r>
        <w:rPr>
          <w:rFonts w:hint="eastAsia" w:ascii="仿宋_GB2312" w:eastAsia="仿宋_GB2312"/>
          <w:color w:val="000000"/>
          <w:sz w:val="32"/>
          <w:szCs w:val="32"/>
        </w:rPr>
        <w:t>0.00元；安排购置单位</w:t>
      </w:r>
      <w:r>
        <w:rPr>
          <w:rFonts w:ascii="仿宋_GB2312" w:eastAsia="仿宋_GB2312"/>
          <w:color w:val="000000"/>
          <w:sz w:val="32"/>
          <w:szCs w:val="32"/>
        </w:rPr>
        <w:t>价值</w:t>
      </w:r>
      <w:r>
        <w:rPr>
          <w:rFonts w:hint="eastAsia" w:ascii="仿宋_GB2312" w:eastAsia="仿宋_GB2312"/>
          <w:color w:val="000000"/>
          <w:sz w:val="32"/>
          <w:szCs w:val="32"/>
        </w:rPr>
        <w:t>50万元以上</w:t>
      </w:r>
      <w:r>
        <w:rPr>
          <w:rFonts w:ascii="仿宋_GB2312" w:eastAsia="仿宋_GB2312"/>
          <w:color w:val="000000"/>
          <w:sz w:val="32"/>
          <w:szCs w:val="32"/>
        </w:rPr>
        <w:t>的</w:t>
      </w:r>
      <w:r>
        <w:rPr>
          <w:rFonts w:hint="eastAsia" w:ascii="仿宋_GB2312" w:eastAsia="仿宋_GB2312"/>
          <w:color w:val="000000"/>
          <w:sz w:val="32"/>
          <w:szCs w:val="32"/>
        </w:rPr>
        <w:t>通用</w:t>
      </w:r>
      <w:r>
        <w:rPr>
          <w:rFonts w:ascii="仿宋_GB2312" w:eastAsia="仿宋_GB2312"/>
          <w:color w:val="000000"/>
          <w:sz w:val="32"/>
          <w:szCs w:val="32"/>
        </w:rPr>
        <w:t>设备</w:t>
      </w:r>
      <w:r>
        <w:rPr>
          <w:rFonts w:hint="eastAsia" w:ascii="仿宋_GB2312" w:eastAsia="仿宋_GB2312"/>
          <w:color w:val="000000"/>
          <w:sz w:val="32"/>
          <w:szCs w:val="32"/>
        </w:rPr>
        <w:t>0台（套）、0.00元，安排购置单位</w:t>
      </w:r>
      <w:r>
        <w:rPr>
          <w:rFonts w:ascii="仿宋_GB2312" w:eastAsia="仿宋_GB2312"/>
          <w:color w:val="000000"/>
          <w:sz w:val="32"/>
          <w:szCs w:val="32"/>
        </w:rPr>
        <w:t>价值100</w:t>
      </w:r>
      <w:r>
        <w:rPr>
          <w:rFonts w:hint="eastAsia" w:ascii="仿宋_GB2312" w:eastAsia="仿宋_GB2312"/>
          <w:color w:val="000000"/>
          <w:sz w:val="32"/>
          <w:szCs w:val="32"/>
        </w:rPr>
        <w:t>万元以上</w:t>
      </w:r>
      <w:r>
        <w:rPr>
          <w:rFonts w:ascii="仿宋_GB2312" w:eastAsia="仿宋_GB2312"/>
          <w:color w:val="000000"/>
          <w:sz w:val="32"/>
          <w:szCs w:val="32"/>
        </w:rPr>
        <w:t>的</w:t>
      </w:r>
      <w:r>
        <w:rPr>
          <w:rFonts w:hint="eastAsia" w:ascii="仿宋_GB2312" w:eastAsia="仿宋_GB2312"/>
          <w:color w:val="000000"/>
          <w:sz w:val="32"/>
          <w:szCs w:val="32"/>
        </w:rPr>
        <w:t>专用</w:t>
      </w:r>
      <w:r>
        <w:rPr>
          <w:rFonts w:ascii="仿宋_GB2312" w:eastAsia="仿宋_GB2312"/>
          <w:color w:val="000000"/>
          <w:sz w:val="32"/>
          <w:szCs w:val="32"/>
        </w:rPr>
        <w:t>设备</w:t>
      </w:r>
      <w:r>
        <w:rPr>
          <w:rFonts w:hint="eastAsia" w:ascii="仿宋_GB2312" w:eastAsia="仿宋_GB2312"/>
          <w:color w:val="000000"/>
          <w:sz w:val="32"/>
          <w:szCs w:val="32"/>
        </w:rPr>
        <w:t>0台（套）、0.00元。</w:t>
      </w:r>
    </w:p>
    <w:p>
      <w:pPr>
        <w:spacing w:line="560" w:lineRule="exact"/>
        <w:ind w:firstLine="645"/>
        <w:rPr>
          <w:rFonts w:ascii="仿宋" w:hAnsi="仿宋" w:eastAsia="仿宋"/>
          <w:b/>
          <w:color w:val="000000"/>
          <w:sz w:val="32"/>
          <w:szCs w:val="32"/>
        </w:rPr>
      </w:pPr>
      <w:r>
        <w:rPr>
          <w:rFonts w:hint="eastAsia" w:ascii="仿宋" w:hAnsi="仿宋" w:eastAsia="仿宋"/>
          <w:b/>
          <w:color w:val="000000"/>
          <w:sz w:val="32"/>
          <w:szCs w:val="32"/>
        </w:rPr>
        <w:t>（七）重点行政事业性收费情况说明</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本单位无此类信息。</w:t>
      </w:r>
    </w:p>
    <w:p>
      <w:pPr>
        <w:spacing w:line="560" w:lineRule="exact"/>
        <w:ind w:firstLine="643" w:firstLineChars="200"/>
        <w:rPr>
          <w:rFonts w:ascii="仿宋" w:hAnsi="仿宋" w:eastAsia="仿宋" w:cs="黑体"/>
          <w:b/>
          <w:sz w:val="32"/>
          <w:szCs w:val="32"/>
        </w:rPr>
      </w:pPr>
      <w:r>
        <w:rPr>
          <w:rFonts w:hint="eastAsia" w:ascii="仿宋" w:hAnsi="仿宋" w:eastAsia="仿宋" w:cs="黑体"/>
          <w:b/>
          <w:sz w:val="32"/>
          <w:szCs w:val="32"/>
        </w:rPr>
        <w:t>（八）政府性基金预算财政拨款收入、支出全为零。</w:t>
      </w:r>
    </w:p>
    <w:p>
      <w:pPr>
        <w:spacing w:line="560" w:lineRule="exact"/>
        <w:ind w:firstLine="640" w:firstLineChars="200"/>
        <w:rPr>
          <w:rFonts w:ascii="仿宋" w:hAnsi="仿宋" w:eastAsia="仿宋" w:cs="黑体"/>
          <w:b/>
          <w:sz w:val="32"/>
          <w:szCs w:val="32"/>
        </w:rPr>
      </w:pPr>
      <w:r>
        <w:rPr>
          <w:rFonts w:hint="eastAsia" w:ascii="黑体" w:hAnsi="黑体" w:eastAsia="黑体"/>
          <w:color w:val="000000"/>
          <w:sz w:val="32"/>
          <w:szCs w:val="32"/>
        </w:rPr>
        <w:t>六</w:t>
      </w:r>
      <w:r>
        <w:rPr>
          <w:rFonts w:ascii="黑体" w:hAnsi="黑体" w:eastAsia="黑体"/>
          <w:color w:val="000000"/>
          <w:sz w:val="32"/>
          <w:szCs w:val="32"/>
        </w:rPr>
        <w:t>、名称</w:t>
      </w:r>
      <w:r>
        <w:rPr>
          <w:rFonts w:hint="eastAsia" w:ascii="黑体" w:hAnsi="黑体" w:eastAsia="黑体"/>
          <w:color w:val="000000"/>
          <w:sz w:val="32"/>
          <w:szCs w:val="32"/>
        </w:rPr>
        <w:t>解释</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1.财政拨款收入：指单位本年度从财政部门取得的财政拨款。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2.上级补助收入：指事业单位从主管部门和上级单位取得的非财政补助收入。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3.事业收入：指事业单位开展专业业务活动及其辅助活动取得的收入，事业单位收到的财政专户实际核拨的教育收费等资金在此反映。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4.经营收入：指事业单位在专业业务活动及其辅助活动之外开展非独立核算经营活动取得的收入。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5.附属单位缴款：指事业单位附属独立核算单位按照有关规定上缴的收入。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5.其他收入：指单位取得的除上述“财政拨款收入”、“事业收入”、“经营收入”等以外的各项收入。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6.基本支出：指为保障机构正常运转、完成日常工作任务而发生的人员支出和公用支出。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7.项目支出：指在基本支出之外为完成特定的行政任务或事业发展目标所发生的支出。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8.上缴上级支出：指事业单位按照财政部门和主管部门的规定上缴上级单位的支出。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9.经营支出：指事业单位在专业业务活动及其辅助活动之外开展非独立核算经营活动发生的支出。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10.对附属单位补助支出：指事业单位用财政补助收入之外的收入对附属单位补助发生的支出。</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11.机关运行经费是指本单位的公用经费，包括办公及印刷费、邮电费、差旅费、会议费、福利费、日常维修费、专用材料及一般设备购置费、办公用房水电费、办公用房取暖费、办公用房物业管理费、公务用车运行维护以及其他费用。</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12.“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单位按规定保留的公务用车燃料费、维修费、过桥过路费、保险费、安全奖励费用等支出；公务接待费指单位按规定开支的各类公务接待（含外宾接待）费用。</w:t>
      </w:r>
    </w:p>
    <w:p/>
    <w:p/>
    <w:p/>
    <w:p/>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46114F8"/>
    <w:rsid w:val="001D68EF"/>
    <w:rsid w:val="00632354"/>
    <w:rsid w:val="007313E2"/>
    <w:rsid w:val="00795C12"/>
    <w:rsid w:val="00AF5359"/>
    <w:rsid w:val="00C80F9A"/>
    <w:rsid w:val="00D03C33"/>
    <w:rsid w:val="00DF1D4D"/>
    <w:rsid w:val="00F05F1F"/>
    <w:rsid w:val="074929E9"/>
    <w:rsid w:val="0D5B2BAE"/>
    <w:rsid w:val="114A7FBF"/>
    <w:rsid w:val="146114F8"/>
    <w:rsid w:val="1C45287D"/>
    <w:rsid w:val="1C4C21AD"/>
    <w:rsid w:val="30F4564D"/>
    <w:rsid w:val="374B3F1C"/>
    <w:rsid w:val="3CF137C3"/>
    <w:rsid w:val="3D3C5A1E"/>
    <w:rsid w:val="49040D20"/>
    <w:rsid w:val="51A70321"/>
    <w:rsid w:val="523C7932"/>
    <w:rsid w:val="58AD6094"/>
    <w:rsid w:val="5C78772B"/>
    <w:rsid w:val="5D021353"/>
    <w:rsid w:val="679834BB"/>
    <w:rsid w:val="6B656908"/>
    <w:rsid w:val="6F607E51"/>
    <w:rsid w:val="731B7399"/>
    <w:rsid w:val="7C151D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01"/>
    <w:basedOn w:val="4"/>
    <w:uiPriority w:val="0"/>
    <w:rPr>
      <w:rFonts w:hint="eastAsia" w:ascii="宋体" w:hAnsi="宋体" w:eastAsia="宋体" w:cs="宋体"/>
      <w:color w:val="000000"/>
      <w:sz w:val="18"/>
      <w:szCs w:val="18"/>
      <w:u w:val="none"/>
    </w:rPr>
  </w:style>
  <w:style w:type="character" w:customStyle="1" w:styleId="7">
    <w:name w:val="font11"/>
    <w:basedOn w:val="4"/>
    <w:qFormat/>
    <w:uiPriority w:val="0"/>
    <w:rPr>
      <w:rFonts w:hint="eastAsia" w:ascii="宋体" w:hAnsi="宋体" w:eastAsia="宋体" w:cs="宋体"/>
      <w:color w:val="000000"/>
      <w:sz w:val="18"/>
      <w:szCs w:val="18"/>
      <w:u w:val="none"/>
    </w:rPr>
  </w:style>
  <w:style w:type="character" w:customStyle="1" w:styleId="8">
    <w:name w:val="页眉 Char"/>
    <w:basedOn w:val="4"/>
    <w:link w:val="3"/>
    <w:qFormat/>
    <w:uiPriority w:val="0"/>
    <w:rPr>
      <w:kern w:val="2"/>
      <w:sz w:val="18"/>
      <w:szCs w:val="18"/>
    </w:rPr>
  </w:style>
  <w:style w:type="character" w:customStyle="1" w:styleId="9">
    <w:name w:val="页脚 Char"/>
    <w:basedOn w:val="4"/>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563</Words>
  <Characters>3210</Characters>
  <Lines>26</Lines>
  <Paragraphs>7</Paragraphs>
  <TotalTime>17</TotalTime>
  <ScaleCrop>false</ScaleCrop>
  <LinksUpToDate>false</LinksUpToDate>
  <CharactersWithSpaces>3766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2024-01-26T06:23:00Z</dcterms:created>
  <dc:creator>CW</dc:creator>
  <cp:lastModifiedBy>CW</cp:lastModifiedBy>
  <dcterms:modified xsi:type="dcterms:W3CDTF">2024-02-02T01:42:30Z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