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北京市第二医院</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202</w:t>
      </w:r>
      <w:r>
        <w:rPr>
          <w:rFonts w:ascii="方正小标宋简体" w:hAnsi="楷体" w:eastAsia="方正小标宋简体" w:cs="楷体"/>
          <w:b/>
          <w:bCs/>
          <w:sz w:val="36"/>
          <w:szCs w:val="36"/>
        </w:rPr>
        <w:t>4</w:t>
      </w:r>
      <w:r>
        <w:rPr>
          <w:rFonts w:hint="eastAsia" w:ascii="方正小标宋简体" w:hAnsi="楷体" w:eastAsia="方正小标宋简体" w:cs="楷体"/>
          <w:b/>
          <w:bCs/>
          <w:sz w:val="36"/>
          <w:szCs w:val="36"/>
        </w:rPr>
        <w:t>年预算编制说明</w:t>
      </w:r>
    </w:p>
    <w:p>
      <w:pPr>
        <w:spacing w:line="560" w:lineRule="exact"/>
        <w:jc w:val="center"/>
        <w:rPr>
          <w:rFonts w:ascii="仿宋_GB2312" w:eastAsia="仿宋_GB2312"/>
          <w:color w:val="000000"/>
          <w:sz w:val="32"/>
          <w:szCs w:val="32"/>
        </w:rPr>
      </w:pPr>
    </w:p>
    <w:p>
      <w:pPr>
        <w:spacing w:line="560" w:lineRule="exact"/>
        <w:jc w:val="center"/>
        <w:rPr>
          <w:rFonts w:ascii="仿宋_GB2312" w:eastAsia="仿宋_GB2312"/>
          <w:b/>
          <w:color w:val="000000"/>
          <w:sz w:val="32"/>
          <w:szCs w:val="32"/>
        </w:rPr>
      </w:pPr>
      <w:r>
        <w:rPr>
          <w:rFonts w:hint="eastAsia" w:ascii="仿宋_GB2312" w:eastAsia="仿宋_GB2312"/>
          <w:b/>
          <w:color w:val="000000"/>
          <w:sz w:val="32"/>
          <w:szCs w:val="32"/>
        </w:rPr>
        <w:t>目录</w:t>
      </w:r>
    </w:p>
    <w:p>
      <w:pPr>
        <w:spacing w:line="560" w:lineRule="exact"/>
        <w:jc w:val="center"/>
        <w:rPr>
          <w:rFonts w:ascii="仿宋_GB2312" w:eastAsia="仿宋_GB2312"/>
          <w:color w:val="000000"/>
          <w:sz w:val="32"/>
          <w:szCs w:val="32"/>
        </w:rPr>
      </w:pP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第一部分、2024年部门预算情况说明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一、部门主要职责及机构设置情况</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（一）部门机构设置、职责</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（二）人员构成情况</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二、2024年部门预算收支及增减变化情况说明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四、部门“三公”经费财政拨款预算说明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（一）“三公”经费的单位范围</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（二）“三公”经费预算财政拨款情况说明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（一）机构运行经费说明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（二）政府采购预算说明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（三）政府购买服务预算说明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（四）绩效目标情况及绩效评价结果说明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（五）国有资本经营预算财政拨款情况说明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（六）国有资产占用情况说明</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六、名称解释</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第二部分、2024年部门预算表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 xml:space="preserve">表一、部门收支总体情况表 </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表二、部门收入总体情况表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表三、部门支出总体情况表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表四、项目支出表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表五、财政拨款收支总体情况表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表六、一般公共预算支出情况表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表七、一般公共预算基本支出情况表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表八、政府性基金预算支出情况表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表九、国有资本经营预算财政拨款支出表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表十、一般公共预算“三公”经费支出情况表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表十一、政府购买服务预算表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表十二、专项转移支付预算表</w:t>
      </w:r>
    </w:p>
    <w:p>
      <w:pPr>
        <w:spacing w:line="560" w:lineRule="exact"/>
        <w:ind w:firstLine="1132" w:firstLineChars="354"/>
        <w:rPr>
          <w:rFonts w:ascii="仿宋_GB2312" w:eastAsia="仿宋_GB2312"/>
          <w:color w:val="000000"/>
          <w:sz w:val="32"/>
          <w:szCs w:val="32"/>
        </w:rPr>
      </w:pPr>
      <w:r>
        <w:rPr>
          <w:rFonts w:hint="eastAsia" w:ascii="仿宋_GB2312" w:eastAsia="仿宋_GB2312"/>
          <w:color w:val="000000"/>
          <w:sz w:val="32"/>
          <w:szCs w:val="32"/>
        </w:rPr>
        <w:t>表十三、项目支出绩效目标申报表</w:t>
      </w: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jc w:val="center"/>
        <w:rPr>
          <w:rFonts w:ascii="黑体" w:hAnsi="黑体" w:eastAsia="黑体"/>
          <w:b/>
          <w:color w:val="000000"/>
          <w:sz w:val="32"/>
          <w:szCs w:val="32"/>
        </w:rPr>
      </w:pPr>
    </w:p>
    <w:p>
      <w:pPr>
        <w:spacing w:line="560" w:lineRule="exact"/>
        <w:jc w:val="center"/>
        <w:rPr>
          <w:rFonts w:ascii="黑体" w:hAnsi="黑体" w:eastAsia="黑体"/>
          <w:b/>
          <w:color w:val="000000"/>
          <w:sz w:val="32"/>
          <w:szCs w:val="32"/>
        </w:rPr>
      </w:pPr>
      <w:r>
        <w:rPr>
          <w:rFonts w:hint="eastAsia" w:ascii="黑体" w:hAnsi="黑体" w:eastAsia="黑体"/>
          <w:b/>
          <w:color w:val="000000"/>
          <w:sz w:val="32"/>
          <w:szCs w:val="32"/>
        </w:rPr>
        <w:t>第一部分</w:t>
      </w:r>
      <w:r>
        <w:rPr>
          <w:rFonts w:ascii="黑体" w:hAnsi="黑体" w:eastAsia="黑体"/>
          <w:b/>
          <w:color w:val="000000"/>
          <w:sz w:val="32"/>
          <w:szCs w:val="32"/>
        </w:rPr>
        <w:t>、</w:t>
      </w:r>
      <w:r>
        <w:rPr>
          <w:rFonts w:hint="eastAsia" w:ascii="黑体" w:hAnsi="黑体" w:eastAsia="黑体"/>
          <w:b/>
          <w:color w:val="000000"/>
          <w:sz w:val="32"/>
          <w:szCs w:val="32"/>
        </w:rPr>
        <w:t>202</w:t>
      </w:r>
      <w:r>
        <w:rPr>
          <w:rFonts w:ascii="黑体" w:hAnsi="黑体" w:eastAsia="黑体"/>
          <w:b/>
          <w:color w:val="000000"/>
          <w:sz w:val="32"/>
          <w:szCs w:val="32"/>
        </w:rPr>
        <w:t>4</w:t>
      </w:r>
      <w:r>
        <w:rPr>
          <w:rFonts w:hint="eastAsia" w:ascii="黑体" w:hAnsi="黑体" w:eastAsia="黑体"/>
          <w:b/>
          <w:color w:val="000000"/>
          <w:sz w:val="32"/>
          <w:szCs w:val="32"/>
        </w:rPr>
        <w:t>年度</w:t>
      </w:r>
      <w:r>
        <w:rPr>
          <w:rFonts w:ascii="黑体" w:hAnsi="黑体" w:eastAsia="黑体"/>
          <w:b/>
          <w:color w:val="000000"/>
          <w:sz w:val="32"/>
          <w:szCs w:val="32"/>
        </w:rPr>
        <w:t>部门预算情况说明</w:t>
      </w:r>
    </w:p>
    <w:p>
      <w:pPr>
        <w:ind w:firstLine="1767" w:firstLineChars="400"/>
        <w:rPr>
          <w:rFonts w:ascii="仿宋_GB2312" w:eastAsia="仿宋_GB2312"/>
          <w:b/>
          <w:bCs/>
          <w:sz w:val="44"/>
          <w:szCs w:val="44"/>
        </w:rPr>
      </w:pPr>
    </w:p>
    <w:p>
      <w:pPr>
        <w:spacing w:line="520" w:lineRule="exact"/>
        <w:ind w:firstLine="640" w:firstLineChars="200"/>
        <w:outlineLvl w:val="0"/>
        <w:rPr>
          <w:rFonts w:ascii="仿宋" w:hAnsi="仿宋" w:eastAsia="仿宋"/>
          <w:b/>
          <w:sz w:val="32"/>
          <w:szCs w:val="32"/>
        </w:rPr>
      </w:pPr>
      <w:r>
        <w:rPr>
          <w:rFonts w:hint="eastAsia" w:ascii="仿宋" w:hAnsi="仿宋" w:eastAsia="仿宋" w:cs="黑体"/>
          <w:b/>
          <w:sz w:val="32"/>
          <w:szCs w:val="32"/>
        </w:rPr>
        <w:t>一、部门主要职责及机构设置情况</w:t>
      </w:r>
    </w:p>
    <w:p>
      <w:pPr>
        <w:spacing w:line="520" w:lineRule="exact"/>
        <w:ind w:firstLine="705" w:firstLineChars="235"/>
        <w:rPr>
          <w:rFonts w:ascii="仿宋" w:hAnsi="仿宋" w:eastAsia="仿宋" w:cs="宋体"/>
          <w:b/>
          <w:bCs/>
          <w:sz w:val="30"/>
          <w:szCs w:val="30"/>
        </w:rPr>
      </w:pPr>
      <w:r>
        <w:rPr>
          <w:rFonts w:hint="eastAsia" w:ascii="仿宋" w:hAnsi="仿宋" w:eastAsia="仿宋" w:cs="宋体"/>
          <w:b/>
          <w:bCs/>
          <w:sz w:val="30"/>
          <w:szCs w:val="30"/>
        </w:rPr>
        <w:t>（一）部门机构设置、职责</w:t>
      </w:r>
    </w:p>
    <w:p>
      <w:pPr>
        <w:snapToGrid w:val="0"/>
        <w:spacing w:line="520" w:lineRule="exact"/>
        <w:ind w:firstLine="627" w:firstLineChars="196"/>
        <w:rPr>
          <w:rFonts w:ascii="仿宋_GB2312" w:hAnsi="仿宋" w:eastAsia="仿宋_GB2312"/>
          <w:sz w:val="32"/>
          <w:szCs w:val="32"/>
        </w:rPr>
      </w:pPr>
      <w:r>
        <w:rPr>
          <w:rFonts w:hint="eastAsia" w:ascii="仿宋_GB2312" w:hAnsi="仿宋" w:eastAsia="仿宋_GB2312"/>
          <w:sz w:val="32"/>
          <w:szCs w:val="32"/>
        </w:rPr>
        <w:t>部门机构设置：北京市第二医院内设</w:t>
      </w:r>
      <w:r>
        <w:rPr>
          <w:rFonts w:ascii="仿宋_GB2312" w:hAnsi="仿宋" w:eastAsia="仿宋_GB2312"/>
          <w:sz w:val="32"/>
          <w:szCs w:val="32"/>
        </w:rPr>
        <w:t>党委办公室、院办公室、医务科（科研办公室）、护理部、医院感染与疾病预防控制科、财务科、人事科、总务科（医学工程科）、审计科、信息中心、质量控制办公室、门诊办公室、医疗保险办公室、改革与绩效管理办公室、病案统计科、供应室、医患办公室共计1</w:t>
      </w:r>
      <w:r>
        <w:rPr>
          <w:rFonts w:hint="eastAsia" w:ascii="仿宋_GB2312" w:hAnsi="仿宋" w:eastAsia="仿宋_GB2312"/>
          <w:sz w:val="32"/>
          <w:szCs w:val="32"/>
        </w:rPr>
        <w:t>7</w:t>
      </w:r>
      <w:r>
        <w:rPr>
          <w:rFonts w:ascii="仿宋_GB2312" w:hAnsi="仿宋" w:eastAsia="仿宋_GB2312"/>
          <w:sz w:val="32"/>
          <w:szCs w:val="32"/>
        </w:rPr>
        <w:t>个行政职能科室。临床及医技科室包括：</w:t>
      </w:r>
      <w:r>
        <w:rPr>
          <w:rFonts w:hint="eastAsia" w:ascii="仿宋_GB2312" w:hAnsi="仿宋" w:eastAsia="仿宋_GB2312"/>
          <w:sz w:val="32"/>
          <w:szCs w:val="32"/>
        </w:rPr>
        <w:t>重症医学科、</w:t>
      </w:r>
      <w:r>
        <w:rPr>
          <w:rFonts w:ascii="仿宋_GB2312" w:hAnsi="仿宋" w:eastAsia="仿宋_GB2312"/>
          <w:sz w:val="32"/>
          <w:szCs w:val="32"/>
        </w:rPr>
        <w:t>综合内科、老年科、肿瘤科、消化中心，急诊科、外科、妇科、中医科、康复科、眼耳鼻喉科、口腔科、麻醉科、体检科、药剂科、医学影像科、检验科共计1</w:t>
      </w:r>
      <w:r>
        <w:rPr>
          <w:rFonts w:hint="eastAsia" w:ascii="仿宋_GB2312" w:hAnsi="仿宋" w:eastAsia="仿宋_GB2312"/>
          <w:sz w:val="32"/>
          <w:szCs w:val="32"/>
        </w:rPr>
        <w:t>7</w:t>
      </w:r>
      <w:r>
        <w:rPr>
          <w:rFonts w:ascii="仿宋_GB2312" w:hAnsi="仿宋" w:eastAsia="仿宋_GB2312"/>
          <w:sz w:val="32"/>
          <w:szCs w:val="32"/>
        </w:rPr>
        <w:t>个科室</w:t>
      </w:r>
      <w:r>
        <w:rPr>
          <w:rFonts w:hint="eastAsia" w:ascii="仿宋_GB2312" w:hAnsi="仿宋" w:eastAsia="仿宋_GB2312"/>
          <w:sz w:val="32"/>
          <w:szCs w:val="32"/>
        </w:rPr>
        <w:t>。</w:t>
      </w:r>
    </w:p>
    <w:p>
      <w:pPr>
        <w:snapToGrid w:val="0"/>
        <w:spacing w:line="520" w:lineRule="exact"/>
        <w:ind w:firstLine="627" w:firstLineChars="196"/>
        <w:rPr>
          <w:rFonts w:ascii="仿宋_GB2312" w:eastAsia="仿宋_GB2312"/>
          <w:sz w:val="32"/>
          <w:szCs w:val="32"/>
        </w:rPr>
      </w:pPr>
      <w:r>
        <w:rPr>
          <w:rFonts w:hint="eastAsia" w:ascii="仿宋_GB2312" w:eastAsia="仿宋_GB2312"/>
          <w:sz w:val="32"/>
          <w:szCs w:val="32"/>
        </w:rPr>
        <w:t>医院的主要职责是：</w:t>
      </w:r>
    </w:p>
    <w:p>
      <w:pPr>
        <w:snapToGrid w:val="0"/>
        <w:spacing w:line="520" w:lineRule="exact"/>
        <w:ind w:firstLine="627" w:firstLineChars="196"/>
        <w:rPr>
          <w:rFonts w:ascii="仿宋_GB2312" w:hAnsi="仿宋" w:eastAsia="仿宋_GB2312"/>
          <w:sz w:val="32"/>
          <w:szCs w:val="32"/>
        </w:rPr>
      </w:pPr>
      <w:r>
        <w:rPr>
          <w:rFonts w:ascii="仿宋_GB2312" w:hAnsi="仿宋" w:eastAsia="仿宋_GB2312"/>
          <w:sz w:val="32"/>
          <w:szCs w:val="32"/>
        </w:rPr>
        <w:t>以病人为中心，以质量为核心，充分发挥区位优势，改革创新，放眼未来，以更好的满足社会不同层次医疗需求为己任，根据辖区周边现有医疗资源分布并充分借助驻京众多优质医疗资源，寻求差异化发展。并在不断持续改进中，完善医院各项质量安全管理工作，确保医务人员及患者安全得到充分保障。在未来将打造成独具诊疗技术特色、具有国际管理水平的现代化安全医院。</w:t>
      </w:r>
    </w:p>
    <w:p>
      <w:pPr>
        <w:spacing w:line="560" w:lineRule="exact"/>
        <w:ind w:firstLine="200"/>
        <w:rPr>
          <w:rFonts w:ascii="仿宋" w:hAnsi="仿宋" w:eastAsia="仿宋" w:cs="楷体_GB2312"/>
          <w:b/>
          <w:bCs/>
          <w:sz w:val="32"/>
          <w:szCs w:val="32"/>
        </w:rPr>
      </w:pPr>
      <w:r>
        <w:rPr>
          <w:rFonts w:ascii="仿宋" w:hAnsi="仿宋" w:eastAsia="仿宋" w:cs="楷体_GB2312"/>
          <w:b/>
          <w:bCs/>
          <w:sz w:val="32"/>
          <w:szCs w:val="32"/>
        </w:rPr>
        <w:t xml:space="preserve">   </w:t>
      </w:r>
      <w:r>
        <w:rPr>
          <w:rFonts w:hint="eastAsia" w:ascii="仿宋" w:hAnsi="仿宋" w:eastAsia="仿宋" w:cs="楷体_GB2312"/>
          <w:b/>
          <w:bCs/>
          <w:sz w:val="32"/>
          <w:szCs w:val="32"/>
        </w:rPr>
        <w:t>（二）人员构成情况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纳入北京市第二医院202</w:t>
      </w:r>
      <w:r>
        <w:rPr>
          <w:rFonts w:ascii="仿宋" w:hAnsi="仿宋" w:eastAsia="仿宋"/>
          <w:sz w:val="32"/>
          <w:szCs w:val="32"/>
        </w:rPr>
        <w:t>4</w:t>
      </w:r>
      <w:r>
        <w:rPr>
          <w:rFonts w:hint="eastAsia" w:ascii="仿宋" w:hAnsi="仿宋" w:eastAsia="仿宋"/>
          <w:sz w:val="32"/>
          <w:szCs w:val="32"/>
        </w:rPr>
        <w:t>年预算共1家单位，其中行政编制0人</w:t>
      </w:r>
      <w:r>
        <w:rPr>
          <w:rFonts w:ascii="仿宋" w:hAnsi="仿宋" w:eastAsia="仿宋"/>
          <w:sz w:val="32"/>
          <w:szCs w:val="32"/>
        </w:rPr>
        <w:t>;</w:t>
      </w:r>
      <w:r>
        <w:rPr>
          <w:rFonts w:hint="eastAsia" w:ascii="仿宋" w:hAnsi="仿宋" w:eastAsia="仿宋"/>
          <w:sz w:val="32"/>
          <w:szCs w:val="32"/>
        </w:rPr>
        <w:t>事业编制454人；工勤编制0名；实际292人；长期聘用临时工0人。离退休人员334人，其中：离休3人，退休331人。</w:t>
      </w:r>
    </w:p>
    <w:p>
      <w:pPr>
        <w:spacing w:line="56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二、202</w:t>
      </w:r>
      <w:r>
        <w:rPr>
          <w:rFonts w:ascii="黑体" w:hAnsi="黑体" w:eastAsia="黑体" w:cs="黑体"/>
          <w:sz w:val="32"/>
          <w:szCs w:val="32"/>
        </w:rPr>
        <w:t>4</w:t>
      </w:r>
      <w:r>
        <w:rPr>
          <w:rFonts w:hint="eastAsia" w:ascii="黑体" w:hAnsi="黑体" w:eastAsia="黑体" w:cs="黑体"/>
          <w:sz w:val="32"/>
          <w:szCs w:val="32"/>
        </w:rPr>
        <w:t>年部门预算收支及增减变化情况说明</w:t>
      </w:r>
    </w:p>
    <w:p>
      <w:pPr>
        <w:spacing w:line="560" w:lineRule="exact"/>
        <w:ind w:firstLine="640" w:firstLineChars="200"/>
        <w:outlineLvl w:val="0"/>
        <w:rPr>
          <w:rFonts w:ascii="仿宋" w:hAnsi="仿宋" w:eastAsia="仿宋"/>
          <w:b/>
          <w:sz w:val="32"/>
          <w:szCs w:val="32"/>
        </w:rPr>
      </w:pPr>
      <w:r>
        <w:rPr>
          <w:rFonts w:hint="eastAsia" w:ascii="仿宋" w:hAnsi="仿宋" w:eastAsia="仿宋" w:cs="黑体"/>
          <w:b/>
          <w:sz w:val="32"/>
          <w:szCs w:val="32"/>
        </w:rPr>
        <w:t>（一）收入预算说明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w:t>
      </w:r>
      <w:r>
        <w:rPr>
          <w:rFonts w:hint="eastAsia" w:ascii="仿宋_GB2312" w:hAnsi="黑体" w:eastAsia="仿宋_GB2312" w:cs="仿宋_GB2312"/>
          <w:sz w:val="32"/>
          <w:szCs w:val="32"/>
        </w:rPr>
        <w:t>北京市第二医院</w:t>
      </w:r>
      <w:r>
        <w:rPr>
          <w:rFonts w:hint="eastAsia" w:ascii="仿宋" w:hAnsi="仿宋" w:eastAsia="仿宋"/>
          <w:sz w:val="32"/>
          <w:szCs w:val="32"/>
        </w:rPr>
        <w:t>总收入安排</w:t>
      </w:r>
      <w:r>
        <w:rPr>
          <w:rFonts w:hint="eastAsia" w:ascii="仿宋_GB2312" w:hAnsi="Batang" w:eastAsia="仿宋_GB2312"/>
          <w:sz w:val="32"/>
          <w:szCs w:val="32"/>
        </w:rPr>
        <w:t>328,676,864.14</w:t>
      </w:r>
      <w:r>
        <w:rPr>
          <w:rFonts w:hint="eastAsia" w:ascii="仿宋" w:hAnsi="仿宋" w:eastAsia="仿宋"/>
          <w:sz w:val="32"/>
          <w:szCs w:val="32"/>
        </w:rPr>
        <w:t>元。其中：一般公共预算拨款收入51,649,673.94元，财政专户资金安排0.00元，其他资金</w:t>
      </w:r>
      <w:r>
        <w:rPr>
          <w:rFonts w:hint="eastAsia" w:ascii="仿宋_GB2312" w:hAnsi="Batang" w:eastAsia="仿宋_GB2312"/>
          <w:sz w:val="32"/>
          <w:szCs w:val="32"/>
        </w:rPr>
        <w:t>277,027,190.20</w:t>
      </w:r>
      <w:r>
        <w:rPr>
          <w:rFonts w:hint="eastAsia" w:ascii="仿宋" w:hAnsi="仿宋" w:eastAsia="仿宋"/>
          <w:sz w:val="32"/>
          <w:szCs w:val="32"/>
        </w:rPr>
        <w:t>元。</w:t>
      </w:r>
      <w:r>
        <w:rPr>
          <w:rFonts w:ascii="仿宋" w:hAnsi="仿宋" w:eastAsia="仿宋"/>
          <w:sz w:val="32"/>
          <w:szCs w:val="32"/>
        </w:rPr>
        <w:t>20</w:t>
      </w:r>
      <w:r>
        <w:rPr>
          <w:rFonts w:hint="eastAsia" w:ascii="仿宋" w:hAnsi="仿宋" w:eastAsia="仿宋"/>
          <w:sz w:val="32"/>
          <w:szCs w:val="32"/>
        </w:rPr>
        <w:t>2</w:t>
      </w:r>
      <w:r>
        <w:rPr>
          <w:rFonts w:ascii="仿宋" w:hAnsi="仿宋" w:eastAsia="仿宋"/>
          <w:sz w:val="32"/>
          <w:szCs w:val="32"/>
        </w:rPr>
        <w:t>3</w:t>
      </w:r>
      <w:r>
        <w:rPr>
          <w:rFonts w:hint="eastAsia" w:ascii="仿宋" w:hAnsi="仿宋" w:eastAsia="仿宋"/>
          <w:sz w:val="32"/>
          <w:szCs w:val="32"/>
        </w:rPr>
        <w:t>年收入预算</w:t>
      </w:r>
      <w:r>
        <w:rPr>
          <w:rFonts w:hint="eastAsia" w:ascii="仿宋_GB2312" w:hAnsi="Batang" w:eastAsia="仿宋_GB2312"/>
          <w:sz w:val="32"/>
          <w:szCs w:val="32"/>
        </w:rPr>
        <w:t>270,841,356.32</w:t>
      </w:r>
      <w:r>
        <w:rPr>
          <w:rFonts w:hint="eastAsia" w:ascii="仿宋" w:hAnsi="仿宋" w:eastAsia="仿宋"/>
          <w:sz w:val="32"/>
          <w:szCs w:val="32"/>
        </w:rPr>
        <w:t>元。202</w:t>
      </w:r>
      <w:r>
        <w:rPr>
          <w:rFonts w:ascii="仿宋" w:hAnsi="仿宋" w:eastAsia="仿宋"/>
          <w:sz w:val="32"/>
          <w:szCs w:val="32"/>
        </w:rPr>
        <w:t>4</w:t>
      </w:r>
      <w:r>
        <w:rPr>
          <w:rFonts w:hint="eastAsia" w:ascii="仿宋" w:hAnsi="仿宋" w:eastAsia="仿宋"/>
          <w:sz w:val="32"/>
          <w:szCs w:val="32"/>
        </w:rPr>
        <w:t>年收入预算比</w:t>
      </w:r>
      <w:r>
        <w:rPr>
          <w:rFonts w:ascii="仿宋" w:hAnsi="仿宋" w:eastAsia="仿宋"/>
          <w:sz w:val="32"/>
          <w:szCs w:val="32"/>
        </w:rPr>
        <w:t>20</w:t>
      </w:r>
      <w:r>
        <w:rPr>
          <w:rFonts w:hint="eastAsia" w:ascii="仿宋" w:hAnsi="仿宋" w:eastAsia="仿宋"/>
          <w:sz w:val="32"/>
          <w:szCs w:val="32"/>
        </w:rPr>
        <w:t>2</w:t>
      </w:r>
      <w:r>
        <w:rPr>
          <w:rFonts w:ascii="仿宋" w:hAnsi="仿宋" w:eastAsia="仿宋"/>
          <w:sz w:val="32"/>
          <w:szCs w:val="32"/>
        </w:rPr>
        <w:t>3</w:t>
      </w:r>
      <w:r>
        <w:rPr>
          <w:rFonts w:hint="eastAsia" w:ascii="仿宋" w:hAnsi="仿宋" w:eastAsia="仿宋"/>
          <w:sz w:val="32"/>
          <w:szCs w:val="32"/>
        </w:rPr>
        <w:t>年增加57,835,507.82元，增长</w:t>
      </w:r>
      <w:r>
        <w:rPr>
          <w:rFonts w:ascii="仿宋" w:hAnsi="仿宋" w:eastAsia="仿宋"/>
          <w:sz w:val="32"/>
          <w:szCs w:val="32"/>
        </w:rPr>
        <w:t>21.35</w:t>
      </w:r>
      <w:r>
        <w:rPr>
          <w:rFonts w:hint="eastAsia" w:ascii="仿宋" w:hAnsi="仿宋" w:eastAsia="仿宋"/>
          <w:sz w:val="32"/>
          <w:szCs w:val="32"/>
        </w:rPr>
        <w:t>%，主要原因为事业收入安排略有增加、财政项目收入有增加。我单位不涉及政府性基金收入预算。</w:t>
      </w:r>
    </w:p>
    <w:p>
      <w:pPr>
        <w:spacing w:line="560" w:lineRule="exact"/>
        <w:ind w:firstLine="640" w:firstLineChars="200"/>
        <w:rPr>
          <w:rFonts w:ascii="仿宋" w:hAnsi="仿宋" w:eastAsia="仿宋"/>
          <w:b/>
          <w:sz w:val="32"/>
          <w:szCs w:val="32"/>
        </w:rPr>
      </w:pPr>
      <w:r>
        <w:rPr>
          <w:rFonts w:ascii="仿宋" w:hAnsi="仿宋" w:eastAsia="仿宋"/>
          <w:sz w:val="32"/>
          <w:szCs w:val="32"/>
        </w:rPr>
        <w:tab/>
      </w:r>
      <w:r>
        <w:rPr>
          <w:rFonts w:hint="eastAsia" w:ascii="仿宋" w:hAnsi="仿宋" w:eastAsia="仿宋" w:cs="黑体"/>
          <w:b/>
          <w:sz w:val="32"/>
          <w:szCs w:val="32"/>
        </w:rPr>
        <w:t>（二）支出预算说明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年支出预算</w:t>
      </w:r>
      <w:r>
        <w:rPr>
          <w:rFonts w:hint="eastAsia" w:ascii="仿宋_GB2312" w:hAnsi="Batang" w:eastAsia="仿宋_GB2312"/>
          <w:sz w:val="32"/>
          <w:szCs w:val="32"/>
        </w:rPr>
        <w:t>328,676,864.14</w:t>
      </w:r>
      <w:r>
        <w:rPr>
          <w:rFonts w:hint="eastAsia" w:ascii="仿宋" w:hAnsi="仿宋" w:eastAsia="仿宋"/>
          <w:sz w:val="32"/>
          <w:szCs w:val="32"/>
        </w:rPr>
        <w:t>元，其中：预算内资金安排51,649,673.94元，比202</w:t>
      </w:r>
      <w:r>
        <w:rPr>
          <w:rFonts w:ascii="仿宋" w:hAnsi="仿宋" w:eastAsia="仿宋"/>
          <w:sz w:val="32"/>
          <w:szCs w:val="32"/>
        </w:rPr>
        <w:t>3</w:t>
      </w:r>
      <w:r>
        <w:rPr>
          <w:rFonts w:hint="eastAsia" w:ascii="仿宋" w:hAnsi="仿宋" w:eastAsia="仿宋"/>
          <w:sz w:val="32"/>
          <w:szCs w:val="32"/>
        </w:rPr>
        <w:t>年42,310,601.89元增加了9,339,072.05元，增长22.07%，主要原因为项目资金预算安排增加，财政专户资金安排0.00元，与202</w:t>
      </w:r>
      <w:r>
        <w:rPr>
          <w:rFonts w:ascii="仿宋" w:hAnsi="仿宋" w:eastAsia="仿宋"/>
          <w:sz w:val="32"/>
          <w:szCs w:val="32"/>
        </w:rPr>
        <w:t>3</w:t>
      </w:r>
      <w:r>
        <w:rPr>
          <w:rFonts w:hint="eastAsia" w:ascii="仿宋" w:hAnsi="仿宋" w:eastAsia="仿宋"/>
          <w:sz w:val="32"/>
          <w:szCs w:val="32"/>
        </w:rPr>
        <w:t>年持平，其他资金安排</w:t>
      </w:r>
      <w:r>
        <w:rPr>
          <w:rFonts w:hint="eastAsia" w:ascii="仿宋_GB2312" w:hAnsi="Batang" w:eastAsia="仿宋_GB2312"/>
          <w:sz w:val="32"/>
          <w:szCs w:val="32"/>
        </w:rPr>
        <w:t>277,027,190.20</w:t>
      </w:r>
      <w:r>
        <w:rPr>
          <w:rFonts w:hint="eastAsia" w:ascii="仿宋" w:hAnsi="仿宋" w:eastAsia="仿宋"/>
          <w:sz w:val="32"/>
          <w:szCs w:val="32"/>
        </w:rPr>
        <w:t>元，比202</w:t>
      </w:r>
      <w:r>
        <w:rPr>
          <w:rFonts w:ascii="仿宋" w:hAnsi="仿宋" w:eastAsia="仿宋"/>
          <w:sz w:val="32"/>
          <w:szCs w:val="32"/>
        </w:rPr>
        <w:t>3</w:t>
      </w:r>
      <w:r>
        <w:rPr>
          <w:rFonts w:hint="eastAsia" w:ascii="仿宋" w:hAnsi="仿宋" w:eastAsia="仿宋"/>
          <w:sz w:val="32"/>
          <w:szCs w:val="32"/>
        </w:rPr>
        <w:t>年预算</w:t>
      </w:r>
      <w:r>
        <w:rPr>
          <w:rFonts w:hint="eastAsia" w:ascii="仿宋_GB2312" w:hAnsi="Batang" w:eastAsia="仿宋_GB2312"/>
          <w:sz w:val="32"/>
          <w:szCs w:val="32"/>
        </w:rPr>
        <w:t>228,530,754.43</w:t>
      </w:r>
      <w:r>
        <w:rPr>
          <w:rFonts w:hint="eastAsia" w:ascii="仿宋" w:hAnsi="仿宋" w:eastAsia="仿宋"/>
          <w:sz w:val="32"/>
          <w:szCs w:val="32"/>
        </w:rPr>
        <w:t>元增加48,496,435.77元， 增长</w:t>
      </w:r>
      <w:r>
        <w:rPr>
          <w:rFonts w:ascii="仿宋" w:hAnsi="仿宋" w:eastAsia="仿宋"/>
          <w:sz w:val="32"/>
          <w:szCs w:val="32"/>
        </w:rPr>
        <w:t>21.22</w:t>
      </w:r>
      <w:r>
        <w:rPr>
          <w:rFonts w:hint="eastAsia" w:ascii="仿宋" w:hAnsi="仿宋" w:eastAsia="仿宋"/>
          <w:sz w:val="32"/>
          <w:szCs w:val="32"/>
        </w:rPr>
        <w:t>%，主要原因为基本支出、项目支出均有增加。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三、主要支出情况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年支出预算</w:t>
      </w:r>
      <w:r>
        <w:rPr>
          <w:rFonts w:hint="eastAsia" w:ascii="仿宋_GB2312" w:hAnsi="Batang" w:eastAsia="仿宋_GB2312"/>
          <w:sz w:val="32"/>
          <w:szCs w:val="32"/>
        </w:rPr>
        <w:t>328,676,864.14</w:t>
      </w:r>
      <w:r>
        <w:rPr>
          <w:rFonts w:hint="eastAsia" w:ascii="仿宋" w:hAnsi="仿宋" w:eastAsia="仿宋"/>
          <w:sz w:val="32"/>
          <w:szCs w:val="32"/>
        </w:rPr>
        <w:t>元，按用途划分：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1.基本支出预算231,548,227.14元，其中财政拨款基本支出29,450,086.94元。主要包括在职、离退休人员支出、个人和家庭补助支出、公用支出。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2.项目支出预算97,128,637.00元，其中财政拨款项目支出22,199,587.00元。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主要项目是①特色发展和优势专科建设补助②第二医院装修改造工程③病案数字化管理及病案托管④小型修缮补助经费</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5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⑤</w:t>
      </w:r>
      <w:r>
        <w:rPr>
          <w:rFonts w:ascii="仿宋" w:hAnsi="仿宋" w:eastAsia="仿宋"/>
          <w:sz w:val="32"/>
          <w:szCs w:val="32"/>
        </w:rPr>
        <w:fldChar w:fldCharType="end"/>
      </w:r>
      <w:r>
        <w:rPr>
          <w:rFonts w:hint="eastAsia" w:ascii="仿宋" w:hAnsi="仿宋" w:eastAsia="仿宋"/>
          <w:sz w:val="32"/>
          <w:szCs w:val="32"/>
        </w:rPr>
        <w:t>预防性体检开展从业人员健康检查费用减免工作（健康证）</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6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⑥</w:t>
      </w:r>
      <w:r>
        <w:rPr>
          <w:rFonts w:ascii="仿宋" w:hAnsi="仿宋" w:eastAsia="仿宋"/>
          <w:sz w:val="32"/>
          <w:szCs w:val="32"/>
        </w:rPr>
        <w:fldChar w:fldCharType="end"/>
      </w:r>
      <w:r>
        <w:rPr>
          <w:rFonts w:hint="eastAsia" w:ascii="仿宋" w:hAnsi="仿宋" w:eastAsia="仿宋"/>
          <w:sz w:val="32"/>
          <w:szCs w:val="32"/>
        </w:rPr>
        <w:t>西城区肿瘤登记处建设经费。</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四、部门“三公”经费财政拨款预算说明</w:t>
      </w:r>
    </w:p>
    <w:p>
      <w:pPr>
        <w:spacing w:line="560" w:lineRule="exact"/>
        <w:ind w:firstLine="640" w:firstLineChars="200"/>
        <w:rPr>
          <w:rFonts w:ascii="仿宋" w:hAnsi="仿宋" w:eastAsia="仿宋"/>
          <w:b/>
          <w:sz w:val="32"/>
          <w:szCs w:val="32"/>
        </w:rPr>
      </w:pPr>
      <w:r>
        <w:rPr>
          <w:rFonts w:hint="eastAsia" w:ascii="仿宋" w:hAnsi="仿宋" w:eastAsia="仿宋"/>
          <w:b/>
          <w:sz w:val="32"/>
          <w:szCs w:val="32"/>
        </w:rPr>
        <w:t>（一）“三公”经费的单位范围</w:t>
      </w:r>
    </w:p>
    <w:p>
      <w:pPr>
        <w:spacing w:line="560" w:lineRule="exact"/>
        <w:ind w:firstLine="640" w:firstLineChars="200"/>
        <w:rPr>
          <w:rFonts w:ascii="仿宋" w:hAnsi="仿宋" w:eastAsia="仿宋"/>
          <w:sz w:val="32"/>
          <w:szCs w:val="32"/>
        </w:rPr>
      </w:pPr>
      <w:r>
        <w:rPr>
          <w:rFonts w:hint="eastAsia" w:ascii="仿宋_GB2312" w:hAnsi="黑体" w:eastAsia="仿宋_GB2312" w:cs="仿宋_GB2312"/>
          <w:sz w:val="32"/>
          <w:szCs w:val="32"/>
        </w:rPr>
        <w:t>北京市第二医院</w:t>
      </w:r>
      <w:r>
        <w:rPr>
          <w:rFonts w:hint="eastAsia" w:ascii="仿宋" w:hAnsi="仿宋" w:eastAsia="仿宋"/>
          <w:sz w:val="32"/>
          <w:szCs w:val="32"/>
        </w:rPr>
        <w:t>部门预算中因公出国（境）费、公务接待费、公务用车购置及运行维护费的支出单位包括1个所属单位，</w:t>
      </w:r>
      <w:r>
        <w:rPr>
          <w:rFonts w:hint="eastAsia" w:ascii="仿宋_GB2312" w:hAnsi="黑体" w:eastAsia="仿宋_GB2312" w:cs="仿宋_GB2312"/>
          <w:sz w:val="32"/>
          <w:szCs w:val="32"/>
        </w:rPr>
        <w:t>即北京市第二医院</w:t>
      </w:r>
      <w:r>
        <w:rPr>
          <w:rFonts w:hint="eastAsia" w:ascii="仿宋" w:hAnsi="仿宋" w:eastAsia="仿宋"/>
          <w:sz w:val="32"/>
          <w:szCs w:val="32"/>
        </w:rPr>
        <w:t>。</w:t>
      </w:r>
    </w:p>
    <w:p>
      <w:pPr>
        <w:spacing w:line="560" w:lineRule="exact"/>
        <w:ind w:firstLine="640" w:firstLineChars="200"/>
        <w:rPr>
          <w:rFonts w:ascii="仿宋" w:hAnsi="仿宋" w:eastAsia="仿宋"/>
          <w:b/>
          <w:color w:val="000000"/>
          <w:sz w:val="32"/>
          <w:szCs w:val="32"/>
        </w:rPr>
      </w:pPr>
      <w:r>
        <w:rPr>
          <w:rFonts w:hint="eastAsia" w:ascii="仿宋" w:hAnsi="仿宋" w:eastAsia="仿宋"/>
          <w:b/>
          <w:sz w:val="32"/>
          <w:szCs w:val="32"/>
        </w:rPr>
        <w:t>（二）</w:t>
      </w:r>
      <w:r>
        <w:rPr>
          <w:rFonts w:ascii="仿宋" w:hAnsi="仿宋" w:eastAsia="仿宋"/>
          <w:b/>
          <w:color w:val="000000"/>
          <w:sz w:val="32"/>
          <w:szCs w:val="32"/>
        </w:rPr>
        <w:t>“</w:t>
      </w:r>
      <w:r>
        <w:rPr>
          <w:rFonts w:hint="eastAsia" w:ascii="仿宋" w:hAnsi="仿宋" w:eastAsia="仿宋"/>
          <w:b/>
          <w:color w:val="000000"/>
          <w:sz w:val="32"/>
          <w:szCs w:val="32"/>
        </w:rPr>
        <w:t>三公</w:t>
      </w:r>
      <w:r>
        <w:rPr>
          <w:rFonts w:ascii="仿宋" w:hAnsi="仿宋" w:eastAsia="仿宋"/>
          <w:b/>
          <w:color w:val="000000"/>
          <w:sz w:val="32"/>
          <w:szCs w:val="32"/>
        </w:rPr>
        <w:t>”</w:t>
      </w:r>
      <w:r>
        <w:rPr>
          <w:rFonts w:hint="eastAsia" w:ascii="仿宋" w:hAnsi="仿宋" w:eastAsia="仿宋"/>
          <w:b/>
          <w:color w:val="000000"/>
          <w:sz w:val="32"/>
          <w:szCs w:val="32"/>
        </w:rPr>
        <w:t>经费预算财政</w:t>
      </w:r>
      <w:r>
        <w:rPr>
          <w:rFonts w:ascii="仿宋" w:hAnsi="仿宋" w:eastAsia="仿宋"/>
          <w:b/>
          <w:color w:val="000000"/>
          <w:sz w:val="32"/>
          <w:szCs w:val="32"/>
        </w:rPr>
        <w:t>拨款情况</w:t>
      </w:r>
      <w:r>
        <w:rPr>
          <w:rFonts w:hint="eastAsia"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年部门预算“三公”经费财政拨款预算安排0.00元，其中：</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1.因公出国（境）费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年财政拨款预算安排0.00元。202</w:t>
      </w:r>
      <w:r>
        <w:rPr>
          <w:rFonts w:ascii="仿宋" w:hAnsi="仿宋" w:eastAsia="仿宋"/>
          <w:sz w:val="32"/>
          <w:szCs w:val="32"/>
        </w:rPr>
        <w:t>3</w:t>
      </w:r>
      <w:r>
        <w:rPr>
          <w:rFonts w:hint="eastAsia" w:ascii="仿宋" w:hAnsi="仿宋" w:eastAsia="仿宋"/>
          <w:sz w:val="32"/>
          <w:szCs w:val="32"/>
        </w:rPr>
        <w:t>年财政拨款预算安排0.00元，与202</w:t>
      </w:r>
      <w:r>
        <w:rPr>
          <w:rFonts w:ascii="仿宋" w:hAnsi="仿宋" w:eastAsia="仿宋"/>
          <w:sz w:val="32"/>
          <w:szCs w:val="32"/>
        </w:rPr>
        <w:t>3</w:t>
      </w:r>
      <w:r>
        <w:rPr>
          <w:rFonts w:hint="eastAsia" w:ascii="仿宋" w:hAnsi="仿宋" w:eastAsia="仿宋"/>
          <w:sz w:val="32"/>
          <w:szCs w:val="32"/>
        </w:rPr>
        <w:t>年持平，</w:t>
      </w:r>
      <w:r>
        <w:rPr>
          <w:rFonts w:hint="eastAsia" w:ascii="仿宋" w:hAnsi="仿宋" w:eastAsia="仿宋" w:cs="宋体"/>
          <w:sz w:val="32"/>
          <w:szCs w:val="32"/>
        </w:rPr>
        <w:t>近两年均未有此类财政拨款预算安排。</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2.公务接待费</w:t>
      </w:r>
    </w:p>
    <w:p>
      <w:pPr>
        <w:spacing w:line="560" w:lineRule="exact"/>
        <w:ind w:firstLine="640" w:firstLineChars="200"/>
        <w:rPr>
          <w:rFonts w:ascii="仿宋" w:hAnsi="仿宋" w:eastAsia="仿宋"/>
          <w:sz w:val="32"/>
          <w:szCs w:val="32"/>
        </w:rPr>
      </w:pPr>
      <w:r>
        <w:rPr>
          <w:rFonts w:ascii="仿宋_GB2312" w:hAnsi="黑体" w:eastAsia="仿宋_GB2312" w:cs="仿宋_GB2312"/>
          <w:sz w:val="32"/>
          <w:szCs w:val="32"/>
        </w:rPr>
        <w:t>20</w:t>
      </w:r>
      <w:r>
        <w:rPr>
          <w:rFonts w:hint="eastAsia" w:ascii="仿宋_GB2312" w:hAnsi="黑体" w:eastAsia="仿宋_GB2312" w:cs="仿宋_GB2312"/>
          <w:sz w:val="32"/>
          <w:szCs w:val="32"/>
        </w:rPr>
        <w:t>2</w:t>
      </w:r>
      <w:r>
        <w:rPr>
          <w:rFonts w:ascii="仿宋_GB2312" w:hAnsi="黑体" w:eastAsia="仿宋_GB2312" w:cs="仿宋_GB2312"/>
          <w:sz w:val="32"/>
          <w:szCs w:val="32"/>
        </w:rPr>
        <w:t>4</w:t>
      </w:r>
      <w:r>
        <w:rPr>
          <w:rFonts w:hint="eastAsia" w:ascii="仿宋_GB2312" w:hAnsi="黑体" w:eastAsia="仿宋_GB2312" w:cs="仿宋_GB2312"/>
          <w:sz w:val="32"/>
          <w:szCs w:val="32"/>
        </w:rPr>
        <w:t>年财政拨款预算安排</w:t>
      </w:r>
      <w:r>
        <w:rPr>
          <w:rFonts w:ascii="仿宋_GB2312" w:hAnsi="黑体" w:eastAsia="仿宋_GB2312" w:cs="仿宋_GB2312"/>
          <w:sz w:val="32"/>
          <w:szCs w:val="32"/>
        </w:rPr>
        <w:t>0</w:t>
      </w:r>
      <w:r>
        <w:rPr>
          <w:rFonts w:hint="eastAsia" w:ascii="仿宋_GB2312" w:hAnsi="黑体" w:eastAsia="仿宋_GB2312" w:cs="仿宋_GB2312"/>
          <w:sz w:val="32"/>
          <w:szCs w:val="32"/>
        </w:rPr>
        <w:t>.00元。</w:t>
      </w:r>
      <w:r>
        <w:rPr>
          <w:rFonts w:ascii="仿宋_GB2312" w:hAnsi="黑体" w:eastAsia="仿宋_GB2312" w:cs="仿宋_GB2312"/>
          <w:sz w:val="32"/>
          <w:szCs w:val="32"/>
        </w:rPr>
        <w:t>20</w:t>
      </w:r>
      <w:r>
        <w:rPr>
          <w:rFonts w:hint="eastAsia" w:ascii="仿宋_GB2312" w:hAnsi="黑体" w:eastAsia="仿宋_GB2312" w:cs="仿宋_GB2312"/>
          <w:sz w:val="32"/>
          <w:szCs w:val="32"/>
        </w:rPr>
        <w:t>2</w:t>
      </w:r>
      <w:r>
        <w:rPr>
          <w:rFonts w:ascii="仿宋_GB2312" w:hAnsi="黑体" w:eastAsia="仿宋_GB2312" w:cs="仿宋_GB2312"/>
          <w:sz w:val="32"/>
          <w:szCs w:val="32"/>
        </w:rPr>
        <w:t>3</w:t>
      </w:r>
      <w:r>
        <w:rPr>
          <w:rFonts w:hint="eastAsia" w:ascii="仿宋_GB2312" w:hAnsi="黑体" w:eastAsia="仿宋_GB2312" w:cs="仿宋_GB2312"/>
          <w:sz w:val="32"/>
          <w:szCs w:val="32"/>
        </w:rPr>
        <w:t>年财政拨款预算安排</w:t>
      </w:r>
      <w:r>
        <w:rPr>
          <w:rFonts w:ascii="仿宋_GB2312" w:hAnsi="黑体" w:eastAsia="仿宋_GB2312" w:cs="仿宋_GB2312"/>
          <w:sz w:val="32"/>
          <w:szCs w:val="32"/>
        </w:rPr>
        <w:t>0</w:t>
      </w:r>
      <w:r>
        <w:rPr>
          <w:rFonts w:hint="eastAsia" w:ascii="仿宋_GB2312" w:hAnsi="黑体" w:eastAsia="仿宋_GB2312" w:cs="仿宋_GB2312"/>
          <w:sz w:val="32"/>
          <w:szCs w:val="32"/>
        </w:rPr>
        <w:t>.00元，</w:t>
      </w:r>
      <w:r>
        <w:rPr>
          <w:rFonts w:hint="eastAsia" w:ascii="仿宋" w:hAnsi="仿宋" w:eastAsia="仿宋"/>
          <w:sz w:val="32"/>
          <w:szCs w:val="32"/>
        </w:rPr>
        <w:t>与202</w:t>
      </w:r>
      <w:r>
        <w:rPr>
          <w:rFonts w:ascii="仿宋" w:hAnsi="仿宋" w:eastAsia="仿宋"/>
          <w:sz w:val="32"/>
          <w:szCs w:val="32"/>
        </w:rPr>
        <w:t>3</w:t>
      </w:r>
      <w:r>
        <w:rPr>
          <w:rFonts w:hint="eastAsia" w:ascii="仿宋" w:hAnsi="仿宋" w:eastAsia="仿宋"/>
          <w:sz w:val="32"/>
          <w:szCs w:val="32"/>
        </w:rPr>
        <w:t>年持平，</w:t>
      </w:r>
      <w:r>
        <w:rPr>
          <w:rFonts w:hint="eastAsia" w:ascii="仿宋" w:hAnsi="仿宋" w:eastAsia="仿宋" w:cs="宋体"/>
          <w:sz w:val="32"/>
          <w:szCs w:val="32"/>
        </w:rPr>
        <w:t>近两年均未有此类财政拨款预算安排。</w:t>
      </w:r>
      <w:r>
        <w:rPr>
          <w:rFonts w:hint="eastAsia" w:ascii="仿宋" w:hAnsi="仿宋" w:eastAsia="仿宋"/>
          <w:sz w:val="32"/>
          <w:szCs w:val="32"/>
        </w:rPr>
        <w:t xml:space="preserve">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3.公务用车购置及运行维护费</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w:t>
      </w:r>
      <w:r>
        <w:rPr>
          <w:rFonts w:hint="eastAsia" w:ascii="仿宋_GB2312" w:hAnsi="黑体" w:eastAsia="仿宋_GB2312" w:cs="仿宋_GB2312"/>
          <w:sz w:val="32"/>
          <w:szCs w:val="32"/>
        </w:rPr>
        <w:t>2</w:t>
      </w:r>
      <w:r>
        <w:rPr>
          <w:rFonts w:ascii="仿宋_GB2312" w:hAnsi="黑体" w:eastAsia="仿宋_GB2312" w:cs="仿宋_GB2312"/>
          <w:sz w:val="32"/>
          <w:szCs w:val="32"/>
        </w:rPr>
        <w:t>4</w:t>
      </w:r>
      <w:r>
        <w:rPr>
          <w:rFonts w:hint="eastAsia" w:ascii="仿宋_GB2312" w:hAnsi="黑体" w:eastAsia="仿宋_GB2312" w:cs="仿宋_GB2312"/>
          <w:sz w:val="32"/>
          <w:szCs w:val="32"/>
        </w:rPr>
        <w:t>年公务用车数量为</w:t>
      </w:r>
      <w:r>
        <w:rPr>
          <w:rFonts w:ascii="仿宋_GB2312" w:hAnsi="黑体" w:eastAsia="仿宋_GB2312" w:cs="仿宋_GB2312"/>
          <w:sz w:val="32"/>
          <w:szCs w:val="32"/>
        </w:rPr>
        <w:t>0</w:t>
      </w:r>
      <w:r>
        <w:rPr>
          <w:rFonts w:hint="eastAsia" w:ascii="仿宋_GB2312" w:hAnsi="黑体" w:eastAsia="仿宋_GB2312" w:cs="仿宋_GB2312"/>
          <w:sz w:val="32"/>
          <w:szCs w:val="32"/>
        </w:rPr>
        <w:t>辆，财政拨款预算安排</w:t>
      </w:r>
      <w:r>
        <w:rPr>
          <w:rFonts w:ascii="仿宋_GB2312" w:hAnsi="黑体" w:eastAsia="仿宋_GB2312" w:cs="仿宋_GB2312"/>
          <w:sz w:val="32"/>
          <w:szCs w:val="32"/>
        </w:rPr>
        <w:t>0</w:t>
      </w:r>
      <w:r>
        <w:rPr>
          <w:rFonts w:hint="eastAsia" w:ascii="仿宋_GB2312" w:hAnsi="黑体" w:eastAsia="仿宋_GB2312" w:cs="仿宋_GB2312"/>
          <w:sz w:val="32"/>
          <w:szCs w:val="32"/>
        </w:rPr>
        <w:t>.00元，其中公务用车购置费</w:t>
      </w:r>
      <w:r>
        <w:rPr>
          <w:rFonts w:ascii="仿宋_GB2312" w:hAnsi="黑体" w:eastAsia="仿宋_GB2312" w:cs="仿宋_GB2312"/>
          <w:sz w:val="32"/>
          <w:szCs w:val="32"/>
        </w:rPr>
        <w:t>0</w:t>
      </w:r>
      <w:r>
        <w:rPr>
          <w:rFonts w:hint="eastAsia" w:ascii="仿宋_GB2312" w:hAnsi="黑体" w:eastAsia="仿宋_GB2312" w:cs="仿宋_GB2312"/>
          <w:sz w:val="32"/>
          <w:szCs w:val="32"/>
        </w:rPr>
        <w:t>.00元，公务用车运行维护费</w:t>
      </w:r>
      <w:r>
        <w:rPr>
          <w:rFonts w:ascii="仿宋_GB2312" w:hAnsi="黑体" w:eastAsia="仿宋_GB2312" w:cs="仿宋_GB2312"/>
          <w:sz w:val="32"/>
          <w:szCs w:val="32"/>
        </w:rPr>
        <w:t>0</w:t>
      </w:r>
      <w:r>
        <w:rPr>
          <w:rFonts w:hint="eastAsia" w:ascii="仿宋_GB2312" w:hAnsi="黑体" w:eastAsia="仿宋_GB2312" w:cs="仿宋_GB2312"/>
          <w:sz w:val="32"/>
          <w:szCs w:val="32"/>
        </w:rPr>
        <w:t>.00元。</w:t>
      </w:r>
      <w:r>
        <w:rPr>
          <w:rFonts w:ascii="仿宋_GB2312" w:hAnsi="黑体" w:eastAsia="仿宋_GB2312" w:cs="仿宋_GB2312"/>
          <w:sz w:val="32"/>
          <w:szCs w:val="32"/>
        </w:rPr>
        <w:t>20</w:t>
      </w:r>
      <w:r>
        <w:rPr>
          <w:rFonts w:hint="eastAsia" w:ascii="仿宋_GB2312" w:hAnsi="黑体" w:eastAsia="仿宋_GB2312" w:cs="仿宋_GB2312"/>
          <w:sz w:val="32"/>
          <w:szCs w:val="32"/>
        </w:rPr>
        <w:t>2</w:t>
      </w:r>
      <w:r>
        <w:rPr>
          <w:rFonts w:ascii="仿宋_GB2312" w:hAnsi="黑体" w:eastAsia="仿宋_GB2312" w:cs="仿宋_GB2312"/>
          <w:sz w:val="32"/>
          <w:szCs w:val="32"/>
        </w:rPr>
        <w:t>4</w:t>
      </w:r>
      <w:r>
        <w:rPr>
          <w:rFonts w:hint="eastAsia" w:ascii="仿宋_GB2312" w:hAnsi="黑体" w:eastAsia="仿宋_GB2312" w:cs="仿宋_GB2312"/>
          <w:sz w:val="32"/>
          <w:szCs w:val="32"/>
        </w:rPr>
        <w:t>年财政拨款预算安排</w:t>
      </w:r>
      <w:r>
        <w:rPr>
          <w:rFonts w:ascii="仿宋_GB2312" w:hAnsi="黑体" w:eastAsia="仿宋_GB2312" w:cs="仿宋_GB2312"/>
          <w:sz w:val="32"/>
          <w:szCs w:val="32"/>
        </w:rPr>
        <w:t>0</w:t>
      </w:r>
      <w:r>
        <w:rPr>
          <w:rFonts w:hint="eastAsia" w:ascii="仿宋_GB2312" w:hAnsi="黑体" w:eastAsia="仿宋_GB2312" w:cs="仿宋_GB2312"/>
          <w:sz w:val="32"/>
          <w:szCs w:val="32"/>
        </w:rPr>
        <w:t>.00元，</w:t>
      </w:r>
      <w:r>
        <w:rPr>
          <w:rFonts w:hint="eastAsia" w:ascii="仿宋" w:hAnsi="仿宋" w:eastAsia="仿宋"/>
          <w:sz w:val="32"/>
          <w:szCs w:val="32"/>
        </w:rPr>
        <w:t>与202</w:t>
      </w:r>
      <w:r>
        <w:rPr>
          <w:rFonts w:ascii="仿宋" w:hAnsi="仿宋" w:eastAsia="仿宋"/>
          <w:sz w:val="32"/>
          <w:szCs w:val="32"/>
        </w:rPr>
        <w:t>3</w:t>
      </w:r>
      <w:r>
        <w:rPr>
          <w:rFonts w:hint="eastAsia" w:ascii="仿宋" w:hAnsi="仿宋" w:eastAsia="仿宋"/>
          <w:sz w:val="32"/>
          <w:szCs w:val="32"/>
        </w:rPr>
        <w:t>年持平，</w:t>
      </w:r>
      <w:r>
        <w:rPr>
          <w:rFonts w:hint="eastAsia" w:ascii="仿宋" w:hAnsi="仿宋" w:eastAsia="仿宋" w:cs="宋体"/>
          <w:sz w:val="32"/>
          <w:szCs w:val="32"/>
        </w:rPr>
        <w:t>近两年均未有此类财政拨款预算安排。</w:t>
      </w:r>
    </w:p>
    <w:p>
      <w:pPr>
        <w:spacing w:line="560" w:lineRule="exact"/>
        <w:ind w:firstLine="800" w:firstLineChars="250"/>
        <w:rPr>
          <w:rFonts w:ascii="黑体" w:hAnsi="黑体" w:eastAsia="黑体"/>
          <w:sz w:val="32"/>
          <w:szCs w:val="32"/>
        </w:rPr>
      </w:pPr>
      <w:r>
        <w:rPr>
          <w:rFonts w:hint="eastAsia" w:ascii="黑体" w:hAnsi="黑体" w:eastAsia="黑体"/>
          <w:sz w:val="32"/>
          <w:szCs w:val="32"/>
        </w:rPr>
        <w:t>五、其他情况说明</w:t>
      </w:r>
    </w:p>
    <w:p>
      <w:pPr>
        <w:spacing w:line="560" w:lineRule="exact"/>
        <w:ind w:firstLine="640" w:firstLineChars="200"/>
        <w:rPr>
          <w:rFonts w:ascii="仿宋" w:hAnsi="仿宋" w:eastAsia="仿宋"/>
          <w:b/>
          <w:sz w:val="32"/>
          <w:szCs w:val="32"/>
        </w:rPr>
      </w:pPr>
      <w:r>
        <w:rPr>
          <w:rFonts w:hint="eastAsia" w:ascii="仿宋" w:hAnsi="仿宋" w:eastAsia="仿宋"/>
          <w:b/>
          <w:sz w:val="32"/>
          <w:szCs w:val="32"/>
        </w:rPr>
        <w:t>（一）机关运行经费说明</w:t>
      </w:r>
      <w:r>
        <w:rPr>
          <w:rFonts w:ascii="仿宋" w:hAnsi="仿宋" w:eastAsia="仿宋"/>
          <w:b/>
          <w:sz w:val="32"/>
          <w:szCs w:val="32"/>
        </w:rPr>
        <w:t xml:space="preserve"> </w:t>
      </w:r>
    </w:p>
    <w:p>
      <w:pPr>
        <w:spacing w:line="560" w:lineRule="exact"/>
        <w:ind w:firstLine="640" w:firstLineChars="200"/>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年本部门（含下属单位）履行一般行政事业管理职能、维持机关运行，用于一般公共预算安排的行政运行经费，合计0.00元。</w:t>
      </w:r>
      <w:r>
        <w:rPr>
          <w:rFonts w:hint="eastAsia" w:ascii="仿宋_GB2312" w:hAnsi="黑体" w:eastAsia="仿宋_GB2312" w:cs="仿宋_GB2312"/>
          <w:sz w:val="32"/>
          <w:szCs w:val="32"/>
        </w:rPr>
        <w:t>与去年同期持平，</w:t>
      </w:r>
      <w:r>
        <w:rPr>
          <w:rFonts w:hint="eastAsia" w:ascii="仿宋" w:hAnsi="仿宋" w:eastAsia="仿宋" w:cs="宋体"/>
          <w:sz w:val="32"/>
          <w:szCs w:val="32"/>
        </w:rPr>
        <w:t>近两年均未有此类财政拨款预算安排。</w:t>
      </w:r>
    </w:p>
    <w:p>
      <w:pPr>
        <w:spacing w:line="560" w:lineRule="exact"/>
        <w:ind w:firstLine="640" w:firstLineChars="200"/>
        <w:rPr>
          <w:rFonts w:ascii="仿宋" w:hAnsi="仿宋" w:eastAsia="仿宋"/>
          <w:b/>
          <w:color w:val="000000"/>
          <w:sz w:val="32"/>
          <w:szCs w:val="32"/>
        </w:rPr>
      </w:pPr>
      <w:r>
        <w:rPr>
          <w:rFonts w:hint="eastAsia" w:ascii="仿宋" w:hAnsi="仿宋" w:eastAsia="仿宋"/>
          <w:b/>
          <w:color w:val="000000"/>
          <w:sz w:val="32"/>
          <w:szCs w:val="32"/>
        </w:rPr>
        <w:t>（二）政府</w:t>
      </w:r>
      <w:r>
        <w:rPr>
          <w:rFonts w:ascii="仿宋" w:hAnsi="仿宋" w:eastAsia="仿宋"/>
          <w:b/>
          <w:color w:val="000000"/>
          <w:sz w:val="32"/>
          <w:szCs w:val="32"/>
        </w:rPr>
        <w:t>采购预算说明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年涉及政府采购项目23个，预算资金35,466,400.00元，其中预算内资金550,000.00元、其他资金34,916,400.00元。</w:t>
      </w:r>
    </w:p>
    <w:p>
      <w:pPr>
        <w:spacing w:line="560" w:lineRule="exact"/>
        <w:ind w:firstLine="640" w:firstLineChars="200"/>
        <w:rPr>
          <w:rFonts w:ascii="仿宋" w:hAnsi="仿宋" w:eastAsia="仿宋"/>
          <w:b/>
          <w:color w:val="000000"/>
          <w:sz w:val="32"/>
          <w:szCs w:val="32"/>
        </w:rPr>
      </w:pPr>
      <w:r>
        <w:rPr>
          <w:rFonts w:hint="eastAsia" w:ascii="仿宋" w:hAnsi="仿宋" w:eastAsia="仿宋"/>
          <w:b/>
          <w:sz w:val="32"/>
          <w:szCs w:val="32"/>
        </w:rPr>
        <w:t>（三）</w:t>
      </w:r>
      <w:r>
        <w:rPr>
          <w:rFonts w:hint="eastAsia" w:ascii="仿宋" w:hAnsi="仿宋" w:eastAsia="仿宋"/>
          <w:b/>
          <w:color w:val="000000"/>
          <w:sz w:val="32"/>
          <w:szCs w:val="32"/>
        </w:rPr>
        <w:t>政府购买服务</w:t>
      </w:r>
      <w:r>
        <w:rPr>
          <w:rFonts w:ascii="仿宋" w:hAnsi="仿宋" w:eastAsia="仿宋"/>
          <w:b/>
          <w:color w:val="000000"/>
          <w:sz w:val="32"/>
          <w:szCs w:val="32"/>
        </w:rPr>
        <w:t>预算说明</w:t>
      </w:r>
    </w:p>
    <w:p>
      <w:pPr>
        <w:spacing w:line="520" w:lineRule="exact"/>
        <w:ind w:firstLine="640" w:firstLineChars="200"/>
        <w:rPr>
          <w:rFonts w:ascii="仿宋_GB2312" w:hAnsi="黑体" w:eastAsia="仿宋_GB2312"/>
          <w:sz w:val="32"/>
          <w:szCs w:val="32"/>
        </w:rPr>
      </w:pPr>
      <w:r>
        <w:rPr>
          <w:rFonts w:hint="eastAsia" w:ascii="仿宋_GB2312" w:hAnsi="黑体" w:eastAsia="仿宋_GB2312"/>
          <w:sz w:val="32"/>
          <w:szCs w:val="32"/>
        </w:rPr>
        <w:t>202</w:t>
      </w:r>
      <w:r>
        <w:rPr>
          <w:rFonts w:ascii="仿宋_GB2312" w:hAnsi="黑体" w:eastAsia="仿宋_GB2312"/>
          <w:sz w:val="32"/>
          <w:szCs w:val="32"/>
        </w:rPr>
        <w:t>4</w:t>
      </w:r>
      <w:r>
        <w:rPr>
          <w:rFonts w:hint="eastAsia" w:ascii="仿宋_GB2312" w:hAnsi="黑体" w:eastAsia="仿宋_GB2312"/>
          <w:sz w:val="32"/>
          <w:szCs w:val="32"/>
        </w:rPr>
        <w:t>年涉及政府购买服务项目0个，预算资金0.00元。</w:t>
      </w:r>
    </w:p>
    <w:p>
      <w:pPr>
        <w:spacing w:line="560" w:lineRule="exact"/>
        <w:ind w:firstLine="645"/>
        <w:rPr>
          <w:rFonts w:ascii="仿宋" w:hAnsi="仿宋" w:eastAsia="仿宋"/>
          <w:b/>
          <w:color w:val="000000"/>
          <w:sz w:val="32"/>
          <w:szCs w:val="32"/>
        </w:rPr>
      </w:pPr>
      <w:r>
        <w:rPr>
          <w:rFonts w:hint="eastAsia" w:ascii="仿宋" w:hAnsi="仿宋" w:eastAsia="仿宋"/>
          <w:b/>
          <w:color w:val="000000"/>
          <w:sz w:val="32"/>
          <w:szCs w:val="32"/>
        </w:rPr>
        <w:t>（四）绩效目标情况及绩效评价结果</w:t>
      </w:r>
      <w:r>
        <w:rPr>
          <w:rFonts w:ascii="仿宋" w:hAnsi="仿宋" w:eastAsia="仿宋"/>
          <w:b/>
          <w:color w:val="000000"/>
          <w:sz w:val="32"/>
          <w:szCs w:val="32"/>
        </w:rPr>
        <w:t>说明</w:t>
      </w:r>
    </w:p>
    <w:p>
      <w:pPr>
        <w:spacing w:line="52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202</w:t>
      </w:r>
      <w:r>
        <w:rPr>
          <w:rFonts w:ascii="仿宋_GB2312" w:hAnsi="黑体" w:eastAsia="仿宋_GB2312" w:cs="仿宋_GB2312"/>
          <w:sz w:val="32"/>
          <w:szCs w:val="32"/>
        </w:rPr>
        <w:t>4</w:t>
      </w:r>
      <w:r>
        <w:rPr>
          <w:rFonts w:hint="eastAsia" w:ascii="仿宋_GB2312" w:hAnsi="黑体" w:eastAsia="仿宋_GB2312" w:cs="仿宋_GB2312"/>
          <w:sz w:val="32"/>
          <w:szCs w:val="32"/>
        </w:rPr>
        <w:t>年预算内项目1</w:t>
      </w:r>
      <w:r>
        <w:rPr>
          <w:rFonts w:ascii="仿宋_GB2312" w:hAnsi="黑体" w:eastAsia="仿宋_GB2312" w:cs="仿宋_GB2312"/>
          <w:sz w:val="32"/>
          <w:szCs w:val="32"/>
        </w:rPr>
        <w:t>5</w:t>
      </w:r>
      <w:r>
        <w:rPr>
          <w:rFonts w:hint="eastAsia" w:ascii="仿宋_GB2312" w:hAnsi="黑体" w:eastAsia="仿宋_GB2312" w:cs="仿宋_GB2312"/>
          <w:sz w:val="32"/>
          <w:szCs w:val="32"/>
        </w:rPr>
        <w:t>个，预算内资金22,199,587.00元，涉及100万元以上绩效项目</w:t>
      </w:r>
      <w:r>
        <w:rPr>
          <w:rFonts w:ascii="仿宋_GB2312" w:hAnsi="黑体" w:eastAsia="仿宋_GB2312" w:cs="仿宋_GB2312"/>
          <w:sz w:val="32"/>
          <w:szCs w:val="32"/>
        </w:rPr>
        <w:t>5</w:t>
      </w:r>
      <w:r>
        <w:rPr>
          <w:rFonts w:hint="eastAsia" w:ascii="仿宋_GB2312" w:hAnsi="黑体" w:eastAsia="仿宋_GB2312" w:cs="仿宋_GB2312"/>
          <w:sz w:val="32"/>
          <w:szCs w:val="32"/>
        </w:rPr>
        <w:t>个，预算内资金</w:t>
      </w:r>
      <w:r>
        <w:rPr>
          <w:rFonts w:ascii="仿宋_GB2312" w:hAnsi="黑体" w:eastAsia="仿宋_GB2312" w:cs="仿宋_GB2312"/>
          <w:sz w:val="32"/>
          <w:szCs w:val="32"/>
        </w:rPr>
        <w:t>19</w:t>
      </w:r>
      <w:r>
        <w:rPr>
          <w:rFonts w:hint="eastAsia" w:ascii="仿宋_GB2312" w:hAnsi="黑体" w:eastAsia="仿宋_GB2312" w:cs="仿宋_GB2312"/>
          <w:sz w:val="32"/>
          <w:szCs w:val="32"/>
        </w:rPr>
        <w:t>,</w:t>
      </w:r>
      <w:r>
        <w:rPr>
          <w:rFonts w:ascii="仿宋_GB2312" w:hAnsi="黑体" w:eastAsia="仿宋_GB2312" w:cs="仿宋_GB2312"/>
          <w:sz w:val="32"/>
          <w:szCs w:val="32"/>
        </w:rPr>
        <w:t>49</w:t>
      </w:r>
      <w:r>
        <w:rPr>
          <w:rFonts w:hint="eastAsia" w:ascii="仿宋_GB2312" w:hAnsi="黑体" w:eastAsia="仿宋_GB2312" w:cs="仿宋_GB2312"/>
          <w:sz w:val="32"/>
          <w:szCs w:val="32"/>
        </w:rPr>
        <w:t>0,000</w:t>
      </w:r>
      <w:r>
        <w:rPr>
          <w:rFonts w:ascii="仿宋_GB2312" w:hAnsi="黑体" w:eastAsia="仿宋_GB2312" w:cs="仿宋_GB2312"/>
          <w:sz w:val="32"/>
          <w:szCs w:val="32"/>
        </w:rPr>
        <w:t>.00</w:t>
      </w:r>
      <w:r>
        <w:rPr>
          <w:rFonts w:hint="eastAsia" w:ascii="仿宋_GB2312" w:hAnsi="黑体" w:eastAsia="仿宋_GB2312" w:cs="仿宋_GB2312"/>
          <w:sz w:val="32"/>
          <w:szCs w:val="32"/>
        </w:rPr>
        <w:t>元。</w:t>
      </w:r>
      <w:r>
        <w:rPr>
          <w:rFonts w:hint="eastAsia" w:ascii="仿宋" w:hAnsi="仿宋" w:eastAsia="仿宋"/>
          <w:sz w:val="32"/>
          <w:szCs w:val="32"/>
        </w:rPr>
        <w:t>具体项目绩效目标申报表见附表。</w:t>
      </w:r>
    </w:p>
    <w:p>
      <w:pPr>
        <w:spacing w:line="560" w:lineRule="exact"/>
        <w:ind w:firstLine="640" w:firstLineChars="200"/>
        <w:rPr>
          <w:rFonts w:ascii="仿宋" w:hAnsi="仿宋" w:eastAsia="仿宋"/>
          <w:b/>
          <w:color w:val="000000"/>
          <w:sz w:val="32"/>
          <w:szCs w:val="32"/>
        </w:rPr>
      </w:pPr>
      <w:r>
        <w:rPr>
          <w:rFonts w:hint="eastAsia" w:ascii="仿宋" w:hAnsi="仿宋" w:eastAsia="仿宋"/>
          <w:b/>
          <w:color w:val="000000"/>
          <w:sz w:val="32"/>
          <w:szCs w:val="32"/>
        </w:rPr>
        <w:t>（五）国有</w:t>
      </w:r>
      <w:r>
        <w:rPr>
          <w:rFonts w:ascii="仿宋" w:hAnsi="仿宋" w:eastAsia="仿宋"/>
          <w:b/>
          <w:color w:val="000000"/>
          <w:sz w:val="32"/>
          <w:szCs w:val="32"/>
        </w:rPr>
        <w:t>资本经营预算财政拨款</w:t>
      </w:r>
      <w:r>
        <w:rPr>
          <w:rFonts w:hint="eastAsia" w:ascii="仿宋" w:hAnsi="仿宋" w:eastAsia="仿宋"/>
          <w:b/>
          <w:color w:val="000000"/>
          <w:sz w:val="32"/>
          <w:szCs w:val="32"/>
        </w:rPr>
        <w:t>情况</w:t>
      </w:r>
      <w:r>
        <w:rPr>
          <w:rFonts w:ascii="仿宋" w:hAnsi="仿宋" w:eastAsia="仿宋"/>
          <w:b/>
          <w:color w:val="000000"/>
          <w:sz w:val="32"/>
          <w:szCs w:val="32"/>
        </w:rPr>
        <w:t>说明</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我单位无此类信息。</w:t>
      </w:r>
    </w:p>
    <w:p>
      <w:pPr>
        <w:spacing w:line="560" w:lineRule="exact"/>
        <w:ind w:firstLine="640" w:firstLineChars="200"/>
        <w:rPr>
          <w:rFonts w:ascii="仿宋" w:hAnsi="仿宋" w:eastAsia="仿宋"/>
          <w:b/>
          <w:color w:val="000000"/>
          <w:sz w:val="32"/>
          <w:szCs w:val="32"/>
        </w:rPr>
      </w:pPr>
      <w:r>
        <w:rPr>
          <w:rFonts w:hint="eastAsia" w:ascii="仿宋" w:hAnsi="仿宋" w:eastAsia="仿宋"/>
          <w:b/>
          <w:color w:val="000000"/>
          <w:sz w:val="32"/>
          <w:szCs w:val="32"/>
        </w:rPr>
        <w:t>（六）国有资产</w:t>
      </w:r>
      <w:r>
        <w:rPr>
          <w:rFonts w:ascii="仿宋" w:hAnsi="仿宋" w:eastAsia="仿宋"/>
          <w:b/>
          <w:color w:val="000000"/>
          <w:sz w:val="32"/>
          <w:szCs w:val="32"/>
        </w:rPr>
        <w:t>占用情况说明</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截止202</w:t>
      </w:r>
      <w:r>
        <w:rPr>
          <w:rFonts w:ascii="仿宋" w:hAnsi="仿宋" w:eastAsia="仿宋" w:cs="黑体"/>
          <w:sz w:val="32"/>
          <w:szCs w:val="32"/>
        </w:rPr>
        <w:t>3</w:t>
      </w:r>
      <w:r>
        <w:rPr>
          <w:rFonts w:hint="eastAsia" w:ascii="仿宋" w:hAnsi="仿宋" w:eastAsia="仿宋" w:cs="黑体"/>
          <w:sz w:val="32"/>
          <w:szCs w:val="32"/>
        </w:rPr>
        <w:t>年底，我单位固定资产总额307,679,750.93元，其中：车辆5台，1,482,568.36元；单位价值50万元以上的通用设备2台（套）、1,204,000.00元，单位价值100万元以上的专用设备23台（套）、81,632,000.00元。</w:t>
      </w:r>
    </w:p>
    <w:p>
      <w:pPr>
        <w:spacing w:line="560" w:lineRule="exact"/>
        <w:ind w:firstLine="640" w:firstLineChars="200"/>
        <w:rPr>
          <w:rFonts w:ascii="仿宋" w:hAnsi="仿宋" w:eastAsia="仿宋"/>
          <w:color w:val="000000"/>
          <w:sz w:val="32"/>
          <w:szCs w:val="32"/>
          <w:highlight w:val="yellow"/>
        </w:rPr>
      </w:pPr>
      <w:r>
        <w:rPr>
          <w:rFonts w:hint="eastAsia" w:ascii="仿宋_GB2312" w:eastAsia="仿宋_GB2312"/>
          <w:color w:val="000000"/>
          <w:sz w:val="32"/>
          <w:szCs w:val="32"/>
        </w:rPr>
        <w:t>202</w:t>
      </w:r>
      <w:r>
        <w:rPr>
          <w:rFonts w:ascii="仿宋_GB2312" w:eastAsia="仿宋_GB2312"/>
          <w:color w:val="000000"/>
          <w:sz w:val="32"/>
          <w:szCs w:val="32"/>
        </w:rPr>
        <w:t>4</w:t>
      </w:r>
      <w:r>
        <w:rPr>
          <w:rFonts w:hint="eastAsia" w:ascii="仿宋_GB2312" w:eastAsia="仿宋_GB2312"/>
          <w:color w:val="000000"/>
          <w:sz w:val="32"/>
          <w:szCs w:val="32"/>
        </w:rPr>
        <w:t>部门</w:t>
      </w:r>
      <w:bookmarkStart w:id="0" w:name="_GoBack"/>
      <w:bookmarkEnd w:id="0"/>
      <w:r>
        <w:rPr>
          <w:rFonts w:hint="eastAsia" w:ascii="仿宋_GB2312" w:eastAsia="仿宋_GB2312"/>
          <w:color w:val="000000"/>
          <w:sz w:val="32"/>
          <w:szCs w:val="32"/>
        </w:rPr>
        <w:t>预算：安排购置车辆（移动检验车）0台</w:t>
      </w:r>
      <w:r>
        <w:rPr>
          <w:rFonts w:ascii="仿宋_GB2312" w:eastAsia="仿宋_GB2312"/>
          <w:color w:val="000000"/>
          <w:sz w:val="32"/>
          <w:szCs w:val="32"/>
        </w:rPr>
        <w:t>，</w:t>
      </w:r>
      <w:r>
        <w:rPr>
          <w:rFonts w:hint="eastAsia" w:ascii="仿宋_GB2312" w:eastAsia="仿宋_GB2312"/>
          <w:color w:val="000000"/>
          <w:sz w:val="32"/>
          <w:szCs w:val="32"/>
        </w:rPr>
        <w:t>0.00元；安排购置单位</w:t>
      </w:r>
      <w:r>
        <w:rPr>
          <w:rFonts w:ascii="仿宋_GB2312" w:eastAsia="仿宋_GB2312"/>
          <w:color w:val="000000"/>
          <w:sz w:val="32"/>
          <w:szCs w:val="32"/>
        </w:rPr>
        <w:t>价值</w:t>
      </w:r>
      <w:r>
        <w:rPr>
          <w:rFonts w:hint="eastAsia" w:ascii="仿宋_GB2312" w:eastAsia="仿宋_GB2312"/>
          <w:color w:val="000000"/>
          <w:sz w:val="32"/>
          <w:szCs w:val="32"/>
        </w:rPr>
        <w:t>50万元以上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rPr>
        <w:t>0台（套）、0.00元，安排购置单位</w:t>
      </w:r>
      <w:r>
        <w:rPr>
          <w:rFonts w:ascii="仿宋_GB2312" w:eastAsia="仿宋_GB2312"/>
          <w:color w:val="000000"/>
          <w:sz w:val="32"/>
          <w:szCs w:val="32"/>
        </w:rPr>
        <w:t>价值100</w:t>
      </w:r>
      <w:r>
        <w:rPr>
          <w:rFonts w:hint="eastAsia" w:ascii="仿宋_GB2312" w:eastAsia="仿宋_GB2312"/>
          <w:color w:val="000000"/>
          <w:sz w:val="32"/>
          <w:szCs w:val="32"/>
        </w:rPr>
        <w:t>万元以上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8,850,000</w:t>
      </w:r>
      <w:r>
        <w:rPr>
          <w:rFonts w:hint="eastAsia" w:ascii="仿宋_GB2312" w:eastAsia="仿宋_GB2312"/>
          <w:color w:val="000000"/>
          <w:sz w:val="32"/>
          <w:szCs w:val="32"/>
        </w:rPr>
        <w:t>.00元。</w:t>
      </w:r>
    </w:p>
    <w:p>
      <w:pPr>
        <w:spacing w:line="560" w:lineRule="exact"/>
        <w:ind w:firstLine="640" w:firstLineChars="200"/>
        <w:rPr>
          <w:rFonts w:ascii="仿宋" w:hAnsi="仿宋" w:eastAsia="仿宋" w:cs="黑体"/>
          <w:b/>
          <w:sz w:val="32"/>
          <w:szCs w:val="32"/>
        </w:rPr>
      </w:pPr>
      <w:r>
        <w:rPr>
          <w:rFonts w:hint="eastAsia" w:ascii="黑体" w:hAnsi="黑体" w:eastAsia="黑体"/>
          <w:color w:val="000000"/>
          <w:sz w:val="32"/>
          <w:szCs w:val="32"/>
        </w:rPr>
        <w:t>六</w:t>
      </w:r>
      <w:r>
        <w:rPr>
          <w:rFonts w:ascii="黑体" w:hAnsi="黑体" w:eastAsia="黑体"/>
          <w:color w:val="000000"/>
          <w:sz w:val="32"/>
          <w:szCs w:val="32"/>
        </w:rPr>
        <w:t>、名称</w:t>
      </w:r>
      <w:r>
        <w:rPr>
          <w:rFonts w:hint="eastAsia" w:ascii="黑体" w:hAnsi="黑体" w:eastAsia="黑体"/>
          <w:color w:val="000000"/>
          <w:sz w:val="32"/>
          <w:szCs w:val="32"/>
        </w:rPr>
        <w:t>解释</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1.财政拨款收入：指单位本年度从财政部门取得的财政拨款。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5.其他收入：指单位取得的除上述“财政拨款收入”、“事业收入”、“经营收入”等以外的各项收入。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6.基本支出：指为保障机构正常运转、完成日常工作任务而发生的人员支出和公用支出。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7.项目支出：指在基本支出之外为完成特定的行政任务或事业发展目标所发生的支出。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8.上缴上级支出：指事业单位按照财政部门和主管部门的规定上缴上级单位的支出。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9.经营支出：指事业单位在专业业务活动及其辅助活动之外开展非独立核算经营活动发生的支出。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10.对附属单位补助支出：指事业单位用财政补助收入之外的收入对附属单位补助发生的支出。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11.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p>
      <w:pPr>
        <w:spacing w:line="560" w:lineRule="exact"/>
        <w:ind w:firstLine="643" w:firstLineChars="200"/>
        <w:jc w:val="center"/>
        <w:rPr>
          <w:rFonts w:asciiTheme="minorEastAsia" w:hAnsiTheme="minorEastAsia" w:eastAsiaTheme="minorEastAsia"/>
          <w:b/>
          <w:color w:val="000000"/>
          <w:sz w:val="32"/>
          <w:szCs w:val="32"/>
        </w:rPr>
      </w:pPr>
    </w:p>
    <w:sectPr>
      <w:footerReference r:id="rId3" w:type="default"/>
      <w:pgSz w:w="11907" w:h="16840"/>
      <w:pgMar w:top="1440" w:right="1440" w:bottom="1440"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071066"/>
    </w:sdtPr>
    <w:sdtContent>
      <w:p>
        <w:pPr>
          <w:pStyle w:val="3"/>
          <w:jc w:val="center"/>
        </w:pPr>
        <w:r>
          <w:fldChar w:fldCharType="begin"/>
        </w:r>
        <w:r>
          <w:instrText xml:space="preserve">PAGE   \* MERGEFORMAT</w:instrText>
        </w:r>
        <w:r>
          <w:fldChar w:fldCharType="separate"/>
        </w:r>
        <w:r>
          <w:rPr>
            <w:lang w:val="zh-CN"/>
          </w:rPr>
          <w:t>8</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OGY3ZTg0MWJmNTlmZTVjYzYyZjRjMTIxOTQxYzkifQ=="/>
  </w:docVars>
  <w:rsids>
    <w:rsidRoot w:val="001F1FD3"/>
    <w:rsid w:val="000058B8"/>
    <w:rsid w:val="0001227E"/>
    <w:rsid w:val="00012C72"/>
    <w:rsid w:val="000167C3"/>
    <w:rsid w:val="0002050C"/>
    <w:rsid w:val="00026274"/>
    <w:rsid w:val="000353C0"/>
    <w:rsid w:val="0004262E"/>
    <w:rsid w:val="000511C6"/>
    <w:rsid w:val="00056670"/>
    <w:rsid w:val="00057EEC"/>
    <w:rsid w:val="00065B5B"/>
    <w:rsid w:val="000778A5"/>
    <w:rsid w:val="000809EA"/>
    <w:rsid w:val="00081EEB"/>
    <w:rsid w:val="00082375"/>
    <w:rsid w:val="00087113"/>
    <w:rsid w:val="000876D9"/>
    <w:rsid w:val="00090DC1"/>
    <w:rsid w:val="00094921"/>
    <w:rsid w:val="0009610F"/>
    <w:rsid w:val="000A2411"/>
    <w:rsid w:val="000A453A"/>
    <w:rsid w:val="000B39D6"/>
    <w:rsid w:val="000B5353"/>
    <w:rsid w:val="000B57D0"/>
    <w:rsid w:val="000C0890"/>
    <w:rsid w:val="000D1249"/>
    <w:rsid w:val="000D7965"/>
    <w:rsid w:val="000E02A7"/>
    <w:rsid w:val="000E785B"/>
    <w:rsid w:val="000F17C1"/>
    <w:rsid w:val="000F2B6A"/>
    <w:rsid w:val="000F3908"/>
    <w:rsid w:val="00103713"/>
    <w:rsid w:val="00104DA5"/>
    <w:rsid w:val="00115D37"/>
    <w:rsid w:val="0011744A"/>
    <w:rsid w:val="00120936"/>
    <w:rsid w:val="00121912"/>
    <w:rsid w:val="00121BDF"/>
    <w:rsid w:val="00122101"/>
    <w:rsid w:val="0012454A"/>
    <w:rsid w:val="001313D0"/>
    <w:rsid w:val="00131989"/>
    <w:rsid w:val="00134EEA"/>
    <w:rsid w:val="00137B00"/>
    <w:rsid w:val="001414DA"/>
    <w:rsid w:val="001415CC"/>
    <w:rsid w:val="001453D3"/>
    <w:rsid w:val="00146DA2"/>
    <w:rsid w:val="00152C69"/>
    <w:rsid w:val="00154E9F"/>
    <w:rsid w:val="0016146C"/>
    <w:rsid w:val="00166BA6"/>
    <w:rsid w:val="00170AC8"/>
    <w:rsid w:val="001728B2"/>
    <w:rsid w:val="00175E20"/>
    <w:rsid w:val="00177F92"/>
    <w:rsid w:val="00190E69"/>
    <w:rsid w:val="001965E9"/>
    <w:rsid w:val="001A48FF"/>
    <w:rsid w:val="001A6A57"/>
    <w:rsid w:val="001B409E"/>
    <w:rsid w:val="001B44DE"/>
    <w:rsid w:val="001B4C49"/>
    <w:rsid w:val="001B55AB"/>
    <w:rsid w:val="001B5F99"/>
    <w:rsid w:val="001B7529"/>
    <w:rsid w:val="001C46CC"/>
    <w:rsid w:val="001D2B61"/>
    <w:rsid w:val="001E055C"/>
    <w:rsid w:val="001E5233"/>
    <w:rsid w:val="001F1781"/>
    <w:rsid w:val="001F1FD3"/>
    <w:rsid w:val="002065E4"/>
    <w:rsid w:val="00211D0F"/>
    <w:rsid w:val="00217B15"/>
    <w:rsid w:val="00227281"/>
    <w:rsid w:val="00241441"/>
    <w:rsid w:val="00250786"/>
    <w:rsid w:val="00250FDF"/>
    <w:rsid w:val="00255063"/>
    <w:rsid w:val="002558E2"/>
    <w:rsid w:val="0026309F"/>
    <w:rsid w:val="00267491"/>
    <w:rsid w:val="00270632"/>
    <w:rsid w:val="002719F2"/>
    <w:rsid w:val="00280CF3"/>
    <w:rsid w:val="002811F4"/>
    <w:rsid w:val="00283663"/>
    <w:rsid w:val="00283D3A"/>
    <w:rsid w:val="0028413B"/>
    <w:rsid w:val="002A2B58"/>
    <w:rsid w:val="002B17F3"/>
    <w:rsid w:val="002B3338"/>
    <w:rsid w:val="002B4111"/>
    <w:rsid w:val="002C1F0C"/>
    <w:rsid w:val="002C588B"/>
    <w:rsid w:val="002C71A7"/>
    <w:rsid w:val="002C7246"/>
    <w:rsid w:val="002E5154"/>
    <w:rsid w:val="002F6533"/>
    <w:rsid w:val="00311BB0"/>
    <w:rsid w:val="00314A03"/>
    <w:rsid w:val="00320F05"/>
    <w:rsid w:val="00322C9C"/>
    <w:rsid w:val="0033077C"/>
    <w:rsid w:val="00335EEA"/>
    <w:rsid w:val="00340FF6"/>
    <w:rsid w:val="00357824"/>
    <w:rsid w:val="003625AA"/>
    <w:rsid w:val="00387203"/>
    <w:rsid w:val="00391DC4"/>
    <w:rsid w:val="00392B75"/>
    <w:rsid w:val="003A1916"/>
    <w:rsid w:val="003A2C49"/>
    <w:rsid w:val="003A3985"/>
    <w:rsid w:val="003A5284"/>
    <w:rsid w:val="003B1306"/>
    <w:rsid w:val="003B51BF"/>
    <w:rsid w:val="003B55BA"/>
    <w:rsid w:val="003C1EF9"/>
    <w:rsid w:val="003D2E89"/>
    <w:rsid w:val="003D3090"/>
    <w:rsid w:val="003D6133"/>
    <w:rsid w:val="003F367D"/>
    <w:rsid w:val="003F528B"/>
    <w:rsid w:val="003F62F3"/>
    <w:rsid w:val="00403A91"/>
    <w:rsid w:val="00404C28"/>
    <w:rsid w:val="0040628A"/>
    <w:rsid w:val="004147B2"/>
    <w:rsid w:val="004201B8"/>
    <w:rsid w:val="00426B0B"/>
    <w:rsid w:val="00426E83"/>
    <w:rsid w:val="00430972"/>
    <w:rsid w:val="004332AE"/>
    <w:rsid w:val="0043523D"/>
    <w:rsid w:val="00437D4D"/>
    <w:rsid w:val="00440481"/>
    <w:rsid w:val="00441893"/>
    <w:rsid w:val="00446E7D"/>
    <w:rsid w:val="00446EA6"/>
    <w:rsid w:val="004472C0"/>
    <w:rsid w:val="00453216"/>
    <w:rsid w:val="00454927"/>
    <w:rsid w:val="004614BC"/>
    <w:rsid w:val="004706A6"/>
    <w:rsid w:val="00470B46"/>
    <w:rsid w:val="00484501"/>
    <w:rsid w:val="00495D3A"/>
    <w:rsid w:val="004A0221"/>
    <w:rsid w:val="004B03D2"/>
    <w:rsid w:val="004B0C60"/>
    <w:rsid w:val="004B0F13"/>
    <w:rsid w:val="004B20A3"/>
    <w:rsid w:val="004B4EA7"/>
    <w:rsid w:val="004D05D9"/>
    <w:rsid w:val="004D0E98"/>
    <w:rsid w:val="004D684F"/>
    <w:rsid w:val="004E1935"/>
    <w:rsid w:val="004E1D04"/>
    <w:rsid w:val="004F18E7"/>
    <w:rsid w:val="004F44E3"/>
    <w:rsid w:val="004F643C"/>
    <w:rsid w:val="0050408E"/>
    <w:rsid w:val="00505AE6"/>
    <w:rsid w:val="00524C84"/>
    <w:rsid w:val="005268F4"/>
    <w:rsid w:val="00542ACC"/>
    <w:rsid w:val="005444AF"/>
    <w:rsid w:val="00553CB6"/>
    <w:rsid w:val="00556B66"/>
    <w:rsid w:val="00560208"/>
    <w:rsid w:val="00571A6A"/>
    <w:rsid w:val="00572C0C"/>
    <w:rsid w:val="00573B8C"/>
    <w:rsid w:val="00583737"/>
    <w:rsid w:val="00583BE3"/>
    <w:rsid w:val="0059014A"/>
    <w:rsid w:val="00592E9C"/>
    <w:rsid w:val="005B46BA"/>
    <w:rsid w:val="005C29DE"/>
    <w:rsid w:val="005C6925"/>
    <w:rsid w:val="005D1A38"/>
    <w:rsid w:val="005E0582"/>
    <w:rsid w:val="005E1A56"/>
    <w:rsid w:val="005F05C9"/>
    <w:rsid w:val="005F345C"/>
    <w:rsid w:val="005F57FE"/>
    <w:rsid w:val="005F7809"/>
    <w:rsid w:val="00605AF3"/>
    <w:rsid w:val="0061090C"/>
    <w:rsid w:val="0061537D"/>
    <w:rsid w:val="00622F47"/>
    <w:rsid w:val="00623023"/>
    <w:rsid w:val="006406A8"/>
    <w:rsid w:val="00642CB2"/>
    <w:rsid w:val="00654E82"/>
    <w:rsid w:val="006620E8"/>
    <w:rsid w:val="00662A53"/>
    <w:rsid w:val="006702E7"/>
    <w:rsid w:val="006703F3"/>
    <w:rsid w:val="006705B5"/>
    <w:rsid w:val="00674A58"/>
    <w:rsid w:val="006851D5"/>
    <w:rsid w:val="00686A35"/>
    <w:rsid w:val="00686F32"/>
    <w:rsid w:val="00690BF5"/>
    <w:rsid w:val="006914DE"/>
    <w:rsid w:val="006A097A"/>
    <w:rsid w:val="006A0B47"/>
    <w:rsid w:val="006A1951"/>
    <w:rsid w:val="006A57A9"/>
    <w:rsid w:val="006A6CA1"/>
    <w:rsid w:val="006A7D1D"/>
    <w:rsid w:val="006B5FA6"/>
    <w:rsid w:val="006B6E4C"/>
    <w:rsid w:val="006C06AF"/>
    <w:rsid w:val="006C3177"/>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6DE9"/>
    <w:rsid w:val="0075349D"/>
    <w:rsid w:val="00767F1C"/>
    <w:rsid w:val="0077031A"/>
    <w:rsid w:val="00772045"/>
    <w:rsid w:val="0077607F"/>
    <w:rsid w:val="00776627"/>
    <w:rsid w:val="007805E4"/>
    <w:rsid w:val="0078564C"/>
    <w:rsid w:val="007911D4"/>
    <w:rsid w:val="00794C49"/>
    <w:rsid w:val="0079557D"/>
    <w:rsid w:val="007A57CD"/>
    <w:rsid w:val="007A5BAF"/>
    <w:rsid w:val="007B7D8D"/>
    <w:rsid w:val="007C490A"/>
    <w:rsid w:val="007C6F16"/>
    <w:rsid w:val="007C788F"/>
    <w:rsid w:val="007D2AEE"/>
    <w:rsid w:val="007E2DE5"/>
    <w:rsid w:val="007E5942"/>
    <w:rsid w:val="007F25A4"/>
    <w:rsid w:val="007F7DBE"/>
    <w:rsid w:val="00803229"/>
    <w:rsid w:val="00824432"/>
    <w:rsid w:val="00824DD4"/>
    <w:rsid w:val="0082638C"/>
    <w:rsid w:val="00833980"/>
    <w:rsid w:val="00842CA1"/>
    <w:rsid w:val="00850F8A"/>
    <w:rsid w:val="00854352"/>
    <w:rsid w:val="00856F07"/>
    <w:rsid w:val="008602F6"/>
    <w:rsid w:val="008646B2"/>
    <w:rsid w:val="00870DCC"/>
    <w:rsid w:val="008757EF"/>
    <w:rsid w:val="00876D5C"/>
    <w:rsid w:val="00892B9D"/>
    <w:rsid w:val="008941C1"/>
    <w:rsid w:val="008B7C31"/>
    <w:rsid w:val="008C6DDA"/>
    <w:rsid w:val="008C77B5"/>
    <w:rsid w:val="008D0CF9"/>
    <w:rsid w:val="008D1015"/>
    <w:rsid w:val="008E2133"/>
    <w:rsid w:val="008E2A75"/>
    <w:rsid w:val="008E6326"/>
    <w:rsid w:val="008F09B5"/>
    <w:rsid w:val="008F3353"/>
    <w:rsid w:val="008F5003"/>
    <w:rsid w:val="00901A35"/>
    <w:rsid w:val="0090699B"/>
    <w:rsid w:val="00906A6B"/>
    <w:rsid w:val="00906D3C"/>
    <w:rsid w:val="00907EBD"/>
    <w:rsid w:val="00924E63"/>
    <w:rsid w:val="009361BE"/>
    <w:rsid w:val="0093724A"/>
    <w:rsid w:val="00941E41"/>
    <w:rsid w:val="00941FA6"/>
    <w:rsid w:val="00943581"/>
    <w:rsid w:val="00946BE6"/>
    <w:rsid w:val="009541E7"/>
    <w:rsid w:val="00970D63"/>
    <w:rsid w:val="0098439F"/>
    <w:rsid w:val="0098659A"/>
    <w:rsid w:val="00987E28"/>
    <w:rsid w:val="0099582E"/>
    <w:rsid w:val="00997011"/>
    <w:rsid w:val="009A208E"/>
    <w:rsid w:val="009A3B80"/>
    <w:rsid w:val="009A6A9C"/>
    <w:rsid w:val="009B1394"/>
    <w:rsid w:val="009C173B"/>
    <w:rsid w:val="009C2105"/>
    <w:rsid w:val="009C3493"/>
    <w:rsid w:val="009C3609"/>
    <w:rsid w:val="009C6621"/>
    <w:rsid w:val="009D2591"/>
    <w:rsid w:val="009D32E4"/>
    <w:rsid w:val="009E1704"/>
    <w:rsid w:val="00A10CE4"/>
    <w:rsid w:val="00A1287F"/>
    <w:rsid w:val="00A169BB"/>
    <w:rsid w:val="00A263B3"/>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3EC6"/>
    <w:rsid w:val="00AA6AE0"/>
    <w:rsid w:val="00AB23C4"/>
    <w:rsid w:val="00AB6716"/>
    <w:rsid w:val="00AB70A3"/>
    <w:rsid w:val="00AC669F"/>
    <w:rsid w:val="00AD1685"/>
    <w:rsid w:val="00AD55C4"/>
    <w:rsid w:val="00AE369B"/>
    <w:rsid w:val="00AE5441"/>
    <w:rsid w:val="00AE6582"/>
    <w:rsid w:val="00B050D2"/>
    <w:rsid w:val="00B067CA"/>
    <w:rsid w:val="00B1478E"/>
    <w:rsid w:val="00B17743"/>
    <w:rsid w:val="00B2133F"/>
    <w:rsid w:val="00B269F8"/>
    <w:rsid w:val="00B35E9F"/>
    <w:rsid w:val="00B40323"/>
    <w:rsid w:val="00B45CB5"/>
    <w:rsid w:val="00B46DB1"/>
    <w:rsid w:val="00B479A0"/>
    <w:rsid w:val="00B51D21"/>
    <w:rsid w:val="00B53157"/>
    <w:rsid w:val="00B55DBC"/>
    <w:rsid w:val="00B70C26"/>
    <w:rsid w:val="00B818F0"/>
    <w:rsid w:val="00B85BE8"/>
    <w:rsid w:val="00B974B2"/>
    <w:rsid w:val="00BB0599"/>
    <w:rsid w:val="00BB3915"/>
    <w:rsid w:val="00BB70A8"/>
    <w:rsid w:val="00BD30A6"/>
    <w:rsid w:val="00BD6D58"/>
    <w:rsid w:val="00BD729D"/>
    <w:rsid w:val="00BF0B19"/>
    <w:rsid w:val="00C028B5"/>
    <w:rsid w:val="00C06E41"/>
    <w:rsid w:val="00C11E39"/>
    <w:rsid w:val="00C12CF2"/>
    <w:rsid w:val="00C178B6"/>
    <w:rsid w:val="00C40498"/>
    <w:rsid w:val="00C4196E"/>
    <w:rsid w:val="00C43560"/>
    <w:rsid w:val="00C529B9"/>
    <w:rsid w:val="00C56596"/>
    <w:rsid w:val="00C56C3F"/>
    <w:rsid w:val="00C61A25"/>
    <w:rsid w:val="00C63D45"/>
    <w:rsid w:val="00C6561F"/>
    <w:rsid w:val="00C7066B"/>
    <w:rsid w:val="00C728F9"/>
    <w:rsid w:val="00C7321E"/>
    <w:rsid w:val="00C777D8"/>
    <w:rsid w:val="00C778CD"/>
    <w:rsid w:val="00C81A8A"/>
    <w:rsid w:val="00C8376D"/>
    <w:rsid w:val="00C947DE"/>
    <w:rsid w:val="00C949A4"/>
    <w:rsid w:val="00C96AF4"/>
    <w:rsid w:val="00CA7F9F"/>
    <w:rsid w:val="00CB108C"/>
    <w:rsid w:val="00CC0B5E"/>
    <w:rsid w:val="00CE0FF0"/>
    <w:rsid w:val="00CE511D"/>
    <w:rsid w:val="00CF1FAE"/>
    <w:rsid w:val="00CF26CF"/>
    <w:rsid w:val="00CF661E"/>
    <w:rsid w:val="00D007A3"/>
    <w:rsid w:val="00D01610"/>
    <w:rsid w:val="00D01EA4"/>
    <w:rsid w:val="00D143F0"/>
    <w:rsid w:val="00D21334"/>
    <w:rsid w:val="00D21359"/>
    <w:rsid w:val="00D21430"/>
    <w:rsid w:val="00D23F61"/>
    <w:rsid w:val="00D24FA7"/>
    <w:rsid w:val="00D3132D"/>
    <w:rsid w:val="00D44397"/>
    <w:rsid w:val="00D4607E"/>
    <w:rsid w:val="00D52ABA"/>
    <w:rsid w:val="00D61461"/>
    <w:rsid w:val="00D647AB"/>
    <w:rsid w:val="00D666A4"/>
    <w:rsid w:val="00D66A75"/>
    <w:rsid w:val="00D701F3"/>
    <w:rsid w:val="00D72B43"/>
    <w:rsid w:val="00D755D9"/>
    <w:rsid w:val="00D7797E"/>
    <w:rsid w:val="00D84F77"/>
    <w:rsid w:val="00D92894"/>
    <w:rsid w:val="00D92ACB"/>
    <w:rsid w:val="00D943B9"/>
    <w:rsid w:val="00D979D9"/>
    <w:rsid w:val="00DA0A4D"/>
    <w:rsid w:val="00DA3742"/>
    <w:rsid w:val="00DA5F1A"/>
    <w:rsid w:val="00DA7670"/>
    <w:rsid w:val="00DB0077"/>
    <w:rsid w:val="00DB63B7"/>
    <w:rsid w:val="00DC023F"/>
    <w:rsid w:val="00DC268E"/>
    <w:rsid w:val="00DD13EF"/>
    <w:rsid w:val="00DD456D"/>
    <w:rsid w:val="00DD4FD3"/>
    <w:rsid w:val="00DD5AFB"/>
    <w:rsid w:val="00DD728D"/>
    <w:rsid w:val="00DD7D89"/>
    <w:rsid w:val="00DE1689"/>
    <w:rsid w:val="00DE6C95"/>
    <w:rsid w:val="00DF0FA8"/>
    <w:rsid w:val="00DF1461"/>
    <w:rsid w:val="00DF6808"/>
    <w:rsid w:val="00E026DE"/>
    <w:rsid w:val="00E06C7F"/>
    <w:rsid w:val="00E071A2"/>
    <w:rsid w:val="00E1594D"/>
    <w:rsid w:val="00E15CF9"/>
    <w:rsid w:val="00E16604"/>
    <w:rsid w:val="00E22AD4"/>
    <w:rsid w:val="00E244AC"/>
    <w:rsid w:val="00E24EA0"/>
    <w:rsid w:val="00E25A23"/>
    <w:rsid w:val="00E25E88"/>
    <w:rsid w:val="00E25EA3"/>
    <w:rsid w:val="00E37887"/>
    <w:rsid w:val="00E528D8"/>
    <w:rsid w:val="00E542E0"/>
    <w:rsid w:val="00E54BAA"/>
    <w:rsid w:val="00E56223"/>
    <w:rsid w:val="00E655E1"/>
    <w:rsid w:val="00E65FAA"/>
    <w:rsid w:val="00E677CE"/>
    <w:rsid w:val="00E75F87"/>
    <w:rsid w:val="00E82710"/>
    <w:rsid w:val="00E8403E"/>
    <w:rsid w:val="00E92BDF"/>
    <w:rsid w:val="00E96444"/>
    <w:rsid w:val="00EA3E94"/>
    <w:rsid w:val="00EB1182"/>
    <w:rsid w:val="00EB2080"/>
    <w:rsid w:val="00EC02CF"/>
    <w:rsid w:val="00ED39CA"/>
    <w:rsid w:val="00EF2A79"/>
    <w:rsid w:val="00F05D86"/>
    <w:rsid w:val="00F07A99"/>
    <w:rsid w:val="00F13515"/>
    <w:rsid w:val="00F14E3A"/>
    <w:rsid w:val="00F177C9"/>
    <w:rsid w:val="00F24A15"/>
    <w:rsid w:val="00F30FBC"/>
    <w:rsid w:val="00F336BF"/>
    <w:rsid w:val="00F342DC"/>
    <w:rsid w:val="00F34C68"/>
    <w:rsid w:val="00F40CB5"/>
    <w:rsid w:val="00F41815"/>
    <w:rsid w:val="00F41E6E"/>
    <w:rsid w:val="00F520FC"/>
    <w:rsid w:val="00F53A7A"/>
    <w:rsid w:val="00F53B23"/>
    <w:rsid w:val="00F55161"/>
    <w:rsid w:val="00F5768B"/>
    <w:rsid w:val="00F62A5C"/>
    <w:rsid w:val="00F632C6"/>
    <w:rsid w:val="00F63D2B"/>
    <w:rsid w:val="00F67F80"/>
    <w:rsid w:val="00F751EE"/>
    <w:rsid w:val="00F767AA"/>
    <w:rsid w:val="00F93FCE"/>
    <w:rsid w:val="00FA0D3E"/>
    <w:rsid w:val="00FA3558"/>
    <w:rsid w:val="00FB2360"/>
    <w:rsid w:val="00FC4F66"/>
    <w:rsid w:val="00FC5601"/>
    <w:rsid w:val="00FC7EF6"/>
    <w:rsid w:val="00FD1ED4"/>
    <w:rsid w:val="00FD480F"/>
    <w:rsid w:val="00FE22D6"/>
    <w:rsid w:val="00FE6E43"/>
    <w:rsid w:val="00FF1162"/>
    <w:rsid w:val="00FF224E"/>
    <w:rsid w:val="00FF2326"/>
    <w:rsid w:val="02212154"/>
    <w:rsid w:val="032F3656"/>
    <w:rsid w:val="03DB0463"/>
    <w:rsid w:val="051E41C8"/>
    <w:rsid w:val="053837B4"/>
    <w:rsid w:val="054A3CED"/>
    <w:rsid w:val="05FD7607"/>
    <w:rsid w:val="06893A80"/>
    <w:rsid w:val="085F398B"/>
    <w:rsid w:val="08A03342"/>
    <w:rsid w:val="0AE41338"/>
    <w:rsid w:val="0C177D52"/>
    <w:rsid w:val="0C181CAE"/>
    <w:rsid w:val="0CB43957"/>
    <w:rsid w:val="0E1748B9"/>
    <w:rsid w:val="0ECC68CE"/>
    <w:rsid w:val="104C33A3"/>
    <w:rsid w:val="11CD5DD5"/>
    <w:rsid w:val="12572530"/>
    <w:rsid w:val="13157DC8"/>
    <w:rsid w:val="13641DE6"/>
    <w:rsid w:val="13976058"/>
    <w:rsid w:val="13D80B3D"/>
    <w:rsid w:val="13E939B7"/>
    <w:rsid w:val="14FF329B"/>
    <w:rsid w:val="153F6CB5"/>
    <w:rsid w:val="15FF7757"/>
    <w:rsid w:val="17D61500"/>
    <w:rsid w:val="17DA12D2"/>
    <w:rsid w:val="18115977"/>
    <w:rsid w:val="182F466E"/>
    <w:rsid w:val="190C2898"/>
    <w:rsid w:val="19B91048"/>
    <w:rsid w:val="19FA64BE"/>
    <w:rsid w:val="1BAE58EF"/>
    <w:rsid w:val="1BE11085"/>
    <w:rsid w:val="1C88427E"/>
    <w:rsid w:val="1CE47F87"/>
    <w:rsid w:val="1D2B5C76"/>
    <w:rsid w:val="1F7C1BCF"/>
    <w:rsid w:val="1FF743D5"/>
    <w:rsid w:val="201C74F7"/>
    <w:rsid w:val="211D6B34"/>
    <w:rsid w:val="216D72AA"/>
    <w:rsid w:val="225B4BE8"/>
    <w:rsid w:val="23A32647"/>
    <w:rsid w:val="246C633F"/>
    <w:rsid w:val="278906F8"/>
    <w:rsid w:val="27AC1FAB"/>
    <w:rsid w:val="28943065"/>
    <w:rsid w:val="28A111F5"/>
    <w:rsid w:val="29BF7FAB"/>
    <w:rsid w:val="2A457CD4"/>
    <w:rsid w:val="2C697098"/>
    <w:rsid w:val="2D122CD5"/>
    <w:rsid w:val="2DCA590E"/>
    <w:rsid w:val="2FEF1151"/>
    <w:rsid w:val="303F6434"/>
    <w:rsid w:val="312A710F"/>
    <w:rsid w:val="312D679A"/>
    <w:rsid w:val="31AC62DE"/>
    <w:rsid w:val="332649B7"/>
    <w:rsid w:val="336D43AB"/>
    <w:rsid w:val="36310E6F"/>
    <w:rsid w:val="372A49A2"/>
    <w:rsid w:val="37BE7C45"/>
    <w:rsid w:val="38025DDF"/>
    <w:rsid w:val="38627A4E"/>
    <w:rsid w:val="388D2D8A"/>
    <w:rsid w:val="38C26778"/>
    <w:rsid w:val="38C72BA7"/>
    <w:rsid w:val="3A9C7505"/>
    <w:rsid w:val="3AC10893"/>
    <w:rsid w:val="3B954A17"/>
    <w:rsid w:val="3B9C3807"/>
    <w:rsid w:val="3C501F8B"/>
    <w:rsid w:val="3DA0548F"/>
    <w:rsid w:val="3DCD19BE"/>
    <w:rsid w:val="3F293848"/>
    <w:rsid w:val="3F5D30F0"/>
    <w:rsid w:val="40301350"/>
    <w:rsid w:val="404B52CA"/>
    <w:rsid w:val="445E2DD1"/>
    <w:rsid w:val="449B6A3C"/>
    <w:rsid w:val="451E7F31"/>
    <w:rsid w:val="45D6630B"/>
    <w:rsid w:val="47A95455"/>
    <w:rsid w:val="47E0378B"/>
    <w:rsid w:val="48B3755C"/>
    <w:rsid w:val="49494E88"/>
    <w:rsid w:val="49F516A4"/>
    <w:rsid w:val="4A860A78"/>
    <w:rsid w:val="4AC9232A"/>
    <w:rsid w:val="4BA25C08"/>
    <w:rsid w:val="4C176054"/>
    <w:rsid w:val="4D137CE0"/>
    <w:rsid w:val="4D4F17B0"/>
    <w:rsid w:val="4D8678A0"/>
    <w:rsid w:val="4E236C1E"/>
    <w:rsid w:val="4EC8491F"/>
    <w:rsid w:val="4F7A5D7F"/>
    <w:rsid w:val="50751D45"/>
    <w:rsid w:val="5185587F"/>
    <w:rsid w:val="519651A1"/>
    <w:rsid w:val="52A126CF"/>
    <w:rsid w:val="531407D4"/>
    <w:rsid w:val="539C0C95"/>
    <w:rsid w:val="53A478D6"/>
    <w:rsid w:val="54F12F7F"/>
    <w:rsid w:val="555F3AEC"/>
    <w:rsid w:val="55B708F4"/>
    <w:rsid w:val="56014104"/>
    <w:rsid w:val="562350C2"/>
    <w:rsid w:val="575E1D67"/>
    <w:rsid w:val="582450DB"/>
    <w:rsid w:val="5A755E18"/>
    <w:rsid w:val="5A8F59B4"/>
    <w:rsid w:val="5BB06677"/>
    <w:rsid w:val="5C4D63ED"/>
    <w:rsid w:val="5F3D30EA"/>
    <w:rsid w:val="603E1C05"/>
    <w:rsid w:val="62446A3F"/>
    <w:rsid w:val="63D50924"/>
    <w:rsid w:val="64572D97"/>
    <w:rsid w:val="650844D2"/>
    <w:rsid w:val="65297EDF"/>
    <w:rsid w:val="657D42C2"/>
    <w:rsid w:val="65A27595"/>
    <w:rsid w:val="66C92117"/>
    <w:rsid w:val="67133976"/>
    <w:rsid w:val="67F03937"/>
    <w:rsid w:val="69DC6D90"/>
    <w:rsid w:val="6A797494"/>
    <w:rsid w:val="6A945404"/>
    <w:rsid w:val="6B107F5A"/>
    <w:rsid w:val="6B2570B3"/>
    <w:rsid w:val="6C2C6016"/>
    <w:rsid w:val="6C756C38"/>
    <w:rsid w:val="6DE85500"/>
    <w:rsid w:val="6EF01918"/>
    <w:rsid w:val="6F1261C5"/>
    <w:rsid w:val="70324DB5"/>
    <w:rsid w:val="71F91D6A"/>
    <w:rsid w:val="72EA021F"/>
    <w:rsid w:val="7442230C"/>
    <w:rsid w:val="74A679AF"/>
    <w:rsid w:val="75446B1D"/>
    <w:rsid w:val="76FA4803"/>
    <w:rsid w:val="78266777"/>
    <w:rsid w:val="78E30574"/>
    <w:rsid w:val="78E87210"/>
    <w:rsid w:val="79547495"/>
    <w:rsid w:val="7A44431E"/>
    <w:rsid w:val="7A6842F0"/>
    <w:rsid w:val="7AD82479"/>
    <w:rsid w:val="7AE736B1"/>
    <w:rsid w:val="7BBC6913"/>
    <w:rsid w:val="7D3D0956"/>
    <w:rsid w:val="7DDE712A"/>
    <w:rsid w:val="7F942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2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FollowedHyperlink"/>
    <w:basedOn w:val="5"/>
    <w:semiHidden/>
    <w:unhideWhenUsed/>
    <w:qFormat/>
    <w:uiPriority w:val="99"/>
    <w:rPr>
      <w:color w:val="800080"/>
      <w:u w:val="single"/>
    </w:rPr>
  </w:style>
  <w:style w:type="character" w:styleId="7">
    <w:name w:val="Hyperlink"/>
    <w:basedOn w:val="5"/>
    <w:semiHidden/>
    <w:unhideWhenUsed/>
    <w:qFormat/>
    <w:uiPriority w:val="99"/>
    <w:rPr>
      <w:color w:val="0000FF"/>
      <w:u w:val="singl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5"/>
    <w:link w:val="4"/>
    <w:qFormat/>
    <w:uiPriority w:val="99"/>
    <w:rPr>
      <w:sz w:val="18"/>
      <w:szCs w:val="18"/>
    </w:rPr>
  </w:style>
  <w:style w:type="character" w:customStyle="1" w:styleId="11">
    <w:name w:val="页脚 Char"/>
    <w:basedOn w:val="5"/>
    <w:link w:val="3"/>
    <w:qFormat/>
    <w:uiPriority w:val="99"/>
    <w:rPr>
      <w:sz w:val="18"/>
      <w:szCs w:val="18"/>
    </w:rPr>
  </w:style>
  <w:style w:type="paragraph" w:customStyle="1" w:styleId="1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9">
    <w:name w:val="xl7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3">
    <w:name w:val="批注框文本 Char"/>
    <w:basedOn w:val="5"/>
    <w:link w:val="2"/>
    <w:semiHidden/>
    <w:qFormat/>
    <w:uiPriority w:val="99"/>
    <w:rPr>
      <w:rFonts w:ascii="Times New Roman" w:hAnsi="Times New Roman" w:eastAsia="宋体" w:cs="Times New Roman"/>
      <w:sz w:val="18"/>
      <w:szCs w:val="18"/>
    </w:rPr>
  </w:style>
  <w:style w:type="paragraph" w:customStyle="1" w:styleId="24">
    <w:name w:val="xl69"/>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5">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6">
    <w:name w:val="xl7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
    <w:name w:val="xl8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 w:type="character" w:customStyle="1" w:styleId="31">
    <w:name w:val="font1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050B6-131B-411F-A725-41546CA7D747}">
  <ds:schemaRefs/>
</ds:datastoreItem>
</file>

<file path=docProps/app.xml><?xml version="1.0" encoding="utf-8"?>
<Properties xmlns="http://schemas.openxmlformats.org/officeDocument/2006/extended-properties" xmlns:vt="http://schemas.openxmlformats.org/officeDocument/2006/docPropsVTypes">
  <Template>Normal</Template>
  <Company>CXN.oem</Company>
  <Pages>8</Pages>
  <Words>547</Words>
  <Characters>3124</Characters>
  <Lines>26</Lines>
  <Paragraphs>7</Paragraphs>
  <TotalTime>97</TotalTime>
  <ScaleCrop>false</ScaleCrop>
  <LinksUpToDate>false</LinksUpToDate>
  <CharactersWithSpaces>3664</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hope</cp:lastModifiedBy>
  <cp:lastPrinted>2024-01-26T08:53:00Z</cp:lastPrinted>
  <dcterms:modified xsi:type="dcterms:W3CDTF">2024-02-02T02:20:55Z</dcterms:modified>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F9C8EE718D254B038625285388F5E70A_12</vt:lpwstr>
  </property>
</Properties>
</file>