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北京市西城区医疗机构管理服务中心</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lang w:eastAsia="zh-CN"/>
        </w:rPr>
        <w:t>202</w:t>
      </w:r>
      <w:r>
        <w:rPr>
          <w:rFonts w:hint="eastAsia" w:ascii="方正小标宋简体" w:hAnsi="楷体" w:eastAsia="方正小标宋简体" w:cs="楷体"/>
          <w:b/>
          <w:bCs/>
          <w:sz w:val="36"/>
          <w:szCs w:val="36"/>
          <w:lang w:val="en-US" w:eastAsia="zh-CN"/>
        </w:rPr>
        <w:t>4</w:t>
      </w:r>
      <w:r>
        <w:rPr>
          <w:rFonts w:hint="eastAsia" w:ascii="方正小标宋简体" w:hAnsi="楷体" w:eastAsia="方正小标宋简体" w:cs="楷体"/>
          <w:b/>
          <w:bCs/>
          <w:sz w:val="36"/>
          <w:szCs w:val="36"/>
        </w:rPr>
        <w:t>年部门预算编制说明</w:t>
      </w:r>
    </w:p>
    <w:p>
      <w:pPr>
        <w:spacing w:line="560" w:lineRule="exact"/>
        <w:jc w:val="center"/>
        <w:rPr>
          <w:rFonts w:ascii="仿宋_GB2312" w:eastAsia="仿宋_GB2312"/>
          <w:b/>
          <w:color w:val="000000"/>
          <w:sz w:val="32"/>
          <w:szCs w:val="32"/>
        </w:rPr>
      </w:pPr>
      <w:r>
        <w:rPr>
          <w:rFonts w:hint="eastAsia" w:ascii="仿宋_GB2312" w:eastAsia="仿宋_GB2312"/>
          <w:b/>
          <w:color w:val="000000"/>
          <w:sz w:val="32"/>
          <w:szCs w:val="32"/>
        </w:rPr>
        <w:t>目录</w:t>
      </w:r>
    </w:p>
    <w:p>
      <w:pPr>
        <w:spacing w:line="560" w:lineRule="exact"/>
        <w:ind w:firstLine="363" w:firstLineChars="100"/>
        <w:rPr>
          <w:rFonts w:ascii="仿宋_GB2312" w:eastAsia="仿宋_GB2312"/>
          <w:color w:val="000000"/>
          <w:sz w:val="36"/>
          <w:szCs w:val="36"/>
        </w:rPr>
      </w:pPr>
    </w:p>
    <w:p>
      <w:pPr>
        <w:spacing w:line="560" w:lineRule="exact"/>
        <w:rPr>
          <w:rFonts w:ascii="仿宋_GB2312" w:eastAsia="仿宋_GB2312"/>
          <w:b/>
          <w:bCs/>
          <w:color w:val="000000"/>
          <w:sz w:val="32"/>
          <w:szCs w:val="32"/>
        </w:rPr>
      </w:pPr>
      <w:r>
        <w:rPr>
          <w:rFonts w:hint="eastAsia" w:ascii="仿宋_GB2312" w:eastAsia="仿宋_GB2312"/>
          <w:b/>
          <w:bCs/>
          <w:color w:val="000000"/>
          <w:sz w:val="32"/>
          <w:szCs w:val="32"/>
        </w:rPr>
        <w:t>第一部分</w:t>
      </w:r>
      <w:r>
        <w:rPr>
          <w:rFonts w:hint="eastAsia" w:ascii="仿宋_GB2312" w:eastAsia="仿宋_GB2312"/>
          <w:b/>
          <w:bCs/>
          <w:color w:val="000000"/>
          <w:sz w:val="32"/>
          <w:szCs w:val="32"/>
          <w:lang w:val="en-US" w:eastAsia="zh-CN"/>
        </w:rPr>
        <w:t xml:space="preserve"> </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年部门预算情况说明</w:t>
      </w:r>
    </w:p>
    <w:p>
      <w:pPr>
        <w:spacing w:line="560" w:lineRule="exact"/>
        <w:ind w:firstLine="646" w:firstLineChars="200"/>
        <w:rPr>
          <w:rFonts w:ascii="仿宋_GB2312" w:eastAsia="仿宋_GB2312"/>
          <w:b/>
          <w:bCs/>
          <w:color w:val="000000"/>
          <w:sz w:val="32"/>
          <w:szCs w:val="32"/>
        </w:rPr>
      </w:pPr>
      <w:r>
        <w:rPr>
          <w:rFonts w:hint="eastAsia" w:ascii="仿宋_GB2312" w:eastAsia="仿宋_GB2312"/>
          <w:b/>
          <w:bCs/>
          <w:color w:val="000000"/>
          <w:sz w:val="32"/>
          <w:szCs w:val="32"/>
        </w:rPr>
        <w:t>一、部门主要职责及机构设置</w:t>
      </w:r>
      <w:r>
        <w:rPr>
          <w:rFonts w:ascii="仿宋_GB2312" w:eastAsia="仿宋_GB2312"/>
          <w:b/>
          <w:bCs/>
          <w:color w:val="000000"/>
          <w:sz w:val="32"/>
          <w:szCs w:val="32"/>
        </w:rPr>
        <w:t>情况</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（一）部门机构设置、</w:t>
      </w:r>
      <w:r>
        <w:rPr>
          <w:rFonts w:ascii="仿宋_GB2312" w:eastAsia="仿宋_GB2312"/>
          <w:color w:val="000000"/>
          <w:sz w:val="32"/>
          <w:szCs w:val="32"/>
        </w:rPr>
        <w:t>职责</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（二）人员</w:t>
      </w:r>
      <w:r>
        <w:rPr>
          <w:rFonts w:ascii="仿宋_GB2312" w:eastAsia="仿宋_GB2312"/>
          <w:color w:val="000000"/>
          <w:sz w:val="32"/>
          <w:szCs w:val="32"/>
        </w:rPr>
        <w:t>构成情况</w:t>
      </w:r>
    </w:p>
    <w:p>
      <w:pPr>
        <w:spacing w:line="560" w:lineRule="exact"/>
        <w:ind w:firstLine="646" w:firstLineChars="200"/>
        <w:rPr>
          <w:rFonts w:ascii="仿宋_GB2312" w:eastAsia="仿宋_GB2312"/>
          <w:b/>
          <w:bCs/>
          <w:color w:val="000000"/>
          <w:sz w:val="32"/>
          <w:szCs w:val="32"/>
        </w:rPr>
      </w:pPr>
      <w:r>
        <w:rPr>
          <w:rFonts w:hint="eastAsia" w:ascii="仿宋_GB2312" w:eastAsia="仿宋_GB2312"/>
          <w:b/>
          <w:bCs/>
          <w:color w:val="000000"/>
          <w:sz w:val="32"/>
          <w:szCs w:val="32"/>
        </w:rPr>
        <w:t>二、</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年部门预算</w:t>
      </w:r>
      <w:r>
        <w:rPr>
          <w:rFonts w:ascii="仿宋_GB2312" w:eastAsia="仿宋_GB2312"/>
          <w:b/>
          <w:bCs/>
          <w:color w:val="000000"/>
          <w:sz w:val="32"/>
          <w:szCs w:val="32"/>
        </w:rPr>
        <w:t>收支及增减变化情况说明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（一）收入预算说明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（二）支出预算说明</w:t>
      </w:r>
    </w:p>
    <w:p>
      <w:pPr>
        <w:spacing w:line="560" w:lineRule="exact"/>
        <w:ind w:firstLine="646" w:firstLineChars="200"/>
        <w:rPr>
          <w:rFonts w:ascii="仿宋_GB2312" w:eastAsia="仿宋_GB2312"/>
          <w:b/>
          <w:bCs/>
          <w:color w:val="000000"/>
          <w:sz w:val="32"/>
          <w:szCs w:val="32"/>
        </w:rPr>
      </w:pPr>
      <w:r>
        <w:rPr>
          <w:rFonts w:hint="eastAsia" w:ascii="仿宋_GB2312" w:eastAsia="仿宋_GB2312"/>
          <w:b/>
          <w:bCs/>
          <w:color w:val="000000"/>
          <w:sz w:val="32"/>
          <w:szCs w:val="32"/>
        </w:rPr>
        <w:t>三、</w:t>
      </w:r>
      <w:r>
        <w:rPr>
          <w:rFonts w:ascii="仿宋_GB2312" w:eastAsia="仿宋_GB2312"/>
          <w:b/>
          <w:bCs/>
          <w:color w:val="000000"/>
          <w:sz w:val="32"/>
          <w:szCs w:val="32"/>
        </w:rPr>
        <w:t>主要支出情况</w:t>
      </w:r>
    </w:p>
    <w:p>
      <w:pPr>
        <w:spacing w:line="560" w:lineRule="exact"/>
        <w:ind w:firstLine="646" w:firstLineChars="200"/>
        <w:rPr>
          <w:rFonts w:ascii="仿宋_GB2312" w:eastAsia="仿宋_GB2312"/>
          <w:b/>
          <w:bCs/>
          <w:color w:val="000000"/>
          <w:sz w:val="32"/>
          <w:szCs w:val="32"/>
        </w:rPr>
      </w:pPr>
      <w:r>
        <w:rPr>
          <w:rFonts w:hint="eastAsia" w:ascii="仿宋_GB2312" w:eastAsia="仿宋_GB2312"/>
          <w:b/>
          <w:bCs/>
          <w:color w:val="000000"/>
          <w:sz w:val="32"/>
          <w:szCs w:val="32"/>
        </w:rPr>
        <w:t>四、</w:t>
      </w:r>
      <w:r>
        <w:rPr>
          <w:rFonts w:ascii="仿宋_GB2312" w:eastAsia="仿宋_GB2312"/>
          <w:b/>
          <w:bCs/>
          <w:color w:val="000000"/>
          <w:sz w:val="32"/>
          <w:szCs w:val="32"/>
        </w:rPr>
        <w:t>部门“</w:t>
      </w:r>
      <w:r>
        <w:rPr>
          <w:rFonts w:hint="eastAsia" w:ascii="仿宋_GB2312" w:eastAsia="仿宋_GB2312"/>
          <w:b/>
          <w:bCs/>
          <w:color w:val="000000"/>
          <w:sz w:val="32"/>
          <w:szCs w:val="32"/>
        </w:rPr>
        <w:t>三公</w:t>
      </w:r>
      <w:r>
        <w:rPr>
          <w:rFonts w:ascii="仿宋_GB2312" w:eastAsia="仿宋_GB2312"/>
          <w:b/>
          <w:bCs/>
          <w:color w:val="000000"/>
          <w:sz w:val="32"/>
          <w:szCs w:val="32"/>
        </w:rPr>
        <w:t>”</w:t>
      </w:r>
      <w:r>
        <w:rPr>
          <w:rFonts w:hint="eastAsia" w:ascii="仿宋_GB2312" w:eastAsia="仿宋_GB2312"/>
          <w:b/>
          <w:bCs/>
          <w:color w:val="000000"/>
          <w:sz w:val="32"/>
          <w:szCs w:val="32"/>
        </w:rPr>
        <w:t>经费</w:t>
      </w:r>
      <w:r>
        <w:rPr>
          <w:rFonts w:ascii="仿宋_GB2312" w:eastAsia="仿宋_GB2312"/>
          <w:b/>
          <w:bCs/>
          <w:color w:val="000000"/>
          <w:sz w:val="32"/>
          <w:szCs w:val="32"/>
        </w:rPr>
        <w:t>财政拨款预算说明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经费的</w:t>
      </w:r>
      <w:r>
        <w:rPr>
          <w:rFonts w:ascii="仿宋_GB2312" w:eastAsia="仿宋_GB2312"/>
          <w:color w:val="000000"/>
          <w:sz w:val="32"/>
          <w:szCs w:val="32"/>
        </w:rPr>
        <w:t>单位</w:t>
      </w:r>
      <w:r>
        <w:rPr>
          <w:rFonts w:hint="eastAsia" w:ascii="仿宋_GB2312" w:eastAsia="仿宋_GB2312"/>
          <w:color w:val="000000"/>
          <w:sz w:val="32"/>
          <w:szCs w:val="32"/>
        </w:rPr>
        <w:t>范围</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经费预算财政</w:t>
      </w:r>
      <w:r>
        <w:rPr>
          <w:rFonts w:ascii="仿宋_GB2312" w:eastAsia="仿宋_GB2312"/>
          <w:color w:val="000000"/>
          <w:sz w:val="32"/>
          <w:szCs w:val="32"/>
        </w:rPr>
        <w:t>拨款</w:t>
      </w:r>
      <w:r>
        <w:rPr>
          <w:rFonts w:hint="eastAsia" w:ascii="仿宋_GB2312" w:eastAsia="仿宋_GB2312"/>
          <w:color w:val="000000"/>
          <w:sz w:val="32"/>
          <w:szCs w:val="32"/>
          <w:lang w:eastAsia="zh-CN"/>
        </w:rPr>
        <w:t>情况</w:t>
      </w:r>
      <w:r>
        <w:rPr>
          <w:rFonts w:hint="eastAsia" w:ascii="仿宋_GB2312" w:eastAsia="仿宋_GB2312"/>
          <w:color w:val="000000"/>
          <w:sz w:val="32"/>
          <w:szCs w:val="32"/>
        </w:rPr>
        <w:t>说明</w:t>
      </w:r>
    </w:p>
    <w:p>
      <w:pPr>
        <w:spacing w:line="560" w:lineRule="exact"/>
        <w:ind w:firstLine="646" w:firstLineChars="200"/>
        <w:rPr>
          <w:rFonts w:ascii="仿宋_GB2312" w:eastAsia="仿宋_GB2312"/>
          <w:b/>
          <w:bCs/>
          <w:color w:val="000000"/>
          <w:sz w:val="32"/>
          <w:szCs w:val="32"/>
        </w:rPr>
      </w:pPr>
      <w:r>
        <w:rPr>
          <w:rFonts w:hint="eastAsia" w:ascii="仿宋_GB2312" w:eastAsia="仿宋_GB2312"/>
          <w:b/>
          <w:bCs/>
          <w:color w:val="000000"/>
          <w:sz w:val="32"/>
          <w:szCs w:val="32"/>
        </w:rPr>
        <w:t>五</w:t>
      </w:r>
      <w:r>
        <w:rPr>
          <w:rFonts w:ascii="仿宋_GB2312" w:eastAsia="仿宋_GB2312"/>
          <w:b/>
          <w:bCs/>
          <w:color w:val="000000"/>
          <w:sz w:val="32"/>
          <w:szCs w:val="32"/>
        </w:rPr>
        <w:t>、其他情况说明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（一）机构运行经费</w:t>
      </w:r>
      <w:r>
        <w:rPr>
          <w:rFonts w:ascii="仿宋_GB2312" w:eastAsia="仿宋_GB2312"/>
          <w:color w:val="000000"/>
          <w:sz w:val="32"/>
          <w:szCs w:val="32"/>
        </w:rPr>
        <w:t>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（二）政府采购</w:t>
      </w:r>
      <w:r>
        <w:rPr>
          <w:rFonts w:ascii="仿宋_GB2312" w:eastAsia="仿宋_GB2312"/>
          <w:color w:val="000000"/>
          <w:sz w:val="32"/>
          <w:szCs w:val="32"/>
        </w:rPr>
        <w:t>预算说明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（三）政府购买服务</w:t>
      </w:r>
      <w:r>
        <w:rPr>
          <w:rFonts w:ascii="仿宋_GB2312" w:eastAsia="仿宋_GB2312"/>
          <w:color w:val="000000"/>
          <w:sz w:val="32"/>
          <w:szCs w:val="32"/>
        </w:rPr>
        <w:t>预算说明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（四）绩效目标情况及绩效评价结果说明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（五）国有</w:t>
      </w:r>
      <w:r>
        <w:rPr>
          <w:rFonts w:ascii="仿宋_GB2312" w:eastAsia="仿宋_GB2312"/>
          <w:color w:val="000000"/>
          <w:sz w:val="32"/>
          <w:szCs w:val="32"/>
        </w:rPr>
        <w:t>资本经营预算财政拨款</w:t>
      </w:r>
      <w:r>
        <w:rPr>
          <w:rFonts w:hint="eastAsia" w:ascii="仿宋_GB2312" w:eastAsia="仿宋_GB2312"/>
          <w:color w:val="000000"/>
          <w:sz w:val="32"/>
          <w:szCs w:val="32"/>
        </w:rPr>
        <w:t>情况</w:t>
      </w:r>
      <w:r>
        <w:rPr>
          <w:rFonts w:ascii="仿宋_GB2312" w:eastAsia="仿宋_GB2312"/>
          <w:color w:val="000000"/>
          <w:sz w:val="32"/>
          <w:szCs w:val="32"/>
        </w:rPr>
        <w:t>说明</w:t>
      </w:r>
    </w:p>
    <w:p>
      <w:pPr>
        <w:spacing w:line="560" w:lineRule="exact"/>
        <w:ind w:firstLine="646" w:firstLineChars="200"/>
        <w:rPr>
          <w:rFonts w:ascii="仿宋_GB2312" w:eastAsia="仿宋_GB2312"/>
          <w:color w:val="000000"/>
          <w:sz w:val="32"/>
          <w:szCs w:val="32"/>
        </w:rPr>
      </w:pPr>
      <w:r>
        <w:rPr>
          <w:rFonts w:hint="eastAsia" w:ascii="仿宋_GB2312" w:eastAsia="仿宋_GB2312"/>
          <w:color w:val="000000"/>
          <w:sz w:val="32"/>
          <w:szCs w:val="32"/>
        </w:rPr>
        <w:t>（六）国有资产</w:t>
      </w:r>
      <w:r>
        <w:rPr>
          <w:rFonts w:ascii="仿宋_GB2312" w:eastAsia="仿宋_GB2312"/>
          <w:color w:val="000000"/>
          <w:sz w:val="32"/>
          <w:szCs w:val="32"/>
        </w:rPr>
        <w:t>占用情况说明</w:t>
      </w:r>
    </w:p>
    <w:p>
      <w:pPr>
        <w:spacing w:line="560" w:lineRule="exact"/>
        <w:ind w:firstLine="646" w:firstLineChars="200"/>
        <w:rPr>
          <w:rFonts w:ascii="仿宋_GB2312" w:eastAsia="仿宋_GB2312"/>
          <w:b/>
          <w:bCs/>
          <w:color w:val="000000"/>
          <w:sz w:val="32"/>
          <w:szCs w:val="32"/>
        </w:rPr>
      </w:pPr>
      <w:r>
        <w:rPr>
          <w:rFonts w:hint="eastAsia" w:ascii="仿宋_GB2312" w:eastAsia="仿宋_GB2312"/>
          <w:b/>
          <w:bCs/>
          <w:color w:val="000000"/>
          <w:sz w:val="32"/>
          <w:szCs w:val="32"/>
        </w:rPr>
        <w:t>六</w:t>
      </w:r>
      <w:r>
        <w:rPr>
          <w:rFonts w:ascii="仿宋_GB2312" w:eastAsia="仿宋_GB2312"/>
          <w:b/>
          <w:bCs/>
          <w:color w:val="000000"/>
          <w:sz w:val="32"/>
          <w:szCs w:val="32"/>
        </w:rPr>
        <w:t>、名称</w:t>
      </w:r>
      <w:r>
        <w:rPr>
          <w:rFonts w:hint="eastAsia" w:ascii="仿宋_GB2312" w:eastAsia="仿宋_GB2312"/>
          <w:b/>
          <w:bCs/>
          <w:color w:val="000000"/>
          <w:sz w:val="32"/>
          <w:szCs w:val="32"/>
        </w:rPr>
        <w:t>解释</w:t>
      </w:r>
    </w:p>
    <w:p>
      <w:pPr>
        <w:spacing w:line="560" w:lineRule="exact"/>
        <w:ind w:firstLine="646" w:firstLineChars="200"/>
        <w:rPr>
          <w:rFonts w:ascii="仿宋_GB2312" w:eastAsia="仿宋_GB2312"/>
          <w:color w:val="000000"/>
          <w:sz w:val="32"/>
          <w:szCs w:val="32"/>
        </w:rPr>
      </w:pPr>
    </w:p>
    <w:p>
      <w:pPr>
        <w:spacing w:line="560" w:lineRule="exact"/>
        <w:rPr>
          <w:rFonts w:ascii="仿宋_GB2312" w:eastAsia="仿宋_GB2312"/>
          <w:b/>
          <w:bCs/>
          <w:color w:val="000000"/>
          <w:sz w:val="32"/>
          <w:szCs w:val="32"/>
        </w:rPr>
      </w:pPr>
      <w:r>
        <w:rPr>
          <w:rFonts w:hint="eastAsia" w:ascii="仿宋_GB2312" w:eastAsia="仿宋_GB2312"/>
          <w:b/>
          <w:bCs/>
          <w:color w:val="000000"/>
          <w:sz w:val="32"/>
          <w:szCs w:val="32"/>
        </w:rPr>
        <w:t>第二部分</w:t>
      </w:r>
      <w:r>
        <w:rPr>
          <w:rFonts w:hint="eastAsia" w:ascii="仿宋_GB2312" w:eastAsia="仿宋_GB2312"/>
          <w:b/>
          <w:bCs/>
          <w:color w:val="000000"/>
          <w:sz w:val="32"/>
          <w:szCs w:val="32"/>
          <w:lang w:val="en-US" w:eastAsia="zh-CN"/>
        </w:rPr>
        <w:t xml:space="preserve"> </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4</w:t>
      </w:r>
      <w:r>
        <w:rPr>
          <w:rFonts w:hint="eastAsia" w:ascii="仿宋_GB2312" w:eastAsia="仿宋_GB2312"/>
          <w:b/>
          <w:bCs/>
          <w:color w:val="000000"/>
          <w:sz w:val="32"/>
          <w:szCs w:val="32"/>
        </w:rPr>
        <w:t>年度部门预算表</w:t>
      </w:r>
    </w:p>
    <w:p>
      <w:pPr>
        <w:autoSpaceDE w:val="0"/>
        <w:autoSpaceDN w:val="0"/>
        <w:adjustRightInd w:val="0"/>
        <w:spacing w:line="560" w:lineRule="exact"/>
        <w:ind w:firstLine="1142" w:firstLineChars="354"/>
        <w:jc w:val="left"/>
        <w:rPr>
          <w:rFonts w:ascii="仿宋_GB2312" w:eastAsia="仿宋_GB2312" w:cs="宋体"/>
          <w:color w:val="000000"/>
          <w:kern w:val="0"/>
          <w:sz w:val="32"/>
          <w:szCs w:val="32"/>
          <w:highlight w:val="none"/>
          <w:lang w:val="zh-CN"/>
        </w:rPr>
      </w:pPr>
      <w:r>
        <w:rPr>
          <w:rFonts w:hint="eastAsia" w:ascii="仿宋_GB2312" w:eastAsia="仿宋_GB2312" w:cs="宋体"/>
          <w:color w:val="000000"/>
          <w:kern w:val="0"/>
          <w:sz w:val="32"/>
          <w:szCs w:val="32"/>
          <w:highlight w:val="none"/>
          <w:lang w:val="zh-CN"/>
        </w:rPr>
        <w:t xml:space="preserve">表一、收支总表 </w:t>
      </w:r>
    </w:p>
    <w:p>
      <w:pPr>
        <w:autoSpaceDE w:val="0"/>
        <w:autoSpaceDN w:val="0"/>
        <w:adjustRightInd w:val="0"/>
        <w:spacing w:line="560" w:lineRule="exact"/>
        <w:ind w:firstLine="1142" w:firstLineChars="354"/>
        <w:jc w:val="left"/>
        <w:rPr>
          <w:rFonts w:ascii="仿宋_GB2312" w:eastAsia="仿宋_GB2312"/>
          <w:sz w:val="32"/>
          <w:szCs w:val="32"/>
          <w:highlight w:val="none"/>
        </w:rPr>
      </w:pPr>
      <w:r>
        <w:rPr>
          <w:rFonts w:hint="eastAsia" w:ascii="仿宋_GB2312" w:eastAsia="仿宋_GB2312"/>
          <w:sz w:val="32"/>
          <w:szCs w:val="32"/>
          <w:highlight w:val="none"/>
        </w:rPr>
        <w:t>表二、收入总表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表三、支出</w:t>
      </w:r>
      <w:r>
        <w:rPr>
          <w:rFonts w:hint="eastAsia" w:ascii="仿宋_GB2312" w:eastAsia="仿宋_GB2312"/>
          <w:sz w:val="32"/>
          <w:szCs w:val="32"/>
          <w:highlight w:val="none"/>
          <w:lang w:eastAsia="zh-CN"/>
        </w:rPr>
        <w:t>总</w:t>
      </w:r>
      <w:r>
        <w:rPr>
          <w:rFonts w:hint="eastAsia" w:ascii="仿宋_GB2312" w:eastAsia="仿宋_GB2312"/>
          <w:sz w:val="32"/>
          <w:szCs w:val="32"/>
          <w:highlight w:val="none"/>
        </w:rPr>
        <w:t>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表四、项目支出表</w:t>
      </w:r>
    </w:p>
    <w:p>
      <w:pPr>
        <w:autoSpaceDE w:val="0"/>
        <w:autoSpaceDN w:val="0"/>
        <w:adjustRightInd w:val="0"/>
        <w:spacing w:line="560" w:lineRule="exact"/>
        <w:ind w:firstLine="1142" w:firstLineChars="354"/>
        <w:jc w:val="left"/>
        <w:rPr>
          <w:rFonts w:ascii="仿宋_GB2312" w:eastAsia="仿宋_GB2312"/>
          <w:sz w:val="32"/>
          <w:szCs w:val="32"/>
          <w:highlight w:val="none"/>
        </w:rPr>
      </w:pPr>
      <w:r>
        <w:rPr>
          <w:rFonts w:hint="eastAsia" w:ascii="仿宋_GB2312" w:eastAsia="仿宋_GB2312"/>
          <w:sz w:val="32"/>
          <w:szCs w:val="32"/>
          <w:highlight w:val="none"/>
        </w:rPr>
        <w:t>表</w:t>
      </w:r>
      <w:r>
        <w:rPr>
          <w:rFonts w:hint="eastAsia" w:ascii="仿宋_GB2312" w:eastAsia="仿宋_GB2312"/>
          <w:sz w:val="32"/>
          <w:szCs w:val="32"/>
          <w:highlight w:val="none"/>
          <w:lang w:eastAsia="zh-CN"/>
        </w:rPr>
        <w:t>五</w:t>
      </w:r>
      <w:r>
        <w:rPr>
          <w:rFonts w:hint="eastAsia" w:ascii="仿宋_GB2312" w:eastAsia="仿宋_GB2312"/>
          <w:sz w:val="32"/>
          <w:szCs w:val="32"/>
          <w:highlight w:val="none"/>
        </w:rPr>
        <w:t>、财政拨款收支预算总表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w:t>
      </w:r>
      <w:r>
        <w:rPr>
          <w:rFonts w:hint="eastAsia" w:ascii="仿宋_GB2312" w:eastAsia="仿宋_GB2312"/>
          <w:sz w:val="32"/>
          <w:szCs w:val="32"/>
          <w:highlight w:val="none"/>
          <w:lang w:eastAsia="zh-CN"/>
        </w:rPr>
        <w:t>六</w:t>
      </w:r>
      <w:r>
        <w:rPr>
          <w:rFonts w:hint="eastAsia" w:ascii="仿宋_GB2312" w:eastAsia="仿宋_GB2312"/>
          <w:sz w:val="32"/>
          <w:szCs w:val="32"/>
          <w:highlight w:val="none"/>
        </w:rPr>
        <w:t>、一般公共预算财政拨款支出表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表七、一般公共预算财政拨款基本支出表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表八、政府性基金预算财政拨款支出表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lang w:eastAsia="zh-CN"/>
        </w:rPr>
        <w:t>表九、</w:t>
      </w:r>
      <w:r>
        <w:rPr>
          <w:rFonts w:hint="eastAsia" w:ascii="仿宋_GB2312" w:eastAsia="仿宋_GB2312"/>
          <w:sz w:val="32"/>
          <w:szCs w:val="32"/>
          <w:highlight w:val="none"/>
        </w:rPr>
        <w:t>国有资本经营预算财政拨款支出表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w:t>
      </w:r>
      <w:r>
        <w:rPr>
          <w:rFonts w:hint="eastAsia" w:ascii="仿宋_GB2312" w:eastAsia="仿宋_GB2312"/>
          <w:sz w:val="32"/>
          <w:szCs w:val="32"/>
          <w:highlight w:val="none"/>
          <w:lang w:eastAsia="zh-CN"/>
        </w:rPr>
        <w:t>十</w:t>
      </w:r>
      <w:r>
        <w:rPr>
          <w:rFonts w:hint="eastAsia" w:ascii="仿宋_GB2312" w:eastAsia="仿宋_GB2312"/>
          <w:sz w:val="32"/>
          <w:szCs w:val="32"/>
          <w:highlight w:val="none"/>
        </w:rPr>
        <w:t>、一般公共预算“三公”经费支出情况表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表十一、政府购买服务预算表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、上级转移支付细化明细表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t>表十</w:t>
      </w:r>
      <w:r>
        <w:rPr>
          <w:rFonts w:hint="eastAsia" w:ascii="仿宋_GB2312" w:eastAsia="仿宋_GB2312"/>
          <w:sz w:val="32"/>
          <w:szCs w:val="32"/>
          <w:highlight w:val="none"/>
          <w:lang w:eastAsia="zh-CN"/>
        </w:rPr>
        <w:t>三</w:t>
      </w:r>
      <w:r>
        <w:rPr>
          <w:rFonts w:hint="eastAsia" w:ascii="仿宋_GB2312" w:eastAsia="仿宋_GB2312"/>
          <w:sz w:val="32"/>
          <w:szCs w:val="32"/>
          <w:highlight w:val="none"/>
        </w:rPr>
        <w:t>、项目支出绩效表</w:t>
      </w: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p>
    <w:p>
      <w:pPr>
        <w:autoSpaceDE w:val="0"/>
        <w:autoSpaceDN w:val="0"/>
        <w:adjustRightInd w:val="0"/>
        <w:spacing w:line="560" w:lineRule="exact"/>
        <w:ind w:firstLine="1142" w:firstLineChars="354"/>
        <w:jc w:val="left"/>
        <w:rPr>
          <w:rFonts w:hint="eastAsia" w:ascii="仿宋_GB2312" w:eastAsia="仿宋_GB2312"/>
          <w:sz w:val="32"/>
          <w:szCs w:val="32"/>
          <w:highlight w:val="none"/>
        </w:rPr>
      </w:pPr>
      <w:r>
        <w:rPr>
          <w:rFonts w:hint="eastAsia" w:ascii="仿宋_GB2312" w:eastAsia="仿宋_GB2312"/>
          <w:sz w:val="32"/>
          <w:szCs w:val="32"/>
          <w:highlight w:val="none"/>
        </w:rPr>
        <w:br w:type="textWrapping"/>
      </w:r>
    </w:p>
    <w:p>
      <w:pPr>
        <w:autoSpaceDE w:val="0"/>
        <w:autoSpaceDN w:val="0"/>
        <w:adjustRightInd w:val="0"/>
        <w:spacing w:line="560" w:lineRule="exact"/>
        <w:ind w:left="1775" w:leftChars="608" w:hanging="480" w:hangingChars="149"/>
        <w:jc w:val="left"/>
        <w:rPr>
          <w:rFonts w:hint="eastAsia" w:ascii="仿宋_GB2312" w:eastAsia="仿宋_GB2312"/>
          <w:sz w:val="32"/>
          <w:szCs w:val="32"/>
          <w:highlight w:val="none"/>
        </w:rPr>
      </w:pPr>
    </w:p>
    <w:p>
      <w:pPr>
        <w:autoSpaceDE w:val="0"/>
        <w:autoSpaceDN w:val="0"/>
        <w:adjustRightInd w:val="0"/>
        <w:spacing w:line="560" w:lineRule="exact"/>
        <w:ind w:left="1775" w:leftChars="608" w:hanging="480" w:hangingChars="149"/>
        <w:jc w:val="left"/>
        <w:rPr>
          <w:rFonts w:hint="eastAsia" w:ascii="仿宋_GB2312" w:eastAsia="仿宋_GB2312"/>
          <w:sz w:val="32"/>
          <w:szCs w:val="32"/>
          <w:highlight w:val="none"/>
        </w:rPr>
      </w:pPr>
    </w:p>
    <w:p>
      <w:pPr>
        <w:autoSpaceDE w:val="0"/>
        <w:autoSpaceDN w:val="0"/>
        <w:adjustRightInd w:val="0"/>
        <w:spacing w:line="560" w:lineRule="exact"/>
        <w:ind w:left="1775" w:leftChars="608" w:hanging="480" w:hangingChars="149"/>
        <w:jc w:val="left"/>
        <w:rPr>
          <w:rFonts w:hint="eastAsia" w:ascii="仿宋_GB2312" w:eastAsia="仿宋_GB2312"/>
          <w:sz w:val="32"/>
          <w:szCs w:val="32"/>
          <w:highlight w:val="none"/>
        </w:rPr>
      </w:pPr>
    </w:p>
    <w:p>
      <w:pPr>
        <w:numPr>
          <w:ilvl w:val="0"/>
          <w:numId w:val="1"/>
        </w:numPr>
        <w:jc w:val="center"/>
        <w:outlineLvl w:val="0"/>
        <w:rPr>
          <w:rFonts w:ascii="黑体" w:hAnsi="黑体" w:eastAsia="黑体" w:cs="方正小标宋简体"/>
          <w:b/>
          <w:bCs/>
          <w:color w:val="000000"/>
          <w:sz w:val="36"/>
          <w:szCs w:val="36"/>
        </w:rPr>
      </w:pPr>
      <w:r>
        <w:rPr>
          <w:rFonts w:hint="eastAsia" w:ascii="黑体" w:hAnsi="黑体" w:eastAsia="黑体" w:cs="方正小标宋简体"/>
          <w:b/>
          <w:bCs/>
          <w:color w:val="000000"/>
          <w:sz w:val="36"/>
          <w:szCs w:val="36"/>
          <w:lang w:eastAsia="zh-CN"/>
        </w:rPr>
        <w:t>202</w:t>
      </w:r>
      <w:r>
        <w:rPr>
          <w:rFonts w:hint="eastAsia" w:ascii="黑体" w:hAnsi="黑体" w:eastAsia="黑体" w:cs="方正小标宋简体"/>
          <w:b/>
          <w:bCs/>
          <w:color w:val="000000"/>
          <w:sz w:val="36"/>
          <w:szCs w:val="36"/>
          <w:lang w:val="en-US" w:eastAsia="zh-CN"/>
        </w:rPr>
        <w:t>4</w:t>
      </w:r>
      <w:r>
        <w:rPr>
          <w:rFonts w:hint="eastAsia" w:ascii="黑体" w:hAnsi="黑体" w:eastAsia="黑体" w:cs="方正小标宋简体"/>
          <w:b/>
          <w:bCs/>
          <w:color w:val="000000"/>
          <w:sz w:val="36"/>
          <w:szCs w:val="36"/>
        </w:rPr>
        <w:t>年部门预算情况说明</w:t>
      </w:r>
    </w:p>
    <w:p/>
    <w:p>
      <w:pPr>
        <w:spacing w:line="520" w:lineRule="exact"/>
        <w:ind w:firstLine="646" w:firstLineChars="200"/>
        <w:jc w:val="left"/>
        <w:outlineLvl w:val="1"/>
        <w:rPr>
          <w:rFonts w:ascii="黑体" w:hAnsi="黑体" w:eastAsia="黑体" w:cs="黑体"/>
          <w:b/>
          <w:sz w:val="32"/>
          <w:szCs w:val="32"/>
        </w:rPr>
      </w:pPr>
      <w:r>
        <w:rPr>
          <w:rFonts w:hint="eastAsia" w:ascii="黑体" w:hAnsi="黑体" w:eastAsia="黑体" w:cs="黑体"/>
          <w:b/>
          <w:sz w:val="32"/>
          <w:szCs w:val="32"/>
        </w:rPr>
        <w:t>一．部门主要职责及机构设置情况</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（一）部门机构设置、职责：</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北京市西城区医疗机构管理服务中心</w:t>
      </w:r>
      <w:r>
        <w:rPr>
          <w:rFonts w:hint="eastAsia" w:ascii="仿宋_GB2312" w:eastAsia="仿宋_GB2312"/>
          <w:sz w:val="32"/>
          <w:szCs w:val="32"/>
          <w:highlight w:val="none"/>
        </w:rPr>
        <w:t>内设</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个</w:t>
      </w:r>
      <w:r>
        <w:rPr>
          <w:rFonts w:hint="eastAsia" w:ascii="仿宋_GB2312" w:eastAsia="仿宋_GB2312"/>
          <w:sz w:val="32"/>
          <w:szCs w:val="32"/>
          <w:highlight w:val="none"/>
          <w:lang w:eastAsia="zh-CN"/>
        </w:rPr>
        <w:t>部门</w:t>
      </w:r>
      <w:r>
        <w:rPr>
          <w:rFonts w:hint="eastAsia" w:ascii="仿宋_GB2312" w:eastAsia="仿宋_GB2312"/>
          <w:sz w:val="32"/>
          <w:szCs w:val="32"/>
          <w:highlight w:val="none"/>
        </w:rPr>
        <w:t>，主要包括</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个综合部门、</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个业务部门，无</w:t>
      </w:r>
      <w:r>
        <w:rPr>
          <w:rFonts w:hint="eastAsia" w:ascii="仿宋_GB2312" w:eastAsia="仿宋_GB2312"/>
          <w:sz w:val="32"/>
          <w:szCs w:val="32"/>
          <w:highlight w:val="none"/>
        </w:rPr>
        <w:t>下属单位。</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楷体" w:hAnsi="楷体" w:eastAsia="楷体" w:cs="宋体"/>
          <w:b/>
          <w:bCs/>
          <w:sz w:val="32"/>
          <w:szCs w:val="32"/>
        </w:rPr>
      </w:pPr>
      <w:r>
        <w:rPr>
          <w:rFonts w:hint="eastAsia" w:ascii="楷体" w:hAnsi="楷体" w:eastAsia="楷体" w:cs="宋体"/>
          <w:b/>
          <w:bCs/>
          <w:sz w:val="32"/>
          <w:szCs w:val="32"/>
          <w:lang w:eastAsia="zh-CN"/>
        </w:rPr>
        <w:t>部门机构</w:t>
      </w:r>
      <w:r>
        <w:rPr>
          <w:rFonts w:hint="eastAsia" w:ascii="楷体" w:hAnsi="楷体" w:eastAsia="楷体" w:cs="宋体"/>
          <w:b/>
          <w:bCs/>
          <w:sz w:val="32"/>
          <w:szCs w:val="32"/>
        </w:rPr>
        <w:t>职责</w:t>
      </w:r>
      <w:r>
        <w:rPr>
          <w:rFonts w:hint="eastAsia" w:ascii="楷体" w:hAnsi="楷体" w:eastAsia="楷体" w:cs="宋体"/>
          <w:b/>
          <w:bCs/>
          <w:sz w:val="32"/>
          <w:szCs w:val="32"/>
          <w:lang w:eastAsia="zh-CN"/>
        </w:rPr>
        <w:t>（区编委批复）</w:t>
      </w:r>
      <w:r>
        <w:rPr>
          <w:rFonts w:hint="eastAsia" w:ascii="楷体" w:hAnsi="楷体" w:eastAsia="楷体" w:cs="宋体"/>
          <w:b/>
          <w:bCs/>
          <w:sz w:val="32"/>
          <w:szCs w:val="32"/>
        </w:rPr>
        <w:t>：</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hAnsi="Calibri" w:eastAsia="仿宋_GB2312"/>
          <w:sz w:val="32"/>
          <w:szCs w:val="32"/>
        </w:rPr>
      </w:pPr>
      <w:r>
        <w:rPr>
          <w:rFonts w:hint="eastAsia" w:ascii="仿宋_GB2312" w:eastAsia="仿宋_GB2312"/>
          <w:sz w:val="32"/>
          <w:szCs w:val="32"/>
        </w:rPr>
        <w:t>1.对辖区内各医疗保健单位的医、护、技工作质量和管理质量进行检查、指导、考核和评价。</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2.受卫生行政部门委托负责医疗机构申请登记、变更、校验的有关工作。</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3.受卫生行政部门委托负责医疗机构评审、护士注册前期工作、执业医师考核及相应的组织和培训工作。</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4.负责医疗卫生科研项目的立项、评审的论证、引进医疗设备与技术的评估。</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5.负责科技成果的开发和推广应用。</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6.负责医务人员的专业知识及技能的培训和考核。</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7.开展多种形式的学术交流、咨询和科普宣传活动。</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rPr>
      </w:pPr>
      <w:r>
        <w:rPr>
          <w:rFonts w:hint="eastAsia" w:ascii="仿宋_GB2312" w:eastAsia="仿宋_GB2312"/>
          <w:sz w:val="32"/>
          <w:szCs w:val="32"/>
        </w:rPr>
        <w:t>8.开展医护人才及医药科技发展推广的中介服务。</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部门机构承担的主要工作</w:t>
      </w:r>
      <w:r>
        <w:rPr>
          <w:rFonts w:hint="eastAsia" w:ascii="楷体" w:hAnsi="楷体" w:eastAsia="楷体" w:cs="楷体"/>
          <w:b/>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1.</w:t>
      </w:r>
      <w:r>
        <w:rPr>
          <w:rFonts w:hint="eastAsia" w:ascii="仿宋_GB2312" w:eastAsia="仿宋_GB2312" w:cs="仿宋_GB2312"/>
          <w:color w:val="auto"/>
          <w:sz w:val="32"/>
          <w:szCs w:val="32"/>
          <w:highlight w:val="none"/>
        </w:rPr>
        <w:t>对辖区医疗</w:t>
      </w:r>
      <w:r>
        <w:rPr>
          <w:rFonts w:hint="eastAsia" w:ascii="仿宋_GB2312" w:eastAsia="仿宋_GB2312" w:cs="仿宋_GB2312"/>
          <w:color w:val="auto"/>
          <w:sz w:val="32"/>
          <w:szCs w:val="32"/>
          <w:highlight w:val="none"/>
          <w:lang w:eastAsia="zh-CN"/>
        </w:rPr>
        <w:t>机构</w:t>
      </w:r>
      <w:r>
        <w:rPr>
          <w:rFonts w:hint="eastAsia" w:ascii="仿宋_GB2312" w:eastAsia="仿宋_GB2312" w:cs="仿宋_GB2312"/>
          <w:color w:val="auto"/>
          <w:sz w:val="32"/>
          <w:szCs w:val="32"/>
          <w:highlight w:val="none"/>
        </w:rPr>
        <w:t>的医、护、技工作质量和管理质量进行检查、指导、考核和评价；</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2.</w:t>
      </w:r>
      <w:r>
        <w:rPr>
          <w:rFonts w:hint="eastAsia" w:ascii="仿宋_GB2312" w:eastAsia="仿宋_GB2312" w:cs="仿宋_GB2312"/>
          <w:color w:val="auto"/>
          <w:sz w:val="32"/>
          <w:szCs w:val="32"/>
          <w:highlight w:val="none"/>
        </w:rPr>
        <w:t>对区属公立医院的医疗服务进行监管；</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3.</w:t>
      </w:r>
      <w:r>
        <w:rPr>
          <w:rFonts w:hint="eastAsia" w:ascii="仿宋_GB2312" w:eastAsia="仿宋_GB2312" w:cs="仿宋_GB2312"/>
          <w:color w:val="auto"/>
          <w:sz w:val="32"/>
          <w:szCs w:val="32"/>
          <w:highlight w:val="none"/>
        </w:rPr>
        <w:t>建立健全区属公立医院绩效评价体系，加强对区属公立医院运行绩效管理；</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4.</w:t>
      </w:r>
      <w:r>
        <w:rPr>
          <w:rFonts w:hint="eastAsia" w:ascii="仿宋_GB2312" w:eastAsia="仿宋_GB2312" w:cs="仿宋_GB2312"/>
          <w:color w:val="auto"/>
          <w:sz w:val="32"/>
          <w:szCs w:val="32"/>
          <w:highlight w:val="none"/>
        </w:rPr>
        <w:t>对区属公立医院重大基础建设项目（超过500万在区发改委立项）的监管；</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5.</w:t>
      </w:r>
      <w:r>
        <w:rPr>
          <w:rFonts w:hint="eastAsia" w:ascii="仿宋_GB2312" w:eastAsia="仿宋_GB2312" w:cs="仿宋_GB2312"/>
          <w:color w:val="auto"/>
          <w:sz w:val="32"/>
          <w:szCs w:val="32"/>
          <w:highlight w:val="none"/>
        </w:rPr>
        <w:t>促进</w:t>
      </w:r>
      <w:r>
        <w:rPr>
          <w:rFonts w:hint="eastAsia" w:ascii="仿宋_GB2312" w:eastAsia="仿宋_GB2312" w:cs="仿宋_GB2312"/>
          <w:color w:val="auto"/>
          <w:sz w:val="32"/>
          <w:szCs w:val="32"/>
          <w:highlight w:val="none"/>
          <w:lang w:eastAsia="zh-CN"/>
        </w:rPr>
        <w:t>医学</w:t>
      </w:r>
      <w:r>
        <w:rPr>
          <w:rFonts w:hint="eastAsia" w:ascii="仿宋_GB2312" w:eastAsia="仿宋_GB2312" w:cs="仿宋_GB2312"/>
          <w:color w:val="auto"/>
          <w:sz w:val="32"/>
          <w:szCs w:val="32"/>
          <w:highlight w:val="none"/>
        </w:rPr>
        <w:t>学术交流与发展，为医院内涵建设提供平台和服务；</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6.</w:t>
      </w:r>
      <w:r>
        <w:rPr>
          <w:rFonts w:hint="eastAsia" w:ascii="仿宋_GB2312" w:eastAsia="仿宋_GB2312" w:cs="仿宋_GB2312"/>
          <w:color w:val="auto"/>
          <w:sz w:val="32"/>
          <w:szCs w:val="32"/>
          <w:highlight w:val="none"/>
        </w:rPr>
        <w:t>配合区卫生健康委对区属公立医院进行人、财、物等的管理；</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cs="仿宋_GB2312"/>
          <w:color w:val="auto"/>
          <w:sz w:val="32"/>
          <w:szCs w:val="32"/>
          <w:highlight w:val="none"/>
        </w:rPr>
      </w:pPr>
      <w:r>
        <w:rPr>
          <w:rFonts w:hint="eastAsia" w:ascii="仿宋_GB2312" w:eastAsia="仿宋_GB2312" w:cs="仿宋_GB2312"/>
          <w:color w:val="auto"/>
          <w:sz w:val="32"/>
          <w:szCs w:val="32"/>
          <w:highlight w:val="none"/>
          <w:lang w:val="en-US" w:eastAsia="zh-CN"/>
        </w:rPr>
        <w:t>7.</w:t>
      </w:r>
      <w:r>
        <w:rPr>
          <w:rFonts w:hint="eastAsia" w:ascii="仿宋_GB2312" w:eastAsia="仿宋_GB2312" w:cs="仿宋_GB2312"/>
          <w:color w:val="auto"/>
          <w:sz w:val="32"/>
          <w:szCs w:val="32"/>
          <w:highlight w:val="none"/>
        </w:rPr>
        <w:t>配合区卫生健康委推动区属公立医院改革，建立健全现代医院管理制度及运营机制；</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楷体" w:hAnsi="楷体" w:eastAsia="楷体" w:cs="宋体"/>
          <w:b/>
          <w:bCs/>
          <w:sz w:val="32"/>
          <w:szCs w:val="32"/>
          <w:highlight w:val="none"/>
        </w:rPr>
      </w:pPr>
      <w:r>
        <w:rPr>
          <w:rFonts w:hint="eastAsia" w:ascii="仿宋_GB2312" w:eastAsia="仿宋_GB2312" w:cs="仿宋_GB2312"/>
          <w:color w:val="auto"/>
          <w:sz w:val="32"/>
          <w:szCs w:val="32"/>
          <w:highlight w:val="none"/>
          <w:lang w:val="en-US" w:eastAsia="zh-CN"/>
        </w:rPr>
        <w:t>8.</w:t>
      </w:r>
      <w:r>
        <w:rPr>
          <w:rFonts w:hint="eastAsia" w:ascii="仿宋_GB2312" w:eastAsia="仿宋_GB2312" w:cs="仿宋_GB2312"/>
          <w:color w:val="auto"/>
          <w:sz w:val="32"/>
          <w:szCs w:val="32"/>
          <w:highlight w:val="none"/>
        </w:rPr>
        <w:t>承担区卫生健康委交办的其他工作任务。</w:t>
      </w:r>
    </w:p>
    <w:p>
      <w:pPr>
        <w:keepNext w:val="0"/>
        <w:keepLines w:val="0"/>
        <w:pageBreakBefore w:val="0"/>
        <w:kinsoku/>
        <w:wordWrap/>
        <w:overflowPunct/>
        <w:topLinePunct w:val="0"/>
        <w:autoSpaceDE/>
        <w:autoSpaceDN/>
        <w:bidi w:val="0"/>
        <w:adjustRightInd/>
        <w:snapToGrid/>
        <w:spacing w:line="540" w:lineRule="exact"/>
        <w:ind w:firstLine="646" w:firstLineChars="200"/>
        <w:textAlignment w:val="auto"/>
        <w:rPr>
          <w:rFonts w:hint="eastAsia" w:ascii="仿宋_GB2312" w:eastAsia="仿宋_GB2312"/>
          <w:sz w:val="32"/>
          <w:szCs w:val="32"/>
          <w:highlight w:val="none"/>
        </w:rPr>
      </w:pP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（二）人员构成情况:</w:t>
      </w:r>
    </w:p>
    <w:p>
      <w:pPr>
        <w:spacing w:line="360" w:lineRule="auto"/>
        <w:ind w:firstLine="555"/>
        <w:rPr>
          <w:rFonts w:ascii="仿宋_GB2312" w:eastAsia="仿宋_GB2312"/>
          <w:sz w:val="32"/>
          <w:szCs w:val="32"/>
        </w:rPr>
      </w:pPr>
      <w:r>
        <w:rPr>
          <w:rFonts w:hint="eastAsia" w:ascii="仿宋_GB2312" w:eastAsia="仿宋_GB2312"/>
          <w:sz w:val="32"/>
          <w:szCs w:val="32"/>
        </w:rPr>
        <w:t>北京市西城区医疗机构管理服务中心行政编制0人;事业编制12人；实际</w:t>
      </w:r>
      <w:r>
        <w:rPr>
          <w:rFonts w:hint="eastAsia" w:ascii="仿宋_GB2312" w:eastAsia="仿宋_GB2312"/>
          <w:sz w:val="32"/>
          <w:szCs w:val="32"/>
          <w:lang w:val="en-US" w:eastAsia="zh-CN"/>
        </w:rPr>
        <w:t>11</w:t>
      </w:r>
      <w:r>
        <w:rPr>
          <w:rFonts w:hint="eastAsia" w:ascii="仿宋_GB2312" w:eastAsia="仿宋_GB2312"/>
          <w:sz w:val="32"/>
          <w:szCs w:val="32"/>
        </w:rPr>
        <w:t>人；长期聘用临时工0人。</w:t>
      </w:r>
    </w:p>
    <w:p>
      <w:pPr>
        <w:spacing w:line="520" w:lineRule="exact"/>
        <w:ind w:firstLine="646" w:firstLineChars="200"/>
        <w:rPr>
          <w:rFonts w:ascii="仿宋_GB2312" w:eastAsia="仿宋_GB2312"/>
          <w:sz w:val="32"/>
          <w:szCs w:val="32"/>
        </w:rPr>
      </w:pPr>
      <w:r>
        <w:rPr>
          <w:rFonts w:hint="eastAsia" w:ascii="仿宋_GB2312" w:eastAsia="仿宋_GB2312"/>
          <w:sz w:val="32"/>
          <w:szCs w:val="32"/>
        </w:rPr>
        <w:t>离退休人员</w:t>
      </w:r>
      <w:r>
        <w:rPr>
          <w:rFonts w:hint="eastAsia" w:ascii="仿宋_GB2312" w:eastAsia="仿宋_GB2312"/>
          <w:sz w:val="32"/>
          <w:szCs w:val="32"/>
          <w:lang w:val="en-US" w:eastAsia="zh-CN"/>
        </w:rPr>
        <w:t>5</w:t>
      </w:r>
      <w:r>
        <w:rPr>
          <w:rFonts w:hint="eastAsia" w:ascii="仿宋_GB2312" w:eastAsia="仿宋_GB2312"/>
          <w:sz w:val="32"/>
          <w:szCs w:val="32"/>
        </w:rPr>
        <w:t>人，其中：离休0人，退休</w:t>
      </w:r>
      <w:r>
        <w:rPr>
          <w:rFonts w:hint="eastAsia" w:ascii="仿宋_GB2312" w:eastAsia="仿宋_GB2312"/>
          <w:sz w:val="32"/>
          <w:szCs w:val="32"/>
          <w:lang w:val="en-US" w:eastAsia="zh-CN"/>
        </w:rPr>
        <w:t>5</w:t>
      </w:r>
      <w:r>
        <w:rPr>
          <w:rFonts w:hint="eastAsia" w:ascii="仿宋_GB2312" w:eastAsia="仿宋_GB2312"/>
          <w:sz w:val="32"/>
          <w:szCs w:val="32"/>
        </w:rPr>
        <w:t>人。</w:t>
      </w:r>
    </w:p>
    <w:p>
      <w:pPr>
        <w:spacing w:line="520" w:lineRule="exact"/>
        <w:ind w:firstLine="646" w:firstLineChars="200"/>
        <w:rPr>
          <w:rFonts w:ascii="黑体" w:eastAsia="黑体" w:cs="黑体"/>
          <w:sz w:val="32"/>
          <w:szCs w:val="32"/>
        </w:rPr>
      </w:pPr>
    </w:p>
    <w:p>
      <w:pPr>
        <w:spacing w:line="520" w:lineRule="exact"/>
        <w:ind w:firstLine="646" w:firstLineChars="200"/>
        <w:outlineLvl w:val="1"/>
        <w:rPr>
          <w:rFonts w:ascii="黑体" w:hAnsi="黑体" w:eastAsia="黑体" w:cs="黑体"/>
          <w:b/>
          <w:sz w:val="32"/>
          <w:szCs w:val="32"/>
        </w:rPr>
      </w:pPr>
      <w:r>
        <w:rPr>
          <w:rFonts w:hint="eastAsia" w:ascii="黑体" w:hAnsi="黑体" w:eastAsia="黑体" w:cs="黑体"/>
          <w:b/>
          <w:sz w:val="32"/>
          <w:szCs w:val="32"/>
        </w:rPr>
        <w:t>二．</w:t>
      </w:r>
      <w:r>
        <w:rPr>
          <w:rFonts w:hint="eastAsia" w:ascii="黑体" w:hAnsi="黑体" w:eastAsia="黑体" w:cs="黑体"/>
          <w:b/>
          <w:sz w:val="32"/>
          <w:szCs w:val="32"/>
          <w:lang w:eastAsia="zh-CN"/>
        </w:rPr>
        <w:t>2023</w:t>
      </w:r>
      <w:r>
        <w:rPr>
          <w:rFonts w:hint="eastAsia" w:ascii="黑体" w:hAnsi="黑体" w:eastAsia="黑体" w:cs="黑体"/>
          <w:b/>
          <w:sz w:val="32"/>
          <w:szCs w:val="32"/>
        </w:rPr>
        <w:t>年部门预算收支及增减变化情况说明</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（一）收入预算说明</w:t>
      </w:r>
    </w:p>
    <w:p>
      <w:pPr>
        <w:spacing w:line="560" w:lineRule="exact"/>
        <w:ind w:firstLine="646" w:firstLineChars="200"/>
        <w:rPr>
          <w:rFonts w:ascii="仿宋" w:hAnsi="仿宋" w:eastAsia="仿宋"/>
          <w:color w:val="auto"/>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4</w:t>
      </w:r>
      <w:r>
        <w:rPr>
          <w:rFonts w:hint="eastAsia" w:ascii="仿宋" w:hAnsi="仿宋" w:eastAsia="仿宋"/>
          <w:sz w:val="32"/>
          <w:szCs w:val="32"/>
        </w:rPr>
        <w:t>年单位总收入安排</w:t>
      </w:r>
      <w:r>
        <w:rPr>
          <w:rFonts w:hint="eastAsia" w:ascii="仿宋" w:hAnsi="仿宋" w:eastAsia="仿宋" w:cs="宋体"/>
          <w:color w:val="000000"/>
          <w:kern w:val="0"/>
          <w:sz w:val="32"/>
          <w:szCs w:val="32"/>
          <w:lang w:val="en-US" w:eastAsia="zh-CN"/>
        </w:rPr>
        <w:t>4,865,623.92</w:t>
      </w:r>
      <w:r>
        <w:rPr>
          <w:rFonts w:hint="eastAsia" w:ascii="仿宋" w:hAnsi="仿宋" w:eastAsia="仿宋"/>
          <w:sz w:val="32"/>
          <w:szCs w:val="32"/>
        </w:rPr>
        <w:t>元。其中：一般公共预算拨款收入</w:t>
      </w:r>
      <w:r>
        <w:rPr>
          <w:rFonts w:hint="eastAsia" w:ascii="仿宋" w:hAnsi="仿宋" w:eastAsia="仿宋" w:cs="宋体"/>
          <w:color w:val="000000"/>
          <w:kern w:val="0"/>
          <w:sz w:val="32"/>
          <w:szCs w:val="32"/>
          <w:lang w:val="en-US" w:eastAsia="zh-CN"/>
        </w:rPr>
        <w:t>4,865,623.92</w:t>
      </w:r>
      <w:r>
        <w:rPr>
          <w:rFonts w:hint="eastAsia" w:ascii="仿宋" w:hAnsi="仿宋" w:eastAsia="仿宋"/>
          <w:sz w:val="32"/>
          <w:szCs w:val="32"/>
        </w:rPr>
        <w:t>元，财政专户资金安排0.00元，其他资金0.00元，市级提前下达专项转移支付项目资金安排0.00元。</w:t>
      </w: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年收入预算</w:t>
      </w:r>
      <w:r>
        <w:rPr>
          <w:rFonts w:hint="eastAsia" w:ascii="仿宋" w:hAnsi="仿宋" w:eastAsia="仿宋" w:cs="宋体"/>
          <w:color w:val="000000"/>
          <w:kern w:val="0"/>
          <w:sz w:val="32"/>
          <w:szCs w:val="32"/>
          <w:lang w:val="en-US" w:eastAsia="zh-CN"/>
        </w:rPr>
        <w:t>4,149,370.61</w:t>
      </w:r>
      <w:r>
        <w:rPr>
          <w:rFonts w:hint="eastAsia" w:ascii="仿宋" w:hAnsi="仿宋" w:eastAsia="仿宋"/>
          <w:color w:val="auto"/>
          <w:sz w:val="32"/>
          <w:szCs w:val="32"/>
        </w:rPr>
        <w:t>元。</w:t>
      </w:r>
      <w:r>
        <w:rPr>
          <w:rFonts w:hint="eastAsia" w:ascii="仿宋" w:hAnsi="仿宋" w:eastAsia="仿宋"/>
          <w:color w:val="auto"/>
          <w:sz w:val="32"/>
          <w:szCs w:val="32"/>
          <w:lang w:eastAsia="zh-CN"/>
        </w:rPr>
        <w:t>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年收入预算比</w:t>
      </w: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w:t>
      </w:r>
      <w:r>
        <w:rPr>
          <w:rFonts w:hint="eastAsia" w:ascii="仿宋" w:hAnsi="仿宋" w:eastAsia="仿宋"/>
          <w:color w:val="auto"/>
          <w:sz w:val="32"/>
          <w:szCs w:val="32"/>
          <w:lang w:eastAsia="zh-CN"/>
        </w:rPr>
        <w:t>增加</w:t>
      </w:r>
      <w:r>
        <w:rPr>
          <w:rFonts w:hint="eastAsia" w:ascii="仿宋" w:hAnsi="仿宋" w:eastAsia="仿宋"/>
          <w:color w:val="auto"/>
          <w:sz w:val="32"/>
          <w:szCs w:val="32"/>
          <w:lang w:val="en-US" w:eastAsia="zh-CN"/>
        </w:rPr>
        <w:t>716,253.31</w:t>
      </w:r>
      <w:r>
        <w:rPr>
          <w:rFonts w:hint="eastAsia" w:ascii="仿宋" w:hAnsi="仿宋" w:eastAsia="仿宋"/>
          <w:color w:val="auto"/>
          <w:sz w:val="32"/>
          <w:szCs w:val="32"/>
        </w:rPr>
        <w:t>元，</w:t>
      </w:r>
      <w:r>
        <w:rPr>
          <w:rFonts w:hint="eastAsia" w:ascii="仿宋" w:hAnsi="仿宋" w:eastAsia="仿宋"/>
          <w:color w:val="auto"/>
          <w:sz w:val="32"/>
          <w:szCs w:val="32"/>
          <w:lang w:eastAsia="zh-CN"/>
        </w:rPr>
        <w:t>增长</w:t>
      </w:r>
      <w:r>
        <w:rPr>
          <w:rFonts w:hint="eastAsia" w:ascii="仿宋" w:hAnsi="仿宋" w:eastAsia="仿宋"/>
          <w:color w:val="auto"/>
          <w:sz w:val="32"/>
          <w:szCs w:val="32"/>
          <w:lang w:val="en-US" w:eastAsia="zh-CN"/>
        </w:rPr>
        <w:t>17.26%，主要原因是在职职工较去年同期增加1人。</w:t>
      </w:r>
      <w:r>
        <w:rPr>
          <w:rFonts w:hint="eastAsia" w:ascii="仿宋" w:hAnsi="仿宋" w:eastAsia="仿宋"/>
          <w:color w:val="auto"/>
          <w:sz w:val="32"/>
          <w:szCs w:val="32"/>
        </w:rPr>
        <w:t>我单位不涉及政府性基金收入预算。</w:t>
      </w:r>
      <w:r>
        <w:rPr>
          <w:rFonts w:ascii="仿宋" w:hAnsi="仿宋" w:eastAsia="仿宋"/>
          <w:color w:val="auto"/>
          <w:sz w:val="32"/>
          <w:szCs w:val="32"/>
        </w:rPr>
        <w:tab/>
      </w:r>
    </w:p>
    <w:p>
      <w:pPr>
        <w:spacing w:line="520" w:lineRule="exact"/>
        <w:ind w:firstLine="759" w:firstLineChars="235"/>
        <w:outlineLvl w:val="2"/>
        <w:rPr>
          <w:rFonts w:ascii="仿宋" w:hAnsi="仿宋" w:eastAsia="仿宋" w:cs="宋体"/>
          <w:b/>
          <w:bCs/>
          <w:color w:val="auto"/>
          <w:sz w:val="32"/>
          <w:szCs w:val="30"/>
        </w:rPr>
      </w:pPr>
      <w:r>
        <w:rPr>
          <w:rFonts w:hint="eastAsia" w:ascii="仿宋" w:hAnsi="仿宋" w:eastAsia="仿宋" w:cs="宋体"/>
          <w:b/>
          <w:bCs/>
          <w:color w:val="auto"/>
          <w:sz w:val="32"/>
          <w:szCs w:val="30"/>
        </w:rPr>
        <w:t>（二）支出预算说明</w:t>
      </w:r>
    </w:p>
    <w:p>
      <w:pPr>
        <w:spacing w:line="560" w:lineRule="exact"/>
        <w:ind w:firstLine="646" w:firstLineChars="200"/>
        <w:rPr>
          <w:rFonts w:hint="eastAsia" w:ascii="仿宋" w:hAnsi="仿宋" w:eastAsia="仿宋"/>
          <w:sz w:val="32"/>
          <w:szCs w:val="32"/>
        </w:rPr>
      </w:pPr>
      <w:r>
        <w:rPr>
          <w:rFonts w:hint="eastAsia" w:ascii="仿宋" w:hAnsi="仿宋" w:eastAsia="仿宋"/>
          <w:sz w:val="32"/>
          <w:szCs w:val="32"/>
          <w:lang w:eastAsia="zh-CN"/>
        </w:rPr>
        <w:t>202</w:t>
      </w:r>
      <w:r>
        <w:rPr>
          <w:rFonts w:hint="eastAsia" w:ascii="仿宋" w:hAnsi="仿宋" w:eastAsia="仿宋"/>
          <w:sz w:val="32"/>
          <w:szCs w:val="32"/>
          <w:lang w:val="en-US" w:eastAsia="zh-CN"/>
        </w:rPr>
        <w:t>4</w:t>
      </w:r>
      <w:r>
        <w:rPr>
          <w:rFonts w:hint="eastAsia" w:ascii="仿宋" w:hAnsi="仿宋" w:eastAsia="仿宋"/>
          <w:sz w:val="32"/>
          <w:szCs w:val="32"/>
        </w:rPr>
        <w:t>年支出预算</w:t>
      </w:r>
      <w:r>
        <w:rPr>
          <w:rFonts w:hint="eastAsia" w:ascii="仿宋" w:hAnsi="仿宋" w:eastAsia="仿宋"/>
          <w:sz w:val="32"/>
          <w:szCs w:val="32"/>
          <w:lang w:val="en-US" w:eastAsia="zh-CN"/>
        </w:rPr>
        <w:t>4,865,623.92</w:t>
      </w:r>
      <w:r>
        <w:rPr>
          <w:rFonts w:hint="eastAsia" w:ascii="仿宋" w:hAnsi="仿宋" w:eastAsia="仿宋"/>
          <w:sz w:val="32"/>
          <w:szCs w:val="32"/>
        </w:rPr>
        <w:t>元，其中：预算内资金安排</w:t>
      </w:r>
      <w:r>
        <w:rPr>
          <w:rFonts w:hint="eastAsia" w:ascii="仿宋" w:hAnsi="仿宋" w:eastAsia="仿宋"/>
          <w:sz w:val="32"/>
          <w:szCs w:val="32"/>
          <w:lang w:val="en-US" w:eastAsia="zh-CN"/>
        </w:rPr>
        <w:t>4,865,623.92</w:t>
      </w:r>
      <w:r>
        <w:rPr>
          <w:rFonts w:hint="eastAsia" w:ascii="仿宋" w:hAnsi="仿宋" w:eastAsia="仿宋"/>
          <w:sz w:val="32"/>
          <w:szCs w:val="32"/>
        </w:rPr>
        <w:t>元，比202</w:t>
      </w:r>
      <w:r>
        <w:rPr>
          <w:rFonts w:hint="eastAsia" w:ascii="仿宋" w:hAnsi="仿宋" w:eastAsia="仿宋"/>
          <w:sz w:val="32"/>
          <w:szCs w:val="32"/>
          <w:lang w:val="en-US" w:eastAsia="zh-CN"/>
        </w:rPr>
        <w:t>3</w:t>
      </w:r>
      <w:r>
        <w:rPr>
          <w:rFonts w:hint="eastAsia" w:ascii="仿宋" w:hAnsi="仿宋" w:eastAsia="仿宋"/>
          <w:sz w:val="32"/>
          <w:szCs w:val="32"/>
        </w:rPr>
        <w:t>年</w:t>
      </w:r>
      <w:r>
        <w:rPr>
          <w:rFonts w:hint="eastAsia" w:ascii="仿宋" w:hAnsi="仿宋" w:eastAsia="仿宋"/>
          <w:sz w:val="32"/>
          <w:szCs w:val="32"/>
          <w:lang w:eastAsia="zh-CN"/>
        </w:rPr>
        <w:t>增加</w:t>
      </w:r>
      <w:r>
        <w:rPr>
          <w:rFonts w:hint="eastAsia" w:ascii="仿宋" w:hAnsi="仿宋" w:eastAsia="仿宋"/>
          <w:sz w:val="32"/>
          <w:szCs w:val="32"/>
          <w:lang w:val="en-US" w:eastAsia="zh-CN"/>
        </w:rPr>
        <w:t>716,253.31</w:t>
      </w:r>
      <w:r>
        <w:rPr>
          <w:rFonts w:hint="eastAsia" w:ascii="仿宋" w:hAnsi="仿宋" w:eastAsia="仿宋"/>
          <w:sz w:val="32"/>
          <w:szCs w:val="32"/>
        </w:rPr>
        <w:t>元，</w:t>
      </w:r>
      <w:r>
        <w:rPr>
          <w:rFonts w:hint="eastAsia" w:ascii="仿宋" w:hAnsi="仿宋" w:eastAsia="仿宋"/>
          <w:sz w:val="32"/>
          <w:szCs w:val="32"/>
          <w:lang w:eastAsia="zh-CN"/>
        </w:rPr>
        <w:t>增长</w:t>
      </w:r>
      <w:r>
        <w:rPr>
          <w:rFonts w:hint="eastAsia" w:ascii="仿宋" w:hAnsi="仿宋" w:eastAsia="仿宋"/>
          <w:sz w:val="32"/>
          <w:szCs w:val="32"/>
          <w:lang w:val="en-US" w:eastAsia="zh-CN"/>
        </w:rPr>
        <w:t>17.26%，主要原因是在职职工较去年同期增加1人。</w:t>
      </w:r>
      <w:r>
        <w:rPr>
          <w:rFonts w:hint="eastAsia" w:ascii="仿宋" w:hAnsi="仿宋" w:eastAsia="仿宋"/>
          <w:sz w:val="32"/>
          <w:szCs w:val="32"/>
        </w:rPr>
        <w:t>财政专户资金安排0.00元，其他资金安排0.00元。</w:t>
      </w:r>
    </w:p>
    <w:p>
      <w:pPr>
        <w:spacing w:line="520" w:lineRule="exact"/>
        <w:rPr>
          <w:rFonts w:ascii="仿宋_GB2312" w:hAnsi="黑体" w:eastAsia="仿宋_GB2312"/>
          <w:sz w:val="32"/>
          <w:szCs w:val="32"/>
        </w:rPr>
      </w:pPr>
      <w:bookmarkStart w:id="0" w:name="_GoBack"/>
      <w:bookmarkEnd w:id="0"/>
    </w:p>
    <w:p>
      <w:pPr>
        <w:spacing w:line="520" w:lineRule="exact"/>
        <w:ind w:firstLine="646" w:firstLineChars="200"/>
        <w:outlineLvl w:val="1"/>
        <w:rPr>
          <w:rFonts w:ascii="黑体" w:hAnsi="黑体" w:eastAsia="黑体" w:cs="黑体"/>
          <w:b/>
          <w:sz w:val="32"/>
          <w:szCs w:val="32"/>
        </w:rPr>
      </w:pPr>
      <w:r>
        <w:rPr>
          <w:rFonts w:hint="eastAsia" w:ascii="黑体" w:hAnsi="黑体" w:eastAsia="黑体" w:cs="黑体"/>
          <w:b/>
          <w:sz w:val="32"/>
          <w:szCs w:val="32"/>
        </w:rPr>
        <w:t>三．主要支出情况</w:t>
      </w:r>
    </w:p>
    <w:p>
      <w:pPr>
        <w:spacing w:line="520" w:lineRule="exact"/>
        <w:ind w:firstLine="646"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年支出预算</w:t>
      </w:r>
      <w:r>
        <w:rPr>
          <w:rFonts w:hint="eastAsia" w:ascii="仿宋" w:hAnsi="仿宋" w:eastAsia="仿宋"/>
          <w:sz w:val="32"/>
          <w:szCs w:val="32"/>
          <w:lang w:val="en-US" w:eastAsia="zh-CN"/>
        </w:rPr>
        <w:t>4,865,623.92</w:t>
      </w:r>
      <w:r>
        <w:rPr>
          <w:rFonts w:hint="eastAsia" w:ascii="仿宋_GB2312" w:eastAsia="仿宋_GB2312"/>
          <w:sz w:val="32"/>
          <w:szCs w:val="32"/>
          <w:highlight w:val="none"/>
        </w:rPr>
        <w:t>元，</w:t>
      </w:r>
      <w:r>
        <w:rPr>
          <w:rFonts w:hint="eastAsia" w:ascii="仿宋_GB2312" w:hAnsi="黑体" w:eastAsia="仿宋_GB2312"/>
          <w:sz w:val="32"/>
          <w:szCs w:val="32"/>
          <w:highlight w:val="none"/>
        </w:rPr>
        <w:t>按用途划分：</w:t>
      </w:r>
    </w:p>
    <w:p>
      <w:pPr>
        <w:spacing w:line="520" w:lineRule="exact"/>
        <w:ind w:firstLine="646"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（1）基本支出预算4,257,829.13元，主要包括在职、退休人员支出、个人和家庭补助支出、公用支出。</w:t>
      </w:r>
    </w:p>
    <w:p>
      <w:pPr>
        <w:spacing w:line="520" w:lineRule="exact"/>
        <w:ind w:firstLine="646"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（2）项目支出预算607,794.79元，主要项目是：①医院患者满意度第三方调查评价经费162,000元 ；②医疗机构管理和服务业务经费398,113.00元； ③</w:t>
      </w:r>
      <w:r>
        <w:rPr>
          <w:rFonts w:hint="eastAsia" w:ascii="仿宋" w:hAnsi="仿宋" w:eastAsia="仿宋"/>
          <w:sz w:val="32"/>
          <w:szCs w:val="32"/>
          <w:lang w:val="zh-CN" w:eastAsia="zh-CN"/>
        </w:rPr>
        <w:t>预留机动费</w:t>
      </w:r>
      <w:r>
        <w:rPr>
          <w:rFonts w:hint="eastAsia" w:ascii="仿宋" w:hAnsi="仿宋" w:eastAsia="仿宋"/>
          <w:sz w:val="32"/>
          <w:szCs w:val="32"/>
          <w:lang w:val="en-US" w:eastAsia="zh-CN"/>
        </w:rPr>
        <w:t>47,681.79</w:t>
      </w:r>
      <w:r>
        <w:rPr>
          <w:rFonts w:hint="eastAsia" w:ascii="仿宋" w:hAnsi="仿宋" w:eastAsia="仿宋"/>
          <w:sz w:val="32"/>
          <w:szCs w:val="32"/>
          <w:lang w:val="zh-CN" w:eastAsia="zh-CN"/>
        </w:rPr>
        <w:t>元</w:t>
      </w:r>
      <w:r>
        <w:rPr>
          <w:rFonts w:hint="eastAsia" w:ascii="仿宋" w:hAnsi="仿宋" w:eastAsia="仿宋"/>
          <w:sz w:val="32"/>
          <w:szCs w:val="32"/>
          <w:lang w:val="en-US" w:eastAsia="zh-CN"/>
        </w:rPr>
        <w:t>。</w:t>
      </w:r>
    </w:p>
    <w:p>
      <w:pPr>
        <w:spacing w:line="520" w:lineRule="exact"/>
        <w:ind w:firstLine="646" w:firstLineChars="200"/>
        <w:rPr>
          <w:rFonts w:ascii="仿宋_GB2312" w:hAnsi="黑体" w:eastAsia="仿宋_GB2312"/>
          <w:sz w:val="32"/>
          <w:szCs w:val="32"/>
          <w:highlight w:val="yellow"/>
        </w:rPr>
      </w:pPr>
    </w:p>
    <w:p>
      <w:pPr>
        <w:spacing w:line="520" w:lineRule="exact"/>
        <w:ind w:firstLine="646" w:firstLineChars="200"/>
        <w:outlineLvl w:val="1"/>
        <w:rPr>
          <w:rFonts w:ascii="黑体" w:hAnsi="黑体" w:eastAsia="黑体" w:cs="黑体"/>
          <w:b/>
          <w:sz w:val="32"/>
          <w:szCs w:val="32"/>
        </w:rPr>
      </w:pPr>
      <w:r>
        <w:rPr>
          <w:rFonts w:hint="eastAsia" w:ascii="黑体" w:hAnsi="黑体" w:eastAsia="黑体" w:cs="黑体"/>
          <w:b/>
          <w:sz w:val="32"/>
          <w:szCs w:val="32"/>
        </w:rPr>
        <w:t>四．部门“三公”经费财政拨款预算说明</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（一）“三公”经费的单位范围</w:t>
      </w:r>
    </w:p>
    <w:p>
      <w:pPr>
        <w:spacing w:line="520" w:lineRule="exact"/>
        <w:ind w:firstLine="646"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北京市西城区医疗机构管理服务中心部门预算中因公出国（境）费、公务接待费、公务用车购置及运行维护费的支出单位包括1个单位，即本单位北京市西城区医疗机构管理服务中心，无下属单位。</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（二）“三公”经费预算财政拨款情况说明</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年部门预算“三公”经费财政拨款预算安排1,387.68元，其中：</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1.因公出国（境）费：</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年财政拨款预算安排 0元，202</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lang w:eastAsia="zh-CN"/>
        </w:rPr>
        <w:t>年财政拨款预算安排0元。预算安排持平。</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2.公务接待费：</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年财政拨款预算安排1,387.68元，202</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lang w:eastAsia="zh-CN"/>
        </w:rPr>
        <w:t>年财政拨款预算安排1,387.68元，与去年持平</w:t>
      </w:r>
      <w:r>
        <w:rPr>
          <w:rFonts w:hint="eastAsia" w:ascii="仿宋_GB2312" w:hAnsi="黑体" w:eastAsia="仿宋_GB2312"/>
          <w:sz w:val="32"/>
          <w:szCs w:val="32"/>
          <w:highlight w:val="none"/>
          <w:lang w:val="en-US" w:eastAsia="zh-CN"/>
        </w:rPr>
        <w:t>。</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3.公务用车购置及运行维护费：</w:t>
      </w:r>
    </w:p>
    <w:p>
      <w:pPr>
        <w:spacing w:line="520" w:lineRule="exact"/>
        <w:ind w:firstLine="646"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年财政拨款预算安排0元，其中：公务用车购置费0元，公务用车运行维护费0元；202</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lang w:eastAsia="zh-CN"/>
        </w:rPr>
        <w:t>年财政拨款预算安排0元，</w:t>
      </w:r>
      <w:r>
        <w:rPr>
          <w:rFonts w:hint="eastAsia" w:ascii="仿宋_GB2312" w:hAnsi="黑体" w:eastAsia="仿宋_GB2312"/>
          <w:sz w:val="32"/>
          <w:szCs w:val="32"/>
          <w:highlight w:val="none"/>
          <w:lang w:val="en-US" w:eastAsia="zh-CN"/>
        </w:rPr>
        <w:t>与</w:t>
      </w:r>
      <w:r>
        <w:rPr>
          <w:rFonts w:hint="eastAsia" w:ascii="仿宋_GB2312" w:hAnsi="黑体" w:eastAsia="仿宋_GB2312"/>
          <w:sz w:val="32"/>
          <w:szCs w:val="32"/>
          <w:highlight w:val="none"/>
          <w:lang w:eastAsia="zh-CN"/>
        </w:rPr>
        <w:t>去年同期持平。</w:t>
      </w:r>
    </w:p>
    <w:p>
      <w:pPr>
        <w:spacing w:line="520" w:lineRule="exact"/>
        <w:ind w:firstLine="646" w:firstLineChars="200"/>
        <w:rPr>
          <w:rFonts w:ascii="仿宋_GB2312" w:hAnsi="黑体" w:eastAsia="仿宋_GB2312"/>
          <w:sz w:val="32"/>
          <w:szCs w:val="32"/>
        </w:rPr>
      </w:pPr>
    </w:p>
    <w:p>
      <w:pPr>
        <w:spacing w:line="520" w:lineRule="exact"/>
        <w:ind w:firstLine="646" w:firstLineChars="200"/>
        <w:outlineLvl w:val="1"/>
        <w:rPr>
          <w:rFonts w:ascii="黑体" w:hAnsi="黑体" w:eastAsia="黑体" w:cs="黑体"/>
          <w:b/>
          <w:sz w:val="32"/>
          <w:szCs w:val="32"/>
        </w:rPr>
      </w:pPr>
      <w:r>
        <w:rPr>
          <w:rFonts w:hint="eastAsia" w:ascii="黑体" w:hAnsi="黑体" w:eastAsia="黑体" w:cs="黑体"/>
          <w:b/>
          <w:sz w:val="32"/>
          <w:szCs w:val="32"/>
        </w:rPr>
        <w:t>五．其他情况说明</w:t>
      </w:r>
    </w:p>
    <w:p>
      <w:pPr>
        <w:spacing w:line="520" w:lineRule="exact"/>
        <w:ind w:firstLine="759" w:firstLineChars="235"/>
        <w:outlineLvl w:val="2"/>
        <w:rPr>
          <w:rFonts w:ascii="仿宋" w:hAnsi="仿宋" w:eastAsia="仿宋" w:cs="宋体"/>
          <w:b/>
          <w:bCs/>
          <w:sz w:val="32"/>
          <w:szCs w:val="30"/>
          <w:highlight w:val="none"/>
        </w:rPr>
      </w:pPr>
      <w:r>
        <w:rPr>
          <w:rFonts w:hint="eastAsia" w:ascii="仿宋" w:hAnsi="仿宋" w:eastAsia="仿宋" w:cs="宋体"/>
          <w:b/>
          <w:bCs/>
          <w:sz w:val="32"/>
          <w:szCs w:val="30"/>
          <w:highlight w:val="none"/>
        </w:rPr>
        <w:t>（一）机构运行经费</w:t>
      </w:r>
      <w:r>
        <w:rPr>
          <w:rFonts w:ascii="仿宋" w:hAnsi="仿宋" w:eastAsia="仿宋" w:cs="宋体"/>
          <w:b/>
          <w:bCs/>
          <w:sz w:val="32"/>
          <w:szCs w:val="30"/>
          <w:highlight w:val="none"/>
        </w:rPr>
        <w:t>说明</w:t>
      </w:r>
      <w:r>
        <w:rPr>
          <w:rFonts w:hint="eastAsia" w:ascii="仿宋" w:hAnsi="仿宋" w:eastAsia="仿宋" w:cs="宋体"/>
          <w:b/>
          <w:bCs/>
          <w:sz w:val="32"/>
          <w:szCs w:val="30"/>
          <w:highlight w:val="none"/>
        </w:rPr>
        <w:t>：</w:t>
      </w:r>
    </w:p>
    <w:p>
      <w:pPr>
        <w:spacing w:line="520" w:lineRule="exact"/>
        <w:ind w:firstLine="646"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lang w:eastAsia="zh-CN"/>
        </w:rPr>
        <w:t>年本单位履行一般事业管理职能、维持机构运行，用于一般公共预算安排的机构运行经费，合计</w:t>
      </w:r>
      <w:r>
        <w:rPr>
          <w:rFonts w:hint="eastAsia" w:ascii="仿宋_GB2312" w:hAnsi="黑体" w:eastAsia="仿宋_GB2312"/>
          <w:sz w:val="32"/>
          <w:szCs w:val="32"/>
          <w:highlight w:val="none"/>
          <w:lang w:val="en-US" w:eastAsia="zh-CN"/>
        </w:rPr>
        <w:t>309,849.03</w:t>
      </w:r>
      <w:r>
        <w:rPr>
          <w:rFonts w:hint="eastAsia" w:ascii="仿宋_GB2312" w:hAnsi="黑体" w:eastAsia="仿宋_GB2312"/>
          <w:sz w:val="32"/>
          <w:szCs w:val="32"/>
          <w:highlight w:val="none"/>
          <w:lang w:eastAsia="zh-CN"/>
        </w:rPr>
        <w:t>元。比202</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lang w:eastAsia="zh-CN"/>
        </w:rPr>
        <w:t>年</w:t>
      </w:r>
      <w:r>
        <w:rPr>
          <w:rFonts w:hint="eastAsia" w:ascii="仿宋_GB2312" w:hAnsi="黑体" w:eastAsia="仿宋_GB2312"/>
          <w:sz w:val="32"/>
          <w:szCs w:val="32"/>
          <w:highlight w:val="none"/>
          <w:lang w:val="en-US" w:eastAsia="zh-CN"/>
        </w:rPr>
        <w:t>277,025.24</w:t>
      </w:r>
      <w:r>
        <w:rPr>
          <w:rFonts w:hint="eastAsia" w:ascii="仿宋_GB2312" w:hAnsi="黑体" w:eastAsia="仿宋_GB2312"/>
          <w:sz w:val="32"/>
          <w:szCs w:val="32"/>
          <w:highlight w:val="none"/>
          <w:lang w:eastAsia="zh-CN"/>
        </w:rPr>
        <w:t>元增加</w:t>
      </w:r>
      <w:r>
        <w:rPr>
          <w:rFonts w:hint="eastAsia" w:ascii="仿宋_GB2312" w:hAnsi="黑体" w:eastAsia="仿宋_GB2312"/>
          <w:sz w:val="32"/>
          <w:szCs w:val="32"/>
          <w:highlight w:val="none"/>
          <w:lang w:val="en-US" w:eastAsia="zh-CN"/>
        </w:rPr>
        <w:t>32,823.79</w:t>
      </w:r>
      <w:r>
        <w:rPr>
          <w:rFonts w:hint="eastAsia" w:ascii="仿宋_GB2312" w:hAnsi="黑体" w:eastAsia="仿宋_GB2312"/>
          <w:sz w:val="32"/>
          <w:szCs w:val="32"/>
          <w:highlight w:val="none"/>
          <w:lang w:eastAsia="zh-CN"/>
        </w:rPr>
        <w:t>元，原因是：在职职工增加</w:t>
      </w:r>
      <w:r>
        <w:rPr>
          <w:rFonts w:hint="eastAsia" w:ascii="仿宋_GB2312" w:hAnsi="黑体" w:eastAsia="仿宋_GB2312"/>
          <w:sz w:val="32"/>
          <w:szCs w:val="32"/>
          <w:highlight w:val="none"/>
          <w:lang w:val="en-US" w:eastAsia="zh-CN"/>
        </w:rPr>
        <w:t>1人，致使运行经费增加。</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（二）政府</w:t>
      </w:r>
      <w:r>
        <w:rPr>
          <w:rFonts w:ascii="仿宋" w:hAnsi="仿宋" w:eastAsia="仿宋" w:cs="宋体"/>
          <w:b/>
          <w:bCs/>
          <w:sz w:val="32"/>
          <w:szCs w:val="30"/>
        </w:rPr>
        <w:t>采购预算说明</w:t>
      </w:r>
      <w:r>
        <w:rPr>
          <w:rFonts w:hint="eastAsia" w:ascii="仿宋" w:hAnsi="仿宋" w:eastAsia="仿宋" w:cs="宋体"/>
          <w:b/>
          <w:bCs/>
          <w:sz w:val="32"/>
          <w:szCs w:val="30"/>
        </w:rPr>
        <w:t>：</w:t>
      </w:r>
    </w:p>
    <w:p>
      <w:pPr>
        <w:spacing w:line="520" w:lineRule="exact"/>
        <w:ind w:firstLine="646" w:firstLineChars="200"/>
        <w:rPr>
          <w:rFonts w:ascii="仿宋_GB2312" w:hAnsi="黑体" w:eastAsia="仿宋_GB2312"/>
          <w:sz w:val="32"/>
          <w:szCs w:val="32"/>
        </w:rPr>
      </w:pP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年涉及政府采购项目</w:t>
      </w:r>
      <w:r>
        <w:rPr>
          <w:rFonts w:hint="eastAsia" w:ascii="仿宋_GB2312" w:hAnsi="黑体" w:eastAsia="仿宋_GB2312"/>
          <w:sz w:val="32"/>
          <w:szCs w:val="32"/>
          <w:lang w:val="en-US" w:eastAsia="zh-CN"/>
        </w:rPr>
        <w:t>0</w:t>
      </w:r>
      <w:r>
        <w:rPr>
          <w:rFonts w:hint="eastAsia" w:ascii="仿宋_GB2312" w:hAnsi="黑体" w:eastAsia="仿宋_GB2312"/>
          <w:sz w:val="32"/>
          <w:szCs w:val="32"/>
        </w:rPr>
        <w:t>个，预算资金</w:t>
      </w:r>
      <w:r>
        <w:rPr>
          <w:rFonts w:hint="eastAsia" w:ascii="仿宋_GB2312" w:hAnsi="黑体" w:eastAsia="仿宋_GB2312"/>
          <w:sz w:val="32"/>
          <w:szCs w:val="32"/>
          <w:lang w:val="en-US" w:eastAsia="zh-CN"/>
        </w:rPr>
        <w:t>0</w:t>
      </w:r>
      <w:r>
        <w:rPr>
          <w:rFonts w:hint="eastAsia" w:ascii="仿宋_GB2312" w:hAnsi="黑体" w:eastAsia="仿宋_GB2312"/>
          <w:sz w:val="32"/>
          <w:szCs w:val="32"/>
        </w:rPr>
        <w:t>元。</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（三）政府购买服务</w:t>
      </w:r>
      <w:r>
        <w:rPr>
          <w:rFonts w:ascii="仿宋" w:hAnsi="仿宋" w:eastAsia="仿宋" w:cs="宋体"/>
          <w:b/>
          <w:bCs/>
          <w:sz w:val="32"/>
          <w:szCs w:val="30"/>
        </w:rPr>
        <w:t>预算说明</w:t>
      </w:r>
      <w:r>
        <w:rPr>
          <w:rFonts w:hint="eastAsia" w:ascii="仿宋" w:hAnsi="仿宋" w:eastAsia="仿宋" w:cs="宋体"/>
          <w:b/>
          <w:bCs/>
          <w:sz w:val="32"/>
          <w:szCs w:val="30"/>
        </w:rPr>
        <w:t>：</w:t>
      </w:r>
    </w:p>
    <w:p>
      <w:pPr>
        <w:spacing w:line="520" w:lineRule="exact"/>
        <w:ind w:firstLine="646" w:firstLineChars="200"/>
        <w:rPr>
          <w:rFonts w:ascii="仿宋_GB2312" w:hAnsi="黑体" w:eastAsia="仿宋_GB2312"/>
          <w:sz w:val="32"/>
          <w:szCs w:val="32"/>
        </w:rPr>
      </w:pP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年涉及政府购买服务项目0个，预算资金0元。</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（四）绩效目标情况及绩效评价结果说明：</w:t>
      </w:r>
    </w:p>
    <w:p>
      <w:pPr>
        <w:spacing w:line="540" w:lineRule="exact"/>
        <w:ind w:firstLine="646" w:firstLineChars="200"/>
        <w:rPr>
          <w:rFonts w:ascii="仿宋_GB2312" w:hAnsi="黑体" w:eastAsia="仿宋_GB2312"/>
          <w:sz w:val="32"/>
          <w:szCs w:val="32"/>
        </w:rPr>
      </w:pPr>
      <w:r>
        <w:rPr>
          <w:rFonts w:hint="eastAsia" w:ascii="仿宋_GB2312" w:hAnsi="黑体" w:eastAsia="仿宋_GB2312"/>
          <w:sz w:val="32"/>
          <w:szCs w:val="32"/>
        </w:rPr>
        <w:t>北京市西城区医疗机构管理服务中心预算内绩效项目</w:t>
      </w:r>
      <w:r>
        <w:rPr>
          <w:rFonts w:hint="eastAsia" w:ascii="仿宋_GB2312" w:hAnsi="黑体" w:eastAsia="仿宋_GB2312"/>
          <w:sz w:val="32"/>
          <w:szCs w:val="32"/>
          <w:lang w:val="en-US" w:eastAsia="zh-CN"/>
        </w:rPr>
        <w:t>2</w:t>
      </w:r>
      <w:r>
        <w:rPr>
          <w:rFonts w:hint="eastAsia" w:ascii="仿宋_GB2312" w:hAnsi="黑体" w:eastAsia="仿宋_GB2312"/>
          <w:sz w:val="32"/>
          <w:szCs w:val="32"/>
        </w:rPr>
        <w:t xml:space="preserve">个，金额 </w:t>
      </w:r>
      <w:r>
        <w:rPr>
          <w:rFonts w:hint="eastAsia" w:ascii="仿宋_GB2312" w:hAnsi="黑体" w:eastAsia="仿宋_GB2312"/>
          <w:sz w:val="32"/>
          <w:szCs w:val="32"/>
          <w:lang w:val="en-US" w:eastAsia="zh-CN"/>
        </w:rPr>
        <w:t>560,113.00</w:t>
      </w:r>
      <w:r>
        <w:rPr>
          <w:rFonts w:hint="eastAsia" w:ascii="仿宋_GB2312" w:hAnsi="黑体" w:eastAsia="仿宋_GB2312"/>
          <w:sz w:val="32"/>
          <w:szCs w:val="32"/>
        </w:rPr>
        <w:t>元,分别是:医院第三方满意度调查评价经费</w:t>
      </w:r>
      <w:r>
        <w:rPr>
          <w:rFonts w:hint="eastAsia" w:ascii="仿宋_GB2312" w:hAnsi="黑体" w:eastAsia="仿宋_GB2312"/>
          <w:sz w:val="32"/>
          <w:szCs w:val="32"/>
          <w:lang w:val="en-US" w:eastAsia="zh-CN"/>
        </w:rPr>
        <w:t>162,000</w:t>
      </w:r>
      <w:r>
        <w:rPr>
          <w:rFonts w:hint="eastAsia" w:ascii="仿宋_GB2312" w:hAnsi="黑体" w:eastAsia="仿宋_GB2312"/>
          <w:sz w:val="32"/>
          <w:szCs w:val="32"/>
        </w:rPr>
        <w:t>元;医疗机构管理和服务业务经费</w:t>
      </w:r>
      <w:r>
        <w:rPr>
          <w:rFonts w:hint="eastAsia" w:ascii="仿宋_GB2312" w:hAnsi="黑体" w:eastAsia="仿宋_GB2312"/>
          <w:sz w:val="32"/>
          <w:szCs w:val="32"/>
          <w:highlight w:val="none"/>
          <w:lang w:val="en-US" w:eastAsia="zh-CN"/>
        </w:rPr>
        <w:t>398,113.00</w:t>
      </w:r>
      <w:r>
        <w:rPr>
          <w:rFonts w:hint="eastAsia" w:ascii="仿宋_GB2312" w:hAnsi="黑体" w:eastAsia="仿宋_GB2312"/>
          <w:sz w:val="32"/>
          <w:szCs w:val="32"/>
        </w:rPr>
        <w:t>元。其中：100万以上的项目0个，金额0.00元。</w:t>
      </w:r>
    </w:p>
    <w:p>
      <w:pPr>
        <w:spacing w:line="540" w:lineRule="exact"/>
        <w:ind w:firstLine="646" w:firstLineChars="200"/>
        <w:rPr>
          <w:rFonts w:ascii="仿宋_GB2312" w:hAnsi="黑体" w:eastAsia="仿宋_GB2312"/>
          <w:sz w:val="32"/>
          <w:szCs w:val="32"/>
        </w:rPr>
      </w:pPr>
      <w:r>
        <w:rPr>
          <w:rFonts w:hint="eastAsia" w:ascii="仿宋_GB2312" w:hAnsi="黑体" w:eastAsia="仿宋_GB2312"/>
          <w:sz w:val="32"/>
          <w:szCs w:val="32"/>
        </w:rPr>
        <w:t>为了加强预算绩效管理，强化支出责任，建立科学、合理的财政支出绩效跟踪机制，提高财政资金使用效益，我单位严格执行上级部门关于预算绩效管理的相关规定和要求，按时进行整体预算执行绩效跟踪并形成报告，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年度绩效管理跟踪自评结果良好</w:t>
      </w:r>
      <w:r>
        <w:rPr>
          <w:rFonts w:hint="eastAsia" w:ascii="仿宋_GB2312" w:hAnsi="黑体" w:eastAsia="仿宋_GB2312"/>
          <w:sz w:val="32"/>
          <w:szCs w:val="32"/>
          <w:lang w:eastAsia="zh-CN"/>
        </w:rPr>
        <w:t>。“</w:t>
      </w:r>
      <w:r>
        <w:rPr>
          <w:rFonts w:hint="eastAsia" w:ascii="仿宋_GB2312" w:hAnsi="黑体" w:eastAsia="仿宋_GB2312"/>
          <w:sz w:val="32"/>
          <w:szCs w:val="32"/>
        </w:rPr>
        <w:t>医院第三方满意度调查评价经费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单位绩效自评得分100分；“</w:t>
      </w:r>
      <w:r>
        <w:rPr>
          <w:rFonts w:hint="eastAsia" w:ascii="仿宋_GB2312" w:hAnsi="黑体" w:eastAsia="仿宋_GB2312"/>
          <w:sz w:val="32"/>
          <w:szCs w:val="32"/>
        </w:rPr>
        <w:t>医疗机构管理和服务业务经费</w:t>
      </w:r>
      <w:r>
        <w:rPr>
          <w:rFonts w:hint="eastAsia" w:ascii="仿宋_GB2312" w:hAnsi="黑体" w:eastAsia="仿宋_GB2312"/>
          <w:sz w:val="32"/>
          <w:szCs w:val="32"/>
          <w:lang w:val="en-US" w:eastAsia="zh-CN"/>
        </w:rPr>
        <w:t>”单位绩效自评得分95分</w:t>
      </w:r>
      <w:r>
        <w:rPr>
          <w:rFonts w:hint="eastAsia" w:ascii="仿宋_GB2312" w:hAnsi="黑体" w:eastAsia="仿宋_GB2312"/>
          <w:sz w:val="32"/>
          <w:szCs w:val="32"/>
        </w:rPr>
        <w:t>。</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ascii="仿宋_GB2312" w:eastAsia="仿宋_GB2312"/>
          <w:color w:val="000000"/>
          <w:sz w:val="32"/>
          <w:szCs w:val="32"/>
        </w:rPr>
        <w:t>年</w:t>
      </w:r>
      <w:r>
        <w:rPr>
          <w:rFonts w:hint="eastAsia" w:ascii="仿宋_GB2312" w:eastAsia="仿宋_GB2312"/>
          <w:color w:val="000000"/>
          <w:sz w:val="32"/>
          <w:szCs w:val="32"/>
        </w:rPr>
        <w:t>度，按照上级部门要求继续</w:t>
      </w:r>
      <w:r>
        <w:rPr>
          <w:rFonts w:ascii="仿宋_GB2312" w:eastAsia="仿宋_GB2312"/>
          <w:color w:val="000000"/>
          <w:sz w:val="32"/>
          <w:szCs w:val="32"/>
        </w:rPr>
        <w:t>开展预算</w:t>
      </w:r>
      <w:r>
        <w:rPr>
          <w:rFonts w:hint="eastAsia" w:ascii="仿宋_GB2312" w:eastAsia="仿宋_GB2312"/>
          <w:color w:val="000000"/>
          <w:sz w:val="32"/>
          <w:szCs w:val="32"/>
        </w:rPr>
        <w:t>整体及项目</w:t>
      </w:r>
      <w:r>
        <w:rPr>
          <w:rFonts w:ascii="仿宋_GB2312" w:eastAsia="仿宋_GB2312"/>
          <w:color w:val="000000"/>
          <w:sz w:val="32"/>
          <w:szCs w:val="32"/>
        </w:rPr>
        <w:t>绩效</w:t>
      </w:r>
      <w:r>
        <w:rPr>
          <w:rFonts w:hint="eastAsia" w:ascii="仿宋_GB2312" w:eastAsia="仿宋_GB2312"/>
          <w:color w:val="000000"/>
          <w:sz w:val="32"/>
          <w:szCs w:val="32"/>
        </w:rPr>
        <w:t>跟踪评价</w:t>
      </w:r>
      <w:r>
        <w:rPr>
          <w:rFonts w:ascii="仿宋_GB2312" w:eastAsia="仿宋_GB2312"/>
          <w:color w:val="000000"/>
          <w:sz w:val="32"/>
          <w:szCs w:val="32"/>
        </w:rPr>
        <w:t>工作</w:t>
      </w:r>
      <w:r>
        <w:rPr>
          <w:rFonts w:hint="eastAsia" w:ascii="仿宋_GB2312" w:eastAsia="仿宋_GB2312"/>
          <w:color w:val="000000"/>
          <w:sz w:val="32"/>
          <w:szCs w:val="32"/>
        </w:rPr>
        <w:t>。</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（五）国有</w:t>
      </w:r>
      <w:r>
        <w:rPr>
          <w:rFonts w:ascii="仿宋" w:hAnsi="仿宋" w:eastAsia="仿宋" w:cs="宋体"/>
          <w:b/>
          <w:bCs/>
          <w:sz w:val="32"/>
          <w:szCs w:val="30"/>
        </w:rPr>
        <w:t>资本经营预算财政拨款</w:t>
      </w:r>
      <w:r>
        <w:rPr>
          <w:rFonts w:hint="eastAsia" w:ascii="仿宋" w:hAnsi="仿宋" w:eastAsia="仿宋" w:cs="宋体"/>
          <w:b/>
          <w:bCs/>
          <w:sz w:val="32"/>
          <w:szCs w:val="30"/>
        </w:rPr>
        <w:t>情况</w:t>
      </w:r>
      <w:r>
        <w:rPr>
          <w:rFonts w:ascii="仿宋" w:hAnsi="仿宋" w:eastAsia="仿宋" w:cs="宋体"/>
          <w:b/>
          <w:bCs/>
          <w:sz w:val="32"/>
          <w:szCs w:val="30"/>
        </w:rPr>
        <w:t>说明</w:t>
      </w:r>
      <w:r>
        <w:rPr>
          <w:rFonts w:hint="eastAsia" w:ascii="仿宋" w:hAnsi="仿宋" w:eastAsia="仿宋" w:cs="宋体"/>
          <w:b/>
          <w:bCs/>
          <w:sz w:val="32"/>
          <w:szCs w:val="30"/>
        </w:rPr>
        <w:t>：</w:t>
      </w:r>
    </w:p>
    <w:p>
      <w:pPr>
        <w:spacing w:line="560" w:lineRule="exact"/>
        <w:ind w:firstLine="646" w:firstLineChars="200"/>
        <w:rPr>
          <w:rFonts w:ascii="仿宋_GB2312" w:hAnsi="黑体" w:eastAsia="仿宋_GB2312"/>
          <w:sz w:val="32"/>
          <w:szCs w:val="32"/>
        </w:rPr>
      </w:pPr>
      <w:r>
        <w:rPr>
          <w:rFonts w:hint="eastAsia" w:ascii="仿宋" w:hAnsi="仿宋" w:eastAsia="仿宋"/>
          <w:sz w:val="32"/>
          <w:szCs w:val="32"/>
        </w:rPr>
        <w:t>我单位无此类信息。</w:t>
      </w:r>
    </w:p>
    <w:p>
      <w:pPr>
        <w:spacing w:line="520" w:lineRule="exact"/>
        <w:ind w:firstLine="759" w:firstLineChars="235"/>
        <w:outlineLvl w:val="2"/>
        <w:rPr>
          <w:rFonts w:ascii="仿宋" w:hAnsi="仿宋" w:eastAsia="仿宋" w:cs="宋体"/>
          <w:b/>
          <w:bCs/>
          <w:sz w:val="32"/>
          <w:szCs w:val="30"/>
        </w:rPr>
      </w:pPr>
      <w:r>
        <w:rPr>
          <w:rFonts w:hint="eastAsia" w:ascii="仿宋" w:hAnsi="仿宋" w:eastAsia="仿宋" w:cs="宋体"/>
          <w:b/>
          <w:bCs/>
          <w:sz w:val="32"/>
          <w:szCs w:val="30"/>
        </w:rPr>
        <w:t>（六）国有资产</w:t>
      </w:r>
      <w:r>
        <w:rPr>
          <w:rFonts w:ascii="仿宋" w:hAnsi="仿宋" w:eastAsia="仿宋" w:cs="宋体"/>
          <w:b/>
          <w:bCs/>
          <w:sz w:val="32"/>
          <w:szCs w:val="30"/>
        </w:rPr>
        <w:t>占用情况说明</w:t>
      </w:r>
      <w:r>
        <w:rPr>
          <w:rFonts w:hint="eastAsia" w:ascii="仿宋" w:hAnsi="仿宋" w:eastAsia="仿宋" w:cs="宋体"/>
          <w:b/>
          <w:bCs/>
          <w:sz w:val="32"/>
          <w:szCs w:val="30"/>
        </w:rPr>
        <w:t>：</w:t>
      </w:r>
    </w:p>
    <w:p>
      <w:pPr>
        <w:spacing w:line="520" w:lineRule="exact"/>
        <w:ind w:firstLine="646" w:firstLineChars="200"/>
        <w:rPr>
          <w:rFonts w:ascii="仿宋_GB2312" w:eastAsia="仿宋_GB2312"/>
          <w:color w:val="000000"/>
          <w:sz w:val="32"/>
          <w:szCs w:val="32"/>
        </w:rPr>
      </w:pPr>
      <w:r>
        <w:rPr>
          <w:rFonts w:ascii="仿宋_GB2312" w:eastAsia="仿宋_GB2312"/>
          <w:color w:val="000000"/>
          <w:sz w:val="32"/>
          <w:szCs w:val="32"/>
        </w:rPr>
        <w:t>截止</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w:t>
      </w:r>
      <w:r>
        <w:rPr>
          <w:rFonts w:ascii="仿宋_GB2312" w:eastAsia="仿宋_GB2312"/>
          <w:color w:val="000000"/>
          <w:sz w:val="32"/>
          <w:szCs w:val="32"/>
        </w:rPr>
        <w:t>底，</w:t>
      </w:r>
      <w:r>
        <w:rPr>
          <w:rFonts w:hint="eastAsia" w:ascii="仿宋_GB2312" w:eastAsia="仿宋_GB2312"/>
          <w:color w:val="auto"/>
          <w:sz w:val="32"/>
          <w:szCs w:val="32"/>
        </w:rPr>
        <w:t>本单位</w:t>
      </w:r>
      <w:r>
        <w:rPr>
          <w:rFonts w:ascii="仿宋_GB2312" w:eastAsia="仿宋_GB2312"/>
          <w:color w:val="auto"/>
          <w:sz w:val="32"/>
          <w:szCs w:val="32"/>
        </w:rPr>
        <w:t>固定资产总额</w:t>
      </w:r>
      <w:r>
        <w:rPr>
          <w:rFonts w:hint="eastAsia" w:ascii="仿宋_GB2312" w:eastAsia="仿宋_GB2312"/>
          <w:color w:val="auto"/>
          <w:sz w:val="32"/>
          <w:szCs w:val="32"/>
          <w:lang w:val="en-US" w:eastAsia="zh-CN"/>
        </w:rPr>
        <w:t>207,492.48</w:t>
      </w:r>
      <w:r>
        <w:rPr>
          <w:rFonts w:hint="eastAsia" w:ascii="仿宋_GB2312" w:eastAsia="仿宋_GB2312"/>
          <w:color w:val="auto"/>
          <w:sz w:val="32"/>
          <w:szCs w:val="32"/>
        </w:rPr>
        <w:t>元</w:t>
      </w:r>
      <w:r>
        <w:rPr>
          <w:rFonts w:ascii="仿宋_GB2312" w:eastAsia="仿宋_GB2312"/>
          <w:color w:val="auto"/>
          <w:sz w:val="32"/>
          <w:szCs w:val="32"/>
        </w:rPr>
        <w:t>，</w:t>
      </w:r>
      <w:r>
        <w:rPr>
          <w:rFonts w:ascii="仿宋_GB2312" w:eastAsia="仿宋_GB2312"/>
          <w:color w:val="000000"/>
          <w:sz w:val="32"/>
          <w:szCs w:val="32"/>
        </w:rPr>
        <w:t>其中：</w:t>
      </w:r>
      <w:r>
        <w:rPr>
          <w:rFonts w:hint="eastAsia" w:ascii="仿宋_GB2312" w:eastAsia="仿宋_GB2312"/>
          <w:color w:val="000000"/>
          <w:sz w:val="32"/>
          <w:szCs w:val="32"/>
        </w:rPr>
        <w:t>车辆0台</w:t>
      </w:r>
      <w:r>
        <w:rPr>
          <w:rFonts w:ascii="仿宋_GB2312" w:eastAsia="仿宋_GB2312"/>
          <w:color w:val="000000"/>
          <w:sz w:val="32"/>
          <w:szCs w:val="32"/>
        </w:rPr>
        <w:t>，</w:t>
      </w:r>
      <w:r>
        <w:rPr>
          <w:rFonts w:hint="eastAsia" w:ascii="仿宋_GB2312" w:eastAsia="仿宋_GB2312"/>
          <w:color w:val="000000"/>
          <w:sz w:val="32"/>
          <w:szCs w:val="32"/>
        </w:rPr>
        <w:t>0元；单位</w:t>
      </w:r>
      <w:r>
        <w:rPr>
          <w:rFonts w:ascii="仿宋_GB2312" w:eastAsia="仿宋_GB2312"/>
          <w:color w:val="000000"/>
          <w:sz w:val="32"/>
          <w:szCs w:val="32"/>
        </w:rPr>
        <w:t>价值</w:t>
      </w:r>
      <w:r>
        <w:rPr>
          <w:rFonts w:hint="eastAsia" w:ascii="仿宋_GB2312" w:eastAsia="仿宋_GB2312"/>
          <w:color w:val="000000"/>
          <w:sz w:val="32"/>
          <w:szCs w:val="32"/>
        </w:rPr>
        <w:t>50万元以上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rPr>
        <w:t>0台（套）、0元；单位</w:t>
      </w:r>
      <w:r>
        <w:rPr>
          <w:rFonts w:ascii="仿宋_GB2312" w:eastAsia="仿宋_GB2312"/>
          <w:color w:val="000000"/>
          <w:sz w:val="32"/>
          <w:szCs w:val="32"/>
        </w:rPr>
        <w:t>价值100</w:t>
      </w:r>
      <w:r>
        <w:rPr>
          <w:rFonts w:hint="eastAsia" w:ascii="仿宋_GB2312" w:eastAsia="仿宋_GB2312"/>
          <w:color w:val="000000"/>
          <w:sz w:val="32"/>
          <w:szCs w:val="32"/>
        </w:rPr>
        <w:t>万元以上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rPr>
        <w:t>0台（套）、0元。</w:t>
      </w:r>
    </w:p>
    <w:p>
      <w:pPr>
        <w:spacing w:line="520" w:lineRule="exact"/>
        <w:ind w:firstLine="646" w:firstLineChars="200"/>
        <w:rPr>
          <w:rFonts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4年</w:t>
      </w:r>
      <w:r>
        <w:rPr>
          <w:rFonts w:hint="eastAsia" w:ascii="仿宋_GB2312" w:eastAsia="仿宋_GB2312"/>
          <w:color w:val="000000"/>
          <w:sz w:val="32"/>
          <w:szCs w:val="32"/>
        </w:rPr>
        <w:t>部门预算安排购置车辆0台，0元；安排购置单位价值50万元以上的通用设备0台（套）、0元；安排购置单位价值100万元以上的专用设备0台（套）、0元。</w:t>
      </w:r>
    </w:p>
    <w:p>
      <w:pPr>
        <w:spacing w:line="520" w:lineRule="exact"/>
        <w:ind w:firstLine="646" w:firstLineChars="200"/>
        <w:rPr>
          <w:rFonts w:ascii="仿宋_GB2312" w:eastAsia="仿宋_GB2312"/>
          <w:color w:val="000000"/>
          <w:sz w:val="32"/>
          <w:szCs w:val="32"/>
        </w:rPr>
      </w:pPr>
    </w:p>
    <w:p>
      <w:pPr>
        <w:spacing w:line="520" w:lineRule="exact"/>
        <w:ind w:firstLine="646" w:firstLineChars="200"/>
        <w:outlineLvl w:val="1"/>
        <w:rPr>
          <w:rFonts w:ascii="黑体" w:hAnsi="黑体" w:eastAsia="黑体" w:cs="黑体"/>
          <w:b/>
          <w:sz w:val="32"/>
          <w:szCs w:val="32"/>
        </w:rPr>
      </w:pPr>
      <w:r>
        <w:rPr>
          <w:rFonts w:hint="eastAsia" w:ascii="黑体" w:hAnsi="黑体" w:eastAsia="黑体" w:cs="黑体"/>
          <w:b/>
          <w:sz w:val="32"/>
          <w:szCs w:val="32"/>
        </w:rPr>
        <w:t>六．名称解释</w:t>
      </w:r>
    </w:p>
    <w:p>
      <w:pPr>
        <w:spacing w:line="560" w:lineRule="exact"/>
        <w:ind w:firstLine="646" w:firstLineChars="200"/>
        <w:rPr>
          <w:rFonts w:ascii="仿宋" w:hAnsi="仿宋" w:eastAsia="仿宋"/>
          <w:sz w:val="32"/>
          <w:szCs w:val="32"/>
        </w:rPr>
      </w:pPr>
      <w:r>
        <w:rPr>
          <w:rFonts w:hint="eastAsia" w:ascii="仿宋_GB2312" w:eastAsia="仿宋_GB2312"/>
          <w:sz w:val="32"/>
          <w:szCs w:val="32"/>
        </w:rPr>
        <w:t>1.</w:t>
      </w:r>
      <w:r>
        <w:rPr>
          <w:rFonts w:hint="eastAsia" w:ascii="仿宋" w:hAnsi="仿宋" w:eastAsia="仿宋"/>
          <w:sz w:val="32"/>
          <w:szCs w:val="32"/>
        </w:rPr>
        <w:t xml:space="preserve"> 一般公共预算拨款收入：指单位本年度从财政部门取得的财政拨款。 </w:t>
      </w:r>
    </w:p>
    <w:p>
      <w:pPr>
        <w:spacing w:line="520" w:lineRule="exact"/>
        <w:ind w:firstLine="646" w:firstLineChars="200"/>
        <w:rPr>
          <w:rFonts w:ascii="仿宋_GB2312" w:hAnsi="黑体" w:eastAsia="仿宋_GB2312"/>
          <w:sz w:val="32"/>
          <w:szCs w:val="32"/>
        </w:rPr>
      </w:pPr>
      <w:r>
        <w:rPr>
          <w:rFonts w:hint="eastAsia" w:ascii="仿宋_GB2312" w:eastAsia="仿宋_GB2312"/>
          <w:sz w:val="32"/>
          <w:szCs w:val="32"/>
        </w:rPr>
        <w:t>2.</w:t>
      </w:r>
      <w:r>
        <w:rPr>
          <w:rFonts w:hint="eastAsia" w:ascii="仿宋_GB2312" w:hAnsi="黑体" w:eastAsia="仿宋_GB2312"/>
          <w:sz w:val="32"/>
          <w:szCs w:val="32"/>
        </w:rPr>
        <w:t>机构运行经费：是指本单位的在职人员公用支出经费，包括办公及印刷费、邮电费、差旅费、会议费、</w:t>
      </w:r>
      <w:r>
        <w:rPr>
          <w:rFonts w:hint="eastAsia" w:ascii="仿宋_GB2312" w:hAnsi="黑体" w:eastAsia="仿宋_GB2312"/>
          <w:sz w:val="32"/>
          <w:szCs w:val="32"/>
          <w:lang w:eastAsia="zh-CN"/>
        </w:rPr>
        <w:t>培训费、</w:t>
      </w:r>
      <w:r>
        <w:rPr>
          <w:rFonts w:hint="eastAsia" w:ascii="仿宋_GB2312" w:hAnsi="黑体" w:eastAsia="仿宋_GB2312"/>
          <w:sz w:val="32"/>
          <w:szCs w:val="32"/>
        </w:rPr>
        <w:t>福利费、日常维修费、专用材料及一般设备购置费、办公用房水电费、办公用房取暖费、办公用房物业管理费、公务用车运行维护以及其他费用。</w:t>
      </w:r>
    </w:p>
    <w:p>
      <w:pPr>
        <w:pStyle w:val="5"/>
        <w:spacing w:before="0" w:beforeAutospacing="0" w:after="150" w:afterAutospacing="0" w:line="540" w:lineRule="exact"/>
        <w:ind w:firstLine="646" w:firstLineChars="200"/>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租用费、燃料费、维修费、过路过桥费、保险费、安全奖励费等支出；公务接待费指单位按规定开支的各类公务接待(含外宾接待)支出。</w:t>
      </w:r>
    </w:p>
    <w:p>
      <w:pPr>
        <w:pStyle w:val="5"/>
        <w:spacing w:before="0" w:beforeAutospacing="0" w:after="150" w:afterAutospacing="0" w:line="540" w:lineRule="exact"/>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　</w:t>
      </w:r>
      <w:r>
        <w:rPr>
          <w:rFonts w:hint="eastAsia" w:ascii="仿宋_GB2312" w:hAnsi="Times New Roman" w:eastAsia="仿宋_GB2312" w:cs="Times New Roman"/>
          <w:b/>
          <w:bCs/>
          <w:kern w:val="2"/>
          <w:sz w:val="32"/>
          <w:szCs w:val="32"/>
        </w:rPr>
        <w:t>　</w:t>
      </w:r>
      <w:r>
        <w:rPr>
          <w:rFonts w:hint="eastAsia" w:ascii="仿宋_GB2312" w:hAnsi="Times New Roman" w:eastAsia="仿宋_GB2312" w:cs="Times New Roman"/>
          <w:kern w:val="2"/>
          <w:sz w:val="32"/>
          <w:szCs w:val="32"/>
        </w:rPr>
        <w:t>4.基本支出：指为保障机构正常运转、完成日常工作任务而发生的人员支出和商品服务支出。</w:t>
      </w:r>
    </w:p>
    <w:p>
      <w:pPr>
        <w:pStyle w:val="5"/>
        <w:spacing w:before="0" w:beforeAutospacing="0" w:after="150" w:afterAutospacing="0" w:line="540" w:lineRule="exact"/>
        <w:ind w:firstLine="641"/>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5.项目支出：指在基本支出之外为完成特定行政任务或事业发展目标所发生的支出。</w:t>
      </w:r>
    </w:p>
    <w:p>
      <w:pPr>
        <w:pStyle w:val="5"/>
        <w:spacing w:before="0" w:beforeAutospacing="0" w:after="150" w:afterAutospacing="0" w:line="540" w:lineRule="exact"/>
        <w:rPr>
          <w:rFonts w:ascii="宋体" w:hAnsi="宋体" w:cs="宋体"/>
          <w:color w:val="000000"/>
          <w:kern w:val="0"/>
          <w:sz w:val="24"/>
          <w:szCs w:val="20"/>
        </w:rPr>
      </w:pPr>
    </w:p>
    <w:sectPr>
      <w:footerReference r:id="rId3" w:type="default"/>
      <w:pgSz w:w="11905" w:h="16838"/>
      <w:pgMar w:top="1701" w:right="1474" w:bottom="1984" w:left="1587" w:header="851" w:footer="992" w:gutter="0"/>
      <w:cols w:space="0" w:num="1"/>
      <w:rtlGutter w:val="0"/>
      <w:docGrid w:type="linesAndChars" w:linePitch="332" w:charSpace="7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p>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fBqN30gEAAKUDAAAOAAAAAAAAAAEAIAAAAB4BAABk&#10;cnMvZTJvRG9jLnhtbFBLBQYAAAAABgAGAFkBAABi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E6487A"/>
    <w:multiLevelType w:val="singleLevel"/>
    <w:tmpl w:val="7FE6487A"/>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7"/>
  <w:drawingGridVerticalSpacing w:val="166"/>
  <w:displayHorizontalDrawingGridEvery w:val="2"/>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D3"/>
    <w:rsid w:val="00003514"/>
    <w:rsid w:val="00011A2F"/>
    <w:rsid w:val="00016EFD"/>
    <w:rsid w:val="00021220"/>
    <w:rsid w:val="00024A36"/>
    <w:rsid w:val="00024B02"/>
    <w:rsid w:val="00025AC9"/>
    <w:rsid w:val="0003055B"/>
    <w:rsid w:val="0004138F"/>
    <w:rsid w:val="00064565"/>
    <w:rsid w:val="00065B5B"/>
    <w:rsid w:val="00074C61"/>
    <w:rsid w:val="0008145C"/>
    <w:rsid w:val="000824D8"/>
    <w:rsid w:val="00085117"/>
    <w:rsid w:val="000960AE"/>
    <w:rsid w:val="000A180B"/>
    <w:rsid w:val="000B159C"/>
    <w:rsid w:val="000B2688"/>
    <w:rsid w:val="000B331D"/>
    <w:rsid w:val="000C1992"/>
    <w:rsid w:val="000C24B1"/>
    <w:rsid w:val="000C3F21"/>
    <w:rsid w:val="000E535E"/>
    <w:rsid w:val="000F0078"/>
    <w:rsid w:val="000F2CCD"/>
    <w:rsid w:val="000F6869"/>
    <w:rsid w:val="001002D5"/>
    <w:rsid w:val="0010167D"/>
    <w:rsid w:val="001046A8"/>
    <w:rsid w:val="001077F4"/>
    <w:rsid w:val="00120BB7"/>
    <w:rsid w:val="00121AC2"/>
    <w:rsid w:val="0014082B"/>
    <w:rsid w:val="00142B7F"/>
    <w:rsid w:val="00145302"/>
    <w:rsid w:val="001455CB"/>
    <w:rsid w:val="00155C7D"/>
    <w:rsid w:val="00184C58"/>
    <w:rsid w:val="001853B0"/>
    <w:rsid w:val="001977D8"/>
    <w:rsid w:val="001A1953"/>
    <w:rsid w:val="001A2651"/>
    <w:rsid w:val="001A4098"/>
    <w:rsid w:val="001B20C4"/>
    <w:rsid w:val="001B2FDA"/>
    <w:rsid w:val="001B4929"/>
    <w:rsid w:val="001B7529"/>
    <w:rsid w:val="001C0684"/>
    <w:rsid w:val="001D0403"/>
    <w:rsid w:val="001D0F1A"/>
    <w:rsid w:val="001D1BFA"/>
    <w:rsid w:val="001D5C70"/>
    <w:rsid w:val="001E14AC"/>
    <w:rsid w:val="001F1FD3"/>
    <w:rsid w:val="002004DB"/>
    <w:rsid w:val="0022096D"/>
    <w:rsid w:val="00227FB3"/>
    <w:rsid w:val="002332EA"/>
    <w:rsid w:val="002349E0"/>
    <w:rsid w:val="00234AC1"/>
    <w:rsid w:val="00236352"/>
    <w:rsid w:val="002464E7"/>
    <w:rsid w:val="002466B7"/>
    <w:rsid w:val="00262880"/>
    <w:rsid w:val="00272C7B"/>
    <w:rsid w:val="00284E64"/>
    <w:rsid w:val="00287755"/>
    <w:rsid w:val="002966DF"/>
    <w:rsid w:val="0029732D"/>
    <w:rsid w:val="002A1B30"/>
    <w:rsid w:val="002C588B"/>
    <w:rsid w:val="002C58CB"/>
    <w:rsid w:val="002D6E9F"/>
    <w:rsid w:val="002F12C6"/>
    <w:rsid w:val="00302275"/>
    <w:rsid w:val="003027B1"/>
    <w:rsid w:val="003036E7"/>
    <w:rsid w:val="00310BF5"/>
    <w:rsid w:val="00311129"/>
    <w:rsid w:val="00334578"/>
    <w:rsid w:val="00353993"/>
    <w:rsid w:val="00354488"/>
    <w:rsid w:val="0036601A"/>
    <w:rsid w:val="00367BDA"/>
    <w:rsid w:val="003732B8"/>
    <w:rsid w:val="00374286"/>
    <w:rsid w:val="00384B24"/>
    <w:rsid w:val="00394C58"/>
    <w:rsid w:val="003A52AB"/>
    <w:rsid w:val="003A5CCF"/>
    <w:rsid w:val="003A6C2A"/>
    <w:rsid w:val="003B0AFA"/>
    <w:rsid w:val="003B201F"/>
    <w:rsid w:val="003B2151"/>
    <w:rsid w:val="003B3109"/>
    <w:rsid w:val="003C72F2"/>
    <w:rsid w:val="003D3A52"/>
    <w:rsid w:val="003E30FE"/>
    <w:rsid w:val="003E6105"/>
    <w:rsid w:val="003F1B2C"/>
    <w:rsid w:val="003F367D"/>
    <w:rsid w:val="003F6A07"/>
    <w:rsid w:val="00405343"/>
    <w:rsid w:val="0040754D"/>
    <w:rsid w:val="004120FB"/>
    <w:rsid w:val="00421195"/>
    <w:rsid w:val="00423534"/>
    <w:rsid w:val="0044310D"/>
    <w:rsid w:val="00443E17"/>
    <w:rsid w:val="00446CFF"/>
    <w:rsid w:val="00452494"/>
    <w:rsid w:val="00474BB7"/>
    <w:rsid w:val="00496B9E"/>
    <w:rsid w:val="004A029F"/>
    <w:rsid w:val="004A26FD"/>
    <w:rsid w:val="004B0F13"/>
    <w:rsid w:val="004B20A3"/>
    <w:rsid w:val="004B442B"/>
    <w:rsid w:val="004B48BC"/>
    <w:rsid w:val="004C1606"/>
    <w:rsid w:val="004D0E98"/>
    <w:rsid w:val="004D1189"/>
    <w:rsid w:val="004E1935"/>
    <w:rsid w:val="004E1C7D"/>
    <w:rsid w:val="004F0845"/>
    <w:rsid w:val="004F1673"/>
    <w:rsid w:val="004F30F2"/>
    <w:rsid w:val="00520157"/>
    <w:rsid w:val="005327E5"/>
    <w:rsid w:val="0055373C"/>
    <w:rsid w:val="00560509"/>
    <w:rsid w:val="0056122E"/>
    <w:rsid w:val="00563403"/>
    <w:rsid w:val="00571A6A"/>
    <w:rsid w:val="00573BB4"/>
    <w:rsid w:val="00581014"/>
    <w:rsid w:val="00586D7D"/>
    <w:rsid w:val="005920F2"/>
    <w:rsid w:val="00594FF9"/>
    <w:rsid w:val="005963F0"/>
    <w:rsid w:val="005A302B"/>
    <w:rsid w:val="005B17A4"/>
    <w:rsid w:val="005B1C10"/>
    <w:rsid w:val="005B46BA"/>
    <w:rsid w:val="005C477E"/>
    <w:rsid w:val="005C4E7C"/>
    <w:rsid w:val="005C5347"/>
    <w:rsid w:val="005C6F05"/>
    <w:rsid w:val="005D1A38"/>
    <w:rsid w:val="005E3364"/>
    <w:rsid w:val="005E522F"/>
    <w:rsid w:val="005F172C"/>
    <w:rsid w:val="005F5DD5"/>
    <w:rsid w:val="006030C7"/>
    <w:rsid w:val="00610A04"/>
    <w:rsid w:val="00622F37"/>
    <w:rsid w:val="006303E1"/>
    <w:rsid w:val="006377A2"/>
    <w:rsid w:val="00647D29"/>
    <w:rsid w:val="0066280A"/>
    <w:rsid w:val="006715A5"/>
    <w:rsid w:val="00685446"/>
    <w:rsid w:val="00686A35"/>
    <w:rsid w:val="00686BD4"/>
    <w:rsid w:val="006A2099"/>
    <w:rsid w:val="006A47F0"/>
    <w:rsid w:val="006A7966"/>
    <w:rsid w:val="006B6864"/>
    <w:rsid w:val="006C332C"/>
    <w:rsid w:val="006C47B9"/>
    <w:rsid w:val="006E3441"/>
    <w:rsid w:val="006E4067"/>
    <w:rsid w:val="006F20F8"/>
    <w:rsid w:val="00706D75"/>
    <w:rsid w:val="00712C41"/>
    <w:rsid w:val="00720636"/>
    <w:rsid w:val="00720E96"/>
    <w:rsid w:val="007227C9"/>
    <w:rsid w:val="00731FA0"/>
    <w:rsid w:val="00747C03"/>
    <w:rsid w:val="0075349D"/>
    <w:rsid w:val="00763EDD"/>
    <w:rsid w:val="00765293"/>
    <w:rsid w:val="00776627"/>
    <w:rsid w:val="007857D6"/>
    <w:rsid w:val="00785E2A"/>
    <w:rsid w:val="00790779"/>
    <w:rsid w:val="00791600"/>
    <w:rsid w:val="0079557D"/>
    <w:rsid w:val="007B244F"/>
    <w:rsid w:val="007B5969"/>
    <w:rsid w:val="007C524B"/>
    <w:rsid w:val="007D47DF"/>
    <w:rsid w:val="007D6BD0"/>
    <w:rsid w:val="0080405A"/>
    <w:rsid w:val="00811E22"/>
    <w:rsid w:val="0082144C"/>
    <w:rsid w:val="00823D27"/>
    <w:rsid w:val="00826A75"/>
    <w:rsid w:val="00846DEE"/>
    <w:rsid w:val="008475F2"/>
    <w:rsid w:val="00877925"/>
    <w:rsid w:val="008836B9"/>
    <w:rsid w:val="00883EE4"/>
    <w:rsid w:val="00887C4B"/>
    <w:rsid w:val="00892857"/>
    <w:rsid w:val="008B1A89"/>
    <w:rsid w:val="008B3FCA"/>
    <w:rsid w:val="008B63A1"/>
    <w:rsid w:val="008C49D3"/>
    <w:rsid w:val="008D74E3"/>
    <w:rsid w:val="008D7882"/>
    <w:rsid w:val="008E2133"/>
    <w:rsid w:val="008F6AA7"/>
    <w:rsid w:val="00905024"/>
    <w:rsid w:val="00913DBE"/>
    <w:rsid w:val="009179BD"/>
    <w:rsid w:val="00931438"/>
    <w:rsid w:val="00934D31"/>
    <w:rsid w:val="009361BE"/>
    <w:rsid w:val="00950ECA"/>
    <w:rsid w:val="00951068"/>
    <w:rsid w:val="009677FB"/>
    <w:rsid w:val="009849C9"/>
    <w:rsid w:val="00985216"/>
    <w:rsid w:val="00986E73"/>
    <w:rsid w:val="00996EA7"/>
    <w:rsid w:val="009B3895"/>
    <w:rsid w:val="009C0BC8"/>
    <w:rsid w:val="009C2148"/>
    <w:rsid w:val="009C3493"/>
    <w:rsid w:val="009E08D1"/>
    <w:rsid w:val="009E78BC"/>
    <w:rsid w:val="009F5AE5"/>
    <w:rsid w:val="009F677C"/>
    <w:rsid w:val="00A0192B"/>
    <w:rsid w:val="00A01A4D"/>
    <w:rsid w:val="00A1148C"/>
    <w:rsid w:val="00A15269"/>
    <w:rsid w:val="00A16C46"/>
    <w:rsid w:val="00A2738B"/>
    <w:rsid w:val="00A44978"/>
    <w:rsid w:val="00A5604B"/>
    <w:rsid w:val="00A566FE"/>
    <w:rsid w:val="00A569F0"/>
    <w:rsid w:val="00A62386"/>
    <w:rsid w:val="00A667AD"/>
    <w:rsid w:val="00A720E5"/>
    <w:rsid w:val="00A87CAA"/>
    <w:rsid w:val="00A97515"/>
    <w:rsid w:val="00AA3B11"/>
    <w:rsid w:val="00AC4C59"/>
    <w:rsid w:val="00AE71AA"/>
    <w:rsid w:val="00AF33A9"/>
    <w:rsid w:val="00B03887"/>
    <w:rsid w:val="00B0768A"/>
    <w:rsid w:val="00B46EFB"/>
    <w:rsid w:val="00B65ACA"/>
    <w:rsid w:val="00B6732F"/>
    <w:rsid w:val="00B67478"/>
    <w:rsid w:val="00B67C1F"/>
    <w:rsid w:val="00B73089"/>
    <w:rsid w:val="00B730D4"/>
    <w:rsid w:val="00B772BE"/>
    <w:rsid w:val="00B77CFE"/>
    <w:rsid w:val="00B82DAA"/>
    <w:rsid w:val="00B92FF5"/>
    <w:rsid w:val="00BB0B56"/>
    <w:rsid w:val="00BC505D"/>
    <w:rsid w:val="00BF32E4"/>
    <w:rsid w:val="00BF4667"/>
    <w:rsid w:val="00BF5044"/>
    <w:rsid w:val="00C06E41"/>
    <w:rsid w:val="00C103AC"/>
    <w:rsid w:val="00C179AD"/>
    <w:rsid w:val="00C21132"/>
    <w:rsid w:val="00C60C7F"/>
    <w:rsid w:val="00C6331F"/>
    <w:rsid w:val="00C777D8"/>
    <w:rsid w:val="00C823E2"/>
    <w:rsid w:val="00C91A99"/>
    <w:rsid w:val="00C93E40"/>
    <w:rsid w:val="00CA2A7E"/>
    <w:rsid w:val="00CC2483"/>
    <w:rsid w:val="00CC7C61"/>
    <w:rsid w:val="00CE267F"/>
    <w:rsid w:val="00CF00DA"/>
    <w:rsid w:val="00CF2BA6"/>
    <w:rsid w:val="00CF460D"/>
    <w:rsid w:val="00D007E3"/>
    <w:rsid w:val="00D030B7"/>
    <w:rsid w:val="00D11569"/>
    <w:rsid w:val="00D202F1"/>
    <w:rsid w:val="00D317B1"/>
    <w:rsid w:val="00D32532"/>
    <w:rsid w:val="00D47C87"/>
    <w:rsid w:val="00D548DA"/>
    <w:rsid w:val="00D63A5A"/>
    <w:rsid w:val="00D93FB2"/>
    <w:rsid w:val="00D943B9"/>
    <w:rsid w:val="00D95413"/>
    <w:rsid w:val="00D9656A"/>
    <w:rsid w:val="00DB0643"/>
    <w:rsid w:val="00DE1B7E"/>
    <w:rsid w:val="00DE7452"/>
    <w:rsid w:val="00DF0EBD"/>
    <w:rsid w:val="00DF6808"/>
    <w:rsid w:val="00E07BBC"/>
    <w:rsid w:val="00E108E9"/>
    <w:rsid w:val="00E1627B"/>
    <w:rsid w:val="00E1670F"/>
    <w:rsid w:val="00E23F0F"/>
    <w:rsid w:val="00E25B1A"/>
    <w:rsid w:val="00E26003"/>
    <w:rsid w:val="00E338CA"/>
    <w:rsid w:val="00E44490"/>
    <w:rsid w:val="00E51577"/>
    <w:rsid w:val="00E561A6"/>
    <w:rsid w:val="00E6401D"/>
    <w:rsid w:val="00E66DDF"/>
    <w:rsid w:val="00E70D12"/>
    <w:rsid w:val="00E838EC"/>
    <w:rsid w:val="00E86EC1"/>
    <w:rsid w:val="00E87B41"/>
    <w:rsid w:val="00E910B1"/>
    <w:rsid w:val="00E92CEB"/>
    <w:rsid w:val="00E94F2F"/>
    <w:rsid w:val="00EC72D7"/>
    <w:rsid w:val="00ED4FC1"/>
    <w:rsid w:val="00EF367D"/>
    <w:rsid w:val="00EF632A"/>
    <w:rsid w:val="00F036C3"/>
    <w:rsid w:val="00F156C4"/>
    <w:rsid w:val="00F2342C"/>
    <w:rsid w:val="00F23979"/>
    <w:rsid w:val="00F27A39"/>
    <w:rsid w:val="00F30FBC"/>
    <w:rsid w:val="00F32D5F"/>
    <w:rsid w:val="00F40B67"/>
    <w:rsid w:val="00F41EB9"/>
    <w:rsid w:val="00F531F5"/>
    <w:rsid w:val="00F55FD9"/>
    <w:rsid w:val="00F621EE"/>
    <w:rsid w:val="00F84392"/>
    <w:rsid w:val="00F96851"/>
    <w:rsid w:val="00FA1C4A"/>
    <w:rsid w:val="00FA4D94"/>
    <w:rsid w:val="00FC7931"/>
    <w:rsid w:val="00FD0A15"/>
    <w:rsid w:val="00FE7C85"/>
    <w:rsid w:val="00FF080F"/>
    <w:rsid w:val="011B374A"/>
    <w:rsid w:val="01610809"/>
    <w:rsid w:val="01A63BF1"/>
    <w:rsid w:val="01DD4CC6"/>
    <w:rsid w:val="01DE53FC"/>
    <w:rsid w:val="01FC4CF4"/>
    <w:rsid w:val="020D4057"/>
    <w:rsid w:val="02243728"/>
    <w:rsid w:val="027B5DB5"/>
    <w:rsid w:val="03296C6C"/>
    <w:rsid w:val="03627C14"/>
    <w:rsid w:val="038B099A"/>
    <w:rsid w:val="03A731D8"/>
    <w:rsid w:val="03C17864"/>
    <w:rsid w:val="0431796F"/>
    <w:rsid w:val="044D3A39"/>
    <w:rsid w:val="0471603F"/>
    <w:rsid w:val="04F03F5F"/>
    <w:rsid w:val="05206F92"/>
    <w:rsid w:val="05544C49"/>
    <w:rsid w:val="05586D52"/>
    <w:rsid w:val="05DC4653"/>
    <w:rsid w:val="06260796"/>
    <w:rsid w:val="062A3555"/>
    <w:rsid w:val="0662266A"/>
    <w:rsid w:val="067A17D9"/>
    <w:rsid w:val="06B67DBA"/>
    <w:rsid w:val="06C7704D"/>
    <w:rsid w:val="06F518A9"/>
    <w:rsid w:val="078E11FC"/>
    <w:rsid w:val="07D052A2"/>
    <w:rsid w:val="08056E08"/>
    <w:rsid w:val="081227B2"/>
    <w:rsid w:val="08234FBA"/>
    <w:rsid w:val="08936DF1"/>
    <w:rsid w:val="0A040A79"/>
    <w:rsid w:val="0A291DA5"/>
    <w:rsid w:val="0A83625C"/>
    <w:rsid w:val="0ABC3C20"/>
    <w:rsid w:val="0B0216D1"/>
    <w:rsid w:val="0B1627BC"/>
    <w:rsid w:val="0BA313F4"/>
    <w:rsid w:val="0BD659E5"/>
    <w:rsid w:val="0BE91A50"/>
    <w:rsid w:val="0C3662B6"/>
    <w:rsid w:val="0C5F7765"/>
    <w:rsid w:val="0CCD416F"/>
    <w:rsid w:val="0CE77700"/>
    <w:rsid w:val="0D0A4FF1"/>
    <w:rsid w:val="0D250935"/>
    <w:rsid w:val="0DDC7A08"/>
    <w:rsid w:val="0E083221"/>
    <w:rsid w:val="0E433B8A"/>
    <w:rsid w:val="0E584AF3"/>
    <w:rsid w:val="0F1A1E39"/>
    <w:rsid w:val="0F3F728A"/>
    <w:rsid w:val="0F5F550D"/>
    <w:rsid w:val="0F6F1A22"/>
    <w:rsid w:val="0F7A4433"/>
    <w:rsid w:val="0F981AB3"/>
    <w:rsid w:val="0FE4276D"/>
    <w:rsid w:val="0FEE1AB9"/>
    <w:rsid w:val="10324B1D"/>
    <w:rsid w:val="107462EF"/>
    <w:rsid w:val="107D3411"/>
    <w:rsid w:val="10E27173"/>
    <w:rsid w:val="10F5566C"/>
    <w:rsid w:val="110F7F5F"/>
    <w:rsid w:val="111761FF"/>
    <w:rsid w:val="111847D7"/>
    <w:rsid w:val="11194876"/>
    <w:rsid w:val="11391E74"/>
    <w:rsid w:val="11556DDA"/>
    <w:rsid w:val="11884BAA"/>
    <w:rsid w:val="118E0BCD"/>
    <w:rsid w:val="11D202BB"/>
    <w:rsid w:val="11F810CD"/>
    <w:rsid w:val="12247DA1"/>
    <w:rsid w:val="1276589B"/>
    <w:rsid w:val="129B4A91"/>
    <w:rsid w:val="12B3683C"/>
    <w:rsid w:val="132934C9"/>
    <w:rsid w:val="13813AD4"/>
    <w:rsid w:val="13923488"/>
    <w:rsid w:val="13AF570D"/>
    <w:rsid w:val="141976D1"/>
    <w:rsid w:val="145B06F3"/>
    <w:rsid w:val="14A10A7D"/>
    <w:rsid w:val="14A93604"/>
    <w:rsid w:val="14CB0F2D"/>
    <w:rsid w:val="14CE476C"/>
    <w:rsid w:val="14ED0D52"/>
    <w:rsid w:val="157C490D"/>
    <w:rsid w:val="15E305EA"/>
    <w:rsid w:val="15E37ACF"/>
    <w:rsid w:val="15E630A4"/>
    <w:rsid w:val="15E92301"/>
    <w:rsid w:val="160A4F74"/>
    <w:rsid w:val="166C33B6"/>
    <w:rsid w:val="16BA03AA"/>
    <w:rsid w:val="16D949E5"/>
    <w:rsid w:val="170C1C64"/>
    <w:rsid w:val="17263161"/>
    <w:rsid w:val="17CB32B6"/>
    <w:rsid w:val="186338EC"/>
    <w:rsid w:val="18925067"/>
    <w:rsid w:val="189D40B2"/>
    <w:rsid w:val="18B9244B"/>
    <w:rsid w:val="18E12927"/>
    <w:rsid w:val="18EB43EE"/>
    <w:rsid w:val="18FB47BF"/>
    <w:rsid w:val="19A432D3"/>
    <w:rsid w:val="19A5349C"/>
    <w:rsid w:val="1A62176E"/>
    <w:rsid w:val="1ABC78E9"/>
    <w:rsid w:val="1ABD3D14"/>
    <w:rsid w:val="1AC01C37"/>
    <w:rsid w:val="1ADA14AF"/>
    <w:rsid w:val="1AF1204C"/>
    <w:rsid w:val="1B8A03F4"/>
    <w:rsid w:val="1BA946A1"/>
    <w:rsid w:val="1C6343D7"/>
    <w:rsid w:val="1C874430"/>
    <w:rsid w:val="1CB47078"/>
    <w:rsid w:val="1CD6214A"/>
    <w:rsid w:val="1D143544"/>
    <w:rsid w:val="1D367EB1"/>
    <w:rsid w:val="1DA31ADD"/>
    <w:rsid w:val="1DAF2777"/>
    <w:rsid w:val="1DEB196D"/>
    <w:rsid w:val="1E464337"/>
    <w:rsid w:val="1E4F0ED3"/>
    <w:rsid w:val="1EC20327"/>
    <w:rsid w:val="1EF700E0"/>
    <w:rsid w:val="1F0B5E32"/>
    <w:rsid w:val="1F847A3C"/>
    <w:rsid w:val="1F9B7FD0"/>
    <w:rsid w:val="1FA63076"/>
    <w:rsid w:val="1FAC3C72"/>
    <w:rsid w:val="200608BF"/>
    <w:rsid w:val="20097F6E"/>
    <w:rsid w:val="200A54CC"/>
    <w:rsid w:val="201E60AA"/>
    <w:rsid w:val="201E670D"/>
    <w:rsid w:val="202B2305"/>
    <w:rsid w:val="2069193E"/>
    <w:rsid w:val="20854562"/>
    <w:rsid w:val="208C3BA3"/>
    <w:rsid w:val="208F036A"/>
    <w:rsid w:val="2151213B"/>
    <w:rsid w:val="216137A0"/>
    <w:rsid w:val="21644DCC"/>
    <w:rsid w:val="21653311"/>
    <w:rsid w:val="216E6E32"/>
    <w:rsid w:val="217E44A8"/>
    <w:rsid w:val="218F2DB4"/>
    <w:rsid w:val="21AC07BB"/>
    <w:rsid w:val="22036082"/>
    <w:rsid w:val="22226060"/>
    <w:rsid w:val="222E0329"/>
    <w:rsid w:val="22651097"/>
    <w:rsid w:val="22812AD6"/>
    <w:rsid w:val="22A057AA"/>
    <w:rsid w:val="22AB6C96"/>
    <w:rsid w:val="22F85ED1"/>
    <w:rsid w:val="23741B76"/>
    <w:rsid w:val="23770A1B"/>
    <w:rsid w:val="23C31C29"/>
    <w:rsid w:val="23C33935"/>
    <w:rsid w:val="246C5ADB"/>
    <w:rsid w:val="24891CD3"/>
    <w:rsid w:val="24D37CB9"/>
    <w:rsid w:val="2570563F"/>
    <w:rsid w:val="25CF7927"/>
    <w:rsid w:val="25E14C6B"/>
    <w:rsid w:val="267365E8"/>
    <w:rsid w:val="267B1638"/>
    <w:rsid w:val="26E67204"/>
    <w:rsid w:val="26EF2BB1"/>
    <w:rsid w:val="279656B0"/>
    <w:rsid w:val="27CA7603"/>
    <w:rsid w:val="27E773E2"/>
    <w:rsid w:val="27ED025B"/>
    <w:rsid w:val="27FA4D1B"/>
    <w:rsid w:val="28145524"/>
    <w:rsid w:val="281F64E8"/>
    <w:rsid w:val="284D0CFD"/>
    <w:rsid w:val="2857760E"/>
    <w:rsid w:val="28736D34"/>
    <w:rsid w:val="288B022F"/>
    <w:rsid w:val="291370EF"/>
    <w:rsid w:val="29356952"/>
    <w:rsid w:val="293E327E"/>
    <w:rsid w:val="29934FF0"/>
    <w:rsid w:val="29CA604A"/>
    <w:rsid w:val="2A2A1487"/>
    <w:rsid w:val="2A2A4033"/>
    <w:rsid w:val="2A4709BB"/>
    <w:rsid w:val="2A9E5073"/>
    <w:rsid w:val="2AF963CD"/>
    <w:rsid w:val="2B304121"/>
    <w:rsid w:val="2B764AD5"/>
    <w:rsid w:val="2B9769CE"/>
    <w:rsid w:val="2BBC0502"/>
    <w:rsid w:val="2BBE26EF"/>
    <w:rsid w:val="2BD2781E"/>
    <w:rsid w:val="2BD7278E"/>
    <w:rsid w:val="2BFD3CD3"/>
    <w:rsid w:val="2BFE51F0"/>
    <w:rsid w:val="2C6426EC"/>
    <w:rsid w:val="2C7914DD"/>
    <w:rsid w:val="2C7C0AE9"/>
    <w:rsid w:val="2C997FA5"/>
    <w:rsid w:val="2D63152B"/>
    <w:rsid w:val="2DE27F40"/>
    <w:rsid w:val="2DF02FA2"/>
    <w:rsid w:val="2E6B4A4F"/>
    <w:rsid w:val="2E973531"/>
    <w:rsid w:val="2EA713BA"/>
    <w:rsid w:val="2F144D86"/>
    <w:rsid w:val="2F234F82"/>
    <w:rsid w:val="2F2F25B5"/>
    <w:rsid w:val="2F2F59A1"/>
    <w:rsid w:val="2F5E5265"/>
    <w:rsid w:val="2F7F3AED"/>
    <w:rsid w:val="2FA56008"/>
    <w:rsid w:val="2FB566E5"/>
    <w:rsid w:val="306275EE"/>
    <w:rsid w:val="307028B2"/>
    <w:rsid w:val="30C91B2F"/>
    <w:rsid w:val="30DB4CFB"/>
    <w:rsid w:val="31291D49"/>
    <w:rsid w:val="315B7190"/>
    <w:rsid w:val="31671E38"/>
    <w:rsid w:val="31CF2C56"/>
    <w:rsid w:val="31FD1316"/>
    <w:rsid w:val="32013817"/>
    <w:rsid w:val="32DD58CB"/>
    <w:rsid w:val="335A0D99"/>
    <w:rsid w:val="3368763C"/>
    <w:rsid w:val="33832C1C"/>
    <w:rsid w:val="33874FF8"/>
    <w:rsid w:val="33897C94"/>
    <w:rsid w:val="33E157EB"/>
    <w:rsid w:val="340668E1"/>
    <w:rsid w:val="34453D9C"/>
    <w:rsid w:val="345C0D4B"/>
    <w:rsid w:val="35550D24"/>
    <w:rsid w:val="35700199"/>
    <w:rsid w:val="35AC31E3"/>
    <w:rsid w:val="36422395"/>
    <w:rsid w:val="364B69E4"/>
    <w:rsid w:val="36712BAC"/>
    <w:rsid w:val="36C75E30"/>
    <w:rsid w:val="36CD4E1B"/>
    <w:rsid w:val="36F567C1"/>
    <w:rsid w:val="37024992"/>
    <w:rsid w:val="37362FC9"/>
    <w:rsid w:val="375F517B"/>
    <w:rsid w:val="37734AC8"/>
    <w:rsid w:val="37A11153"/>
    <w:rsid w:val="37A3746D"/>
    <w:rsid w:val="37F62EDD"/>
    <w:rsid w:val="380629FF"/>
    <w:rsid w:val="380B6B46"/>
    <w:rsid w:val="38134A0C"/>
    <w:rsid w:val="3820252F"/>
    <w:rsid w:val="382E3B48"/>
    <w:rsid w:val="387F28C8"/>
    <w:rsid w:val="393D0D95"/>
    <w:rsid w:val="3972608A"/>
    <w:rsid w:val="39A2092E"/>
    <w:rsid w:val="39AA67B0"/>
    <w:rsid w:val="3A193571"/>
    <w:rsid w:val="3A4C3BFB"/>
    <w:rsid w:val="3B267FFE"/>
    <w:rsid w:val="3B54571D"/>
    <w:rsid w:val="3B5E072E"/>
    <w:rsid w:val="3BB36500"/>
    <w:rsid w:val="3BDF3C89"/>
    <w:rsid w:val="3BE72583"/>
    <w:rsid w:val="3C0D7A90"/>
    <w:rsid w:val="3C3B067C"/>
    <w:rsid w:val="3C416837"/>
    <w:rsid w:val="3C424974"/>
    <w:rsid w:val="3C763921"/>
    <w:rsid w:val="3C79045F"/>
    <w:rsid w:val="3C857B3B"/>
    <w:rsid w:val="3C9D1ADB"/>
    <w:rsid w:val="3CCA6DA0"/>
    <w:rsid w:val="3CCE0ED2"/>
    <w:rsid w:val="3CD43BC5"/>
    <w:rsid w:val="3CD4533C"/>
    <w:rsid w:val="3CD627B1"/>
    <w:rsid w:val="3D0B21DA"/>
    <w:rsid w:val="3D7B1D66"/>
    <w:rsid w:val="3D991C58"/>
    <w:rsid w:val="3EAB64B3"/>
    <w:rsid w:val="3F144626"/>
    <w:rsid w:val="3F1C662C"/>
    <w:rsid w:val="3F712F06"/>
    <w:rsid w:val="3FA50850"/>
    <w:rsid w:val="3FCC4CE3"/>
    <w:rsid w:val="400762D0"/>
    <w:rsid w:val="407D1FAC"/>
    <w:rsid w:val="408B77AC"/>
    <w:rsid w:val="40CA64A4"/>
    <w:rsid w:val="412315B1"/>
    <w:rsid w:val="419E3513"/>
    <w:rsid w:val="41A47DA0"/>
    <w:rsid w:val="41CF5DDA"/>
    <w:rsid w:val="41D36B16"/>
    <w:rsid w:val="41E945CC"/>
    <w:rsid w:val="41F627FE"/>
    <w:rsid w:val="421771B7"/>
    <w:rsid w:val="42696445"/>
    <w:rsid w:val="42897BE2"/>
    <w:rsid w:val="42DC1D2E"/>
    <w:rsid w:val="442553ED"/>
    <w:rsid w:val="442B3B22"/>
    <w:rsid w:val="44307F96"/>
    <w:rsid w:val="44645DD4"/>
    <w:rsid w:val="44813CED"/>
    <w:rsid w:val="450209D6"/>
    <w:rsid w:val="45803C5A"/>
    <w:rsid w:val="45AD1BD2"/>
    <w:rsid w:val="45DB74CE"/>
    <w:rsid w:val="463636B1"/>
    <w:rsid w:val="463B04EB"/>
    <w:rsid w:val="468A19A6"/>
    <w:rsid w:val="46A20F15"/>
    <w:rsid w:val="46B5497F"/>
    <w:rsid w:val="46F34BF8"/>
    <w:rsid w:val="47134EA8"/>
    <w:rsid w:val="474E5ABC"/>
    <w:rsid w:val="476F7E5C"/>
    <w:rsid w:val="479E0D29"/>
    <w:rsid w:val="47AA75BD"/>
    <w:rsid w:val="47BA4CAB"/>
    <w:rsid w:val="497B60DA"/>
    <w:rsid w:val="49C360AA"/>
    <w:rsid w:val="4A7B4DEE"/>
    <w:rsid w:val="4A9F73DF"/>
    <w:rsid w:val="4AA552AC"/>
    <w:rsid w:val="4AD85316"/>
    <w:rsid w:val="4B1E20BE"/>
    <w:rsid w:val="4BCC4F0D"/>
    <w:rsid w:val="4BE73105"/>
    <w:rsid w:val="4BED50AA"/>
    <w:rsid w:val="4BF86F44"/>
    <w:rsid w:val="4C0632E0"/>
    <w:rsid w:val="4C3605C5"/>
    <w:rsid w:val="4D446DFE"/>
    <w:rsid w:val="4D953083"/>
    <w:rsid w:val="4DBD0000"/>
    <w:rsid w:val="4DDC59E4"/>
    <w:rsid w:val="4DE06469"/>
    <w:rsid w:val="4E1A5E47"/>
    <w:rsid w:val="4E503038"/>
    <w:rsid w:val="4E650871"/>
    <w:rsid w:val="4E6953A4"/>
    <w:rsid w:val="4E963935"/>
    <w:rsid w:val="4EBD1EE5"/>
    <w:rsid w:val="4EC76238"/>
    <w:rsid w:val="4EE22B0A"/>
    <w:rsid w:val="4EFC24FB"/>
    <w:rsid w:val="4F137D6D"/>
    <w:rsid w:val="4F3F7CFC"/>
    <w:rsid w:val="4F9378CB"/>
    <w:rsid w:val="4FD667BA"/>
    <w:rsid w:val="4FF724F9"/>
    <w:rsid w:val="505D712E"/>
    <w:rsid w:val="506A582E"/>
    <w:rsid w:val="50E6044C"/>
    <w:rsid w:val="51206049"/>
    <w:rsid w:val="512E1C77"/>
    <w:rsid w:val="51671C3E"/>
    <w:rsid w:val="5187222F"/>
    <w:rsid w:val="51E34935"/>
    <w:rsid w:val="524517A3"/>
    <w:rsid w:val="53234C68"/>
    <w:rsid w:val="5362568B"/>
    <w:rsid w:val="53B309A5"/>
    <w:rsid w:val="54EF3578"/>
    <w:rsid w:val="55636FAF"/>
    <w:rsid w:val="55855438"/>
    <w:rsid w:val="55A60375"/>
    <w:rsid w:val="55BC2048"/>
    <w:rsid w:val="55D97329"/>
    <w:rsid w:val="55E00605"/>
    <w:rsid w:val="562D6A62"/>
    <w:rsid w:val="563D2779"/>
    <w:rsid w:val="56A273F9"/>
    <w:rsid w:val="56B610BE"/>
    <w:rsid w:val="56BB5BC4"/>
    <w:rsid w:val="56E9169C"/>
    <w:rsid w:val="56F52548"/>
    <w:rsid w:val="57014EDA"/>
    <w:rsid w:val="57365D57"/>
    <w:rsid w:val="5738124A"/>
    <w:rsid w:val="576325C0"/>
    <w:rsid w:val="57AB1A75"/>
    <w:rsid w:val="57DB3E7C"/>
    <w:rsid w:val="583F2BEF"/>
    <w:rsid w:val="58867B38"/>
    <w:rsid w:val="58AC666C"/>
    <w:rsid w:val="58CD1498"/>
    <w:rsid w:val="590A09D5"/>
    <w:rsid w:val="59255ACD"/>
    <w:rsid w:val="596476F8"/>
    <w:rsid w:val="597350F3"/>
    <w:rsid w:val="59C50943"/>
    <w:rsid w:val="59DA0626"/>
    <w:rsid w:val="59F63F0E"/>
    <w:rsid w:val="5AE3365E"/>
    <w:rsid w:val="5AFB756C"/>
    <w:rsid w:val="5B6401EA"/>
    <w:rsid w:val="5B9B52EA"/>
    <w:rsid w:val="5BC17C1E"/>
    <w:rsid w:val="5C282FDD"/>
    <w:rsid w:val="5C3F24A0"/>
    <w:rsid w:val="5C9F75A3"/>
    <w:rsid w:val="5CE80E52"/>
    <w:rsid w:val="5D0B26EC"/>
    <w:rsid w:val="5D1F75A0"/>
    <w:rsid w:val="5D555460"/>
    <w:rsid w:val="5D7173F4"/>
    <w:rsid w:val="5D8B1FA6"/>
    <w:rsid w:val="5D911BE0"/>
    <w:rsid w:val="5D9A4E8E"/>
    <w:rsid w:val="5DBE1FCC"/>
    <w:rsid w:val="5E2208EC"/>
    <w:rsid w:val="5E7440B3"/>
    <w:rsid w:val="5E8F5244"/>
    <w:rsid w:val="5EB22D37"/>
    <w:rsid w:val="5EB61887"/>
    <w:rsid w:val="5EEA3CEE"/>
    <w:rsid w:val="5F586260"/>
    <w:rsid w:val="5FB47C92"/>
    <w:rsid w:val="5FC74BB0"/>
    <w:rsid w:val="5FE347DF"/>
    <w:rsid w:val="603355CA"/>
    <w:rsid w:val="606C6F0C"/>
    <w:rsid w:val="60CC1038"/>
    <w:rsid w:val="611116ED"/>
    <w:rsid w:val="615A4A42"/>
    <w:rsid w:val="618807E6"/>
    <w:rsid w:val="61BA5A1F"/>
    <w:rsid w:val="61DD0542"/>
    <w:rsid w:val="6250086D"/>
    <w:rsid w:val="62B4585F"/>
    <w:rsid w:val="62BD639F"/>
    <w:rsid w:val="62CA4EA8"/>
    <w:rsid w:val="62CB4FF9"/>
    <w:rsid w:val="62F006E5"/>
    <w:rsid w:val="6300726D"/>
    <w:rsid w:val="63210952"/>
    <w:rsid w:val="633608FB"/>
    <w:rsid w:val="6336652D"/>
    <w:rsid w:val="633C1598"/>
    <w:rsid w:val="63433366"/>
    <w:rsid w:val="63872B56"/>
    <w:rsid w:val="63FF4C67"/>
    <w:rsid w:val="645857F5"/>
    <w:rsid w:val="647A3FCB"/>
    <w:rsid w:val="64F6268B"/>
    <w:rsid w:val="659150E3"/>
    <w:rsid w:val="665F4BB3"/>
    <w:rsid w:val="670C6333"/>
    <w:rsid w:val="67384CE1"/>
    <w:rsid w:val="67424A6E"/>
    <w:rsid w:val="683673A5"/>
    <w:rsid w:val="68431E71"/>
    <w:rsid w:val="684E5D42"/>
    <w:rsid w:val="68756DE7"/>
    <w:rsid w:val="688C397A"/>
    <w:rsid w:val="689D1D59"/>
    <w:rsid w:val="690B4B92"/>
    <w:rsid w:val="691B7EFD"/>
    <w:rsid w:val="69291B91"/>
    <w:rsid w:val="695832D9"/>
    <w:rsid w:val="6A0C6E33"/>
    <w:rsid w:val="6A182C18"/>
    <w:rsid w:val="6A8769D7"/>
    <w:rsid w:val="6AD70EE5"/>
    <w:rsid w:val="6B735DF8"/>
    <w:rsid w:val="6B835081"/>
    <w:rsid w:val="6B9F2899"/>
    <w:rsid w:val="6BE9350D"/>
    <w:rsid w:val="6C192B7F"/>
    <w:rsid w:val="6C4A78ED"/>
    <w:rsid w:val="6C754D3F"/>
    <w:rsid w:val="6C882036"/>
    <w:rsid w:val="6C9043BB"/>
    <w:rsid w:val="6CAF5D77"/>
    <w:rsid w:val="6CB76041"/>
    <w:rsid w:val="6CEB3183"/>
    <w:rsid w:val="6D0F45A1"/>
    <w:rsid w:val="6D1B3CE2"/>
    <w:rsid w:val="6D37559D"/>
    <w:rsid w:val="6D493ED2"/>
    <w:rsid w:val="6D624460"/>
    <w:rsid w:val="6D7D44CA"/>
    <w:rsid w:val="6D7F0C8D"/>
    <w:rsid w:val="6DE13A5F"/>
    <w:rsid w:val="6E3267CA"/>
    <w:rsid w:val="6E3450E9"/>
    <w:rsid w:val="6E3D7CDE"/>
    <w:rsid w:val="6E4830E7"/>
    <w:rsid w:val="6E525D79"/>
    <w:rsid w:val="6E91523C"/>
    <w:rsid w:val="6F0D3127"/>
    <w:rsid w:val="6F0F7870"/>
    <w:rsid w:val="6F1408A7"/>
    <w:rsid w:val="6F6A7163"/>
    <w:rsid w:val="6F8455E1"/>
    <w:rsid w:val="6FA1210C"/>
    <w:rsid w:val="6FB15596"/>
    <w:rsid w:val="6FBD3F60"/>
    <w:rsid w:val="700533C9"/>
    <w:rsid w:val="702576DF"/>
    <w:rsid w:val="70355643"/>
    <w:rsid w:val="70974D2D"/>
    <w:rsid w:val="70991DF2"/>
    <w:rsid w:val="70FA0886"/>
    <w:rsid w:val="712B4136"/>
    <w:rsid w:val="713F74DF"/>
    <w:rsid w:val="71561A0C"/>
    <w:rsid w:val="716519BF"/>
    <w:rsid w:val="72274CE8"/>
    <w:rsid w:val="72AF51DF"/>
    <w:rsid w:val="72F93840"/>
    <w:rsid w:val="7309349E"/>
    <w:rsid w:val="732063E3"/>
    <w:rsid w:val="736B6A1B"/>
    <w:rsid w:val="73D50C7E"/>
    <w:rsid w:val="73DF4A0A"/>
    <w:rsid w:val="746F2C5C"/>
    <w:rsid w:val="74874D49"/>
    <w:rsid w:val="755758D7"/>
    <w:rsid w:val="759D7580"/>
    <w:rsid w:val="75D769A5"/>
    <w:rsid w:val="75DD0493"/>
    <w:rsid w:val="75EA1120"/>
    <w:rsid w:val="75EE0AB6"/>
    <w:rsid w:val="75FE12D0"/>
    <w:rsid w:val="7693745D"/>
    <w:rsid w:val="76A41DC3"/>
    <w:rsid w:val="774768EB"/>
    <w:rsid w:val="77B5679B"/>
    <w:rsid w:val="77EE41B6"/>
    <w:rsid w:val="78155BC0"/>
    <w:rsid w:val="78464F8A"/>
    <w:rsid w:val="788052BD"/>
    <w:rsid w:val="7976061D"/>
    <w:rsid w:val="79CB00D6"/>
    <w:rsid w:val="7A760638"/>
    <w:rsid w:val="7A85664A"/>
    <w:rsid w:val="7A886043"/>
    <w:rsid w:val="7A9329CA"/>
    <w:rsid w:val="7AB31297"/>
    <w:rsid w:val="7AFD6A2B"/>
    <w:rsid w:val="7B0D0BAD"/>
    <w:rsid w:val="7B1D6F4F"/>
    <w:rsid w:val="7B2F1CD6"/>
    <w:rsid w:val="7B8B147E"/>
    <w:rsid w:val="7BC53EFB"/>
    <w:rsid w:val="7BFB20FB"/>
    <w:rsid w:val="7C6A4177"/>
    <w:rsid w:val="7C6F4FED"/>
    <w:rsid w:val="7CC74E55"/>
    <w:rsid w:val="7D3B0B84"/>
    <w:rsid w:val="7D4876E4"/>
    <w:rsid w:val="7D4B68A9"/>
    <w:rsid w:val="7D6D5793"/>
    <w:rsid w:val="7DEA1C21"/>
    <w:rsid w:val="7DEB29D7"/>
    <w:rsid w:val="7E383C2F"/>
    <w:rsid w:val="7E6D6DB7"/>
    <w:rsid w:val="7E8643B9"/>
    <w:rsid w:val="7E8D2AAF"/>
    <w:rsid w:val="7EBD4C15"/>
    <w:rsid w:val="7F043042"/>
    <w:rsid w:val="7F0E1C5F"/>
    <w:rsid w:val="7F12278E"/>
    <w:rsid w:val="7F8345EE"/>
    <w:rsid w:val="7F915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2"/>
    <w:qFormat/>
    <w:uiPriority w:val="9"/>
    <w:pPr>
      <w:keepNext/>
      <w:keepLines/>
      <w:spacing w:line="360" w:lineRule="auto"/>
      <w:jc w:val="center"/>
      <w:outlineLvl w:val="0"/>
    </w:pPr>
    <w:rPr>
      <w:b/>
      <w:bCs/>
      <w:kern w:val="44"/>
      <w:sz w:val="36"/>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页脚 Char"/>
    <w:link w:val="3"/>
    <w:qFormat/>
    <w:uiPriority w:val="99"/>
    <w:rPr>
      <w:sz w:val="18"/>
      <w:szCs w:val="18"/>
    </w:rPr>
  </w:style>
  <w:style w:type="character" w:customStyle="1" w:styleId="9">
    <w:name w:val="font21"/>
    <w:qFormat/>
    <w:uiPriority w:val="0"/>
    <w:rPr>
      <w:rFonts w:hint="eastAsia" w:ascii="宋体" w:hAnsi="宋体" w:eastAsia="宋体" w:cs="宋体"/>
      <w:color w:val="000000"/>
      <w:sz w:val="24"/>
      <w:szCs w:val="24"/>
      <w:u w:val="none"/>
    </w:rPr>
  </w:style>
  <w:style w:type="character" w:customStyle="1" w:styleId="10">
    <w:name w:val="页眉 Char"/>
    <w:link w:val="4"/>
    <w:qFormat/>
    <w:uiPriority w:val="99"/>
    <w:rPr>
      <w:sz w:val="18"/>
      <w:szCs w:val="18"/>
    </w:rPr>
  </w:style>
  <w:style w:type="character" w:customStyle="1" w:styleId="11">
    <w:name w:val="font01"/>
    <w:qFormat/>
    <w:uiPriority w:val="0"/>
    <w:rPr>
      <w:rFonts w:hint="default" w:ascii="Times New Roman" w:hAnsi="Times New Roman" w:cs="Times New Roman"/>
      <w:color w:val="000000"/>
      <w:sz w:val="24"/>
      <w:szCs w:val="24"/>
      <w:u w:val="none"/>
    </w:rPr>
  </w:style>
  <w:style w:type="character" w:customStyle="1" w:styleId="12">
    <w:name w:val="标题 1 Char"/>
    <w:link w:val="2"/>
    <w:qFormat/>
    <w:uiPriority w:val="9"/>
    <w:rPr>
      <w:b/>
      <w:bCs/>
      <w:kern w:val="44"/>
      <w:sz w:val="36"/>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CXN.oem</Company>
  <Pages>28</Pages>
  <Words>2253</Words>
  <Characters>12847</Characters>
  <Lines>107</Lines>
  <Paragraphs>30</Paragraphs>
  <TotalTime>27</TotalTime>
  <ScaleCrop>false</ScaleCrop>
  <LinksUpToDate>false</LinksUpToDate>
  <CharactersWithSpaces>15070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2021-01-31T10:31:00Z</dcterms:created>
  <dc:creator>OEM</dc:creator>
  <cp:lastModifiedBy>徐历</cp:lastModifiedBy>
  <cp:lastPrinted>2023-01-29T06:49:00Z</cp:lastPrinted>
  <dcterms:modified xsi:type="dcterms:W3CDTF">2024-02-02T07:17:59Z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5C916B515F7946F5904BEB93FE298085</vt:lpwstr>
  </property>
</Properties>
</file>