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北京市西城区德胜社区卫生服务中心</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2024年预算编制说明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color w:val="000000"/>
          <w:sz w:val="32"/>
          <w:szCs w:val="32"/>
        </w:rPr>
      </w:pPr>
      <w:r>
        <w:rPr>
          <w:rFonts w:hint="eastAsia" w:ascii="仿宋_GB2312" w:eastAsia="仿宋_GB2312"/>
          <w:b/>
          <w:color w:val="000000"/>
          <w:sz w:val="32"/>
          <w:szCs w:val="32"/>
        </w:rPr>
        <w:t>目录</w:t>
      </w:r>
    </w:p>
    <w:p>
      <w:pPr>
        <w:spacing w:line="560" w:lineRule="exact"/>
        <w:jc w:val="center"/>
        <w:rPr>
          <w:rFonts w:ascii="仿宋_GB2312" w:eastAsia="仿宋_GB2312"/>
          <w:color w:val="000000"/>
          <w:sz w:val="32"/>
          <w:szCs w:val="32"/>
        </w:rPr>
      </w:pP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第一部分</w:t>
      </w:r>
      <w:r>
        <w:rPr>
          <w:rFonts w:ascii="仿宋_GB2312" w:eastAsia="仿宋_GB2312"/>
          <w:color w:val="000000"/>
          <w:sz w:val="32"/>
          <w:szCs w:val="32"/>
        </w:rPr>
        <w:t>、</w:t>
      </w:r>
      <w:r>
        <w:rPr>
          <w:rFonts w:hint="eastAsia" w:ascii="仿宋_GB2312" w:eastAsia="仿宋_GB2312"/>
          <w:color w:val="000000"/>
          <w:sz w:val="32"/>
          <w:szCs w:val="32"/>
        </w:rPr>
        <w:t>2024年度</w:t>
      </w:r>
      <w:r>
        <w:rPr>
          <w:rFonts w:ascii="仿宋_GB2312" w:eastAsia="仿宋_GB2312"/>
          <w:color w:val="000000"/>
          <w:sz w:val="32"/>
          <w:szCs w:val="32"/>
        </w:rPr>
        <w:t>部门预算情况说明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（一）部门</w:t>
      </w:r>
      <w:r>
        <w:rPr>
          <w:rFonts w:ascii="仿宋_GB2312" w:eastAsia="仿宋_GB2312"/>
          <w:color w:val="000000"/>
          <w:sz w:val="32"/>
          <w:szCs w:val="32"/>
        </w:rPr>
        <w:t>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（二）人员</w:t>
      </w:r>
      <w:r>
        <w:rPr>
          <w:rFonts w:ascii="仿宋_GB2312" w:eastAsia="仿宋_GB2312"/>
          <w:color w:val="000000"/>
          <w:sz w:val="32"/>
          <w:szCs w:val="32"/>
        </w:rPr>
        <w:t>构成情况</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2024年部门预算</w:t>
      </w:r>
      <w:r>
        <w:rPr>
          <w:rFonts w:ascii="仿宋_GB2312" w:eastAsia="仿宋_GB2312"/>
          <w:color w:val="000000"/>
          <w:sz w:val="32"/>
          <w:szCs w:val="32"/>
        </w:rPr>
        <w:t>收支</w:t>
      </w:r>
      <w:r>
        <w:rPr>
          <w:rFonts w:hint="eastAsia" w:ascii="仿宋_GB2312" w:eastAsia="仿宋_GB2312"/>
          <w:color w:val="000000"/>
          <w:sz w:val="32"/>
          <w:szCs w:val="32"/>
        </w:rPr>
        <w:t>及增减变化</w:t>
      </w:r>
      <w:r>
        <w:rPr>
          <w:rFonts w:ascii="仿宋_GB2312" w:eastAsia="仿宋_GB2312"/>
          <w:color w:val="000000"/>
          <w:sz w:val="32"/>
          <w:szCs w:val="32"/>
        </w:rPr>
        <w:t>情况</w:t>
      </w:r>
      <w:r>
        <w:rPr>
          <w:rFonts w:hint="eastAsia" w:ascii="仿宋_GB2312" w:eastAsia="仿宋_GB2312"/>
          <w:color w:val="000000"/>
          <w:sz w:val="32"/>
          <w:szCs w:val="32"/>
        </w:rPr>
        <w:t>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（一）收入</w:t>
      </w:r>
      <w:r>
        <w:rPr>
          <w:rFonts w:ascii="仿宋_GB2312" w:eastAsia="仿宋_GB2312"/>
          <w:color w:val="000000"/>
          <w:sz w:val="32"/>
          <w:szCs w:val="32"/>
        </w:rPr>
        <w:t>预算说明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（二）支出</w:t>
      </w:r>
      <w:r>
        <w:rPr>
          <w:rFonts w:ascii="仿宋_GB2312" w:eastAsia="仿宋_GB2312"/>
          <w:color w:val="000000"/>
          <w:sz w:val="32"/>
          <w:szCs w:val="32"/>
        </w:rPr>
        <w:t>预算说明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三</w:t>
      </w:r>
      <w:r>
        <w:rPr>
          <w:rFonts w:ascii="仿宋_GB2312" w:eastAsia="仿宋_GB2312"/>
          <w:color w:val="000000"/>
          <w:sz w:val="32"/>
          <w:szCs w:val="32"/>
        </w:rPr>
        <w:t>、主要支出情况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四、</w:t>
      </w:r>
      <w:r>
        <w:rPr>
          <w:rFonts w:ascii="仿宋_GB2312" w:eastAsia="仿宋_GB2312"/>
          <w:color w:val="000000"/>
          <w:sz w:val="32"/>
          <w:szCs w:val="32"/>
        </w:rPr>
        <w:t>部门“</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w:t>
      </w:r>
      <w:r>
        <w:rPr>
          <w:rFonts w:ascii="仿宋_GB2312" w:eastAsia="仿宋_GB2312"/>
          <w:color w:val="000000"/>
          <w:sz w:val="32"/>
          <w:szCs w:val="32"/>
        </w:rPr>
        <w:t>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经费的</w:t>
      </w:r>
      <w:r>
        <w:rPr>
          <w:rFonts w:ascii="仿宋_GB2312" w:eastAsia="仿宋_GB2312"/>
          <w:color w:val="000000"/>
          <w:sz w:val="32"/>
          <w:szCs w:val="32"/>
        </w:rPr>
        <w:t>单位</w:t>
      </w:r>
      <w:r>
        <w:rPr>
          <w:rFonts w:hint="eastAsia" w:ascii="仿宋_GB2312" w:eastAsia="仿宋_GB2312"/>
          <w:color w:val="000000"/>
          <w:sz w:val="32"/>
          <w:szCs w:val="32"/>
        </w:rPr>
        <w:t>范围</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经费预算财政</w:t>
      </w:r>
      <w:r>
        <w:rPr>
          <w:rFonts w:ascii="仿宋_GB2312" w:eastAsia="仿宋_GB2312"/>
          <w:color w:val="000000"/>
          <w:sz w:val="32"/>
          <w:szCs w:val="32"/>
        </w:rPr>
        <w:t>拨款情况</w:t>
      </w:r>
      <w:r>
        <w:rPr>
          <w:rFonts w:hint="eastAsia"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五</w:t>
      </w:r>
      <w:r>
        <w:rPr>
          <w:rFonts w:ascii="仿宋_GB2312" w:eastAsia="仿宋_GB2312"/>
          <w:color w:val="000000"/>
          <w:sz w:val="32"/>
          <w:szCs w:val="32"/>
        </w:rPr>
        <w:t>、其他情况说明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（一）机关运行经费</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（二）政府</w:t>
      </w:r>
      <w:r>
        <w:rPr>
          <w:rFonts w:ascii="仿宋_GB2312" w:eastAsia="仿宋_GB2312"/>
          <w:color w:val="000000"/>
          <w:sz w:val="32"/>
          <w:szCs w:val="32"/>
        </w:rPr>
        <w:t>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（三）政府购买服务</w:t>
      </w:r>
      <w:r>
        <w:rPr>
          <w:rFonts w:ascii="仿宋_GB2312" w:eastAsia="仿宋_GB2312"/>
          <w:color w:val="000000"/>
          <w:sz w:val="32"/>
          <w:szCs w:val="32"/>
        </w:rPr>
        <w:t>预算说明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（四）</w:t>
      </w:r>
      <w:r>
        <w:rPr>
          <w:rFonts w:ascii="仿宋_GB2312" w:eastAsia="仿宋_GB2312"/>
          <w:color w:val="000000"/>
          <w:sz w:val="32"/>
          <w:szCs w:val="32"/>
        </w:rPr>
        <w:t>绩效目标情况</w:t>
      </w:r>
      <w:r>
        <w:rPr>
          <w:rFonts w:hint="eastAsia" w:ascii="仿宋_GB2312" w:eastAsia="仿宋_GB2312"/>
          <w:color w:val="000000"/>
          <w:sz w:val="32"/>
          <w:szCs w:val="32"/>
        </w:rPr>
        <w:t>及绩效评价结果</w:t>
      </w:r>
      <w:r>
        <w:rPr>
          <w:rFonts w:ascii="仿宋_GB2312" w:eastAsia="仿宋_GB2312"/>
          <w:color w:val="000000"/>
          <w:sz w:val="32"/>
          <w:szCs w:val="32"/>
        </w:rPr>
        <w:t>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（五）国有</w:t>
      </w:r>
      <w:r>
        <w:rPr>
          <w:rFonts w:ascii="仿宋_GB2312" w:eastAsia="仿宋_GB2312"/>
          <w:color w:val="000000"/>
          <w:sz w:val="32"/>
          <w:szCs w:val="32"/>
        </w:rPr>
        <w:t>资本经营预算财政拨款</w:t>
      </w:r>
      <w:r>
        <w:rPr>
          <w:rFonts w:hint="eastAsia" w:ascii="仿宋_GB2312" w:eastAsia="仿宋_GB2312"/>
          <w:color w:val="000000"/>
          <w:sz w:val="32"/>
          <w:szCs w:val="32"/>
        </w:rPr>
        <w:t>情况</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（六）国有资产</w:t>
      </w:r>
      <w:r>
        <w:rPr>
          <w:rFonts w:ascii="仿宋_GB2312" w:eastAsia="仿宋_GB2312"/>
          <w:color w:val="000000"/>
          <w:sz w:val="32"/>
          <w:szCs w:val="32"/>
        </w:rPr>
        <w:t>占用情况说明</w:t>
      </w:r>
    </w:p>
    <w:p>
      <w:pPr>
        <w:spacing w:line="560" w:lineRule="exact"/>
        <w:ind w:firstLine="960" w:firstLineChars="300"/>
        <w:rPr>
          <w:rFonts w:ascii="仿宋_GB2312" w:eastAsia="仿宋_GB2312"/>
          <w:color w:val="000000"/>
          <w:sz w:val="32"/>
          <w:szCs w:val="32"/>
        </w:rPr>
      </w:pPr>
      <w:r>
        <w:rPr>
          <w:rFonts w:hint="eastAsia" w:ascii="仿宋_GB2312" w:eastAsia="仿宋_GB2312"/>
          <w:color w:val="000000"/>
          <w:sz w:val="32"/>
          <w:szCs w:val="32"/>
        </w:rPr>
        <w:t>六</w:t>
      </w:r>
      <w:r>
        <w:rPr>
          <w:rFonts w:ascii="仿宋_GB2312" w:eastAsia="仿宋_GB2312"/>
          <w:color w:val="000000"/>
          <w:sz w:val="32"/>
          <w:szCs w:val="32"/>
        </w:rPr>
        <w:t>、名称</w:t>
      </w:r>
      <w:r>
        <w:rPr>
          <w:rFonts w:hint="eastAsia" w:ascii="仿宋_GB2312" w:eastAsia="仿宋_GB2312"/>
          <w:color w:val="000000"/>
          <w:sz w:val="32"/>
          <w:szCs w:val="32"/>
        </w:rPr>
        <w:t>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第二部分</w:t>
      </w:r>
      <w:r>
        <w:rPr>
          <w:rFonts w:ascii="仿宋_GB2312" w:eastAsia="仿宋_GB2312"/>
          <w:color w:val="000000"/>
          <w:sz w:val="32"/>
          <w:szCs w:val="32"/>
        </w:rPr>
        <w:t>、</w:t>
      </w:r>
      <w:r>
        <w:rPr>
          <w:rFonts w:hint="eastAsia" w:ascii="仿宋_GB2312" w:eastAsia="仿宋_GB2312"/>
          <w:color w:val="000000"/>
          <w:sz w:val="32"/>
          <w:szCs w:val="32"/>
        </w:rPr>
        <w:t>2024年度</w:t>
      </w:r>
      <w:r>
        <w:rPr>
          <w:rFonts w:ascii="仿宋_GB2312" w:eastAsia="仿宋_GB2312"/>
          <w:color w:val="000000"/>
          <w:sz w:val="32"/>
          <w:szCs w:val="32"/>
        </w:rPr>
        <w:t>部门预算</w:t>
      </w:r>
      <w:r>
        <w:rPr>
          <w:rFonts w:hint="eastAsia" w:ascii="仿宋_GB2312" w:eastAsia="仿宋_GB2312"/>
          <w:color w:val="000000"/>
          <w:sz w:val="32"/>
          <w:szCs w:val="32"/>
        </w:rPr>
        <w:t>表</w:t>
      </w:r>
    </w:p>
    <w:p>
      <w:pPr>
        <w:autoSpaceDE w:val="0"/>
        <w:autoSpaceDN w:val="0"/>
        <w:adjustRightInd w:val="0"/>
        <w:spacing w:line="560" w:lineRule="exact"/>
        <w:ind w:firstLine="1132" w:firstLineChars="354"/>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表一、</w:t>
      </w:r>
      <w:r>
        <w:rPr>
          <w:rFonts w:hint="eastAsia" w:ascii="仿宋_GB2312" w:eastAsia="仿宋_GB2312" w:cs="宋体"/>
          <w:color w:val="000000"/>
          <w:kern w:val="0"/>
          <w:sz w:val="32"/>
          <w:szCs w:val="32"/>
        </w:rPr>
        <w:t>部门</w:t>
      </w:r>
      <w:r>
        <w:rPr>
          <w:rFonts w:hint="eastAsia" w:ascii="仿宋_GB2312" w:eastAsia="仿宋_GB2312" w:cs="宋体"/>
          <w:color w:val="000000"/>
          <w:kern w:val="0"/>
          <w:sz w:val="32"/>
          <w:szCs w:val="32"/>
          <w:lang w:val="zh-CN"/>
        </w:rPr>
        <w:t xml:space="preserve">收支总表 </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表二、部门收入总表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表三、部门支出预算总表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表五、财政拨款收支预算总表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表六、一般公共预算支出情况表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表七、一般公共预算基本支出情况表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表八、政府性基金预算支出情况表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表十二、上级转移支付细化明细表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表十三、项目支出绩效目标申报表</w:t>
      </w: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bookmarkStart w:id="0" w:name="_GoBack"/>
      <w:bookmarkEnd w:id="0"/>
    </w:p>
    <w:p>
      <w:pPr>
        <w:spacing w:line="560" w:lineRule="exact"/>
        <w:ind w:firstLine="960" w:firstLineChars="300"/>
        <w:rPr>
          <w:rFonts w:ascii="仿宋_GB2312" w:eastAsia="仿宋_GB2312"/>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r>
        <w:rPr>
          <w:rFonts w:hint="eastAsia" w:ascii="黑体" w:hAnsi="黑体" w:eastAsia="黑体"/>
          <w:b/>
          <w:color w:val="000000"/>
          <w:sz w:val="32"/>
          <w:szCs w:val="32"/>
        </w:rPr>
        <w:t>第一部分</w:t>
      </w:r>
      <w:r>
        <w:rPr>
          <w:rFonts w:ascii="黑体" w:hAnsi="黑体" w:eastAsia="黑体"/>
          <w:b/>
          <w:color w:val="000000"/>
          <w:sz w:val="32"/>
          <w:szCs w:val="32"/>
        </w:rPr>
        <w:t>、</w:t>
      </w:r>
      <w:r>
        <w:rPr>
          <w:rFonts w:hint="eastAsia" w:ascii="黑体" w:hAnsi="黑体" w:eastAsia="黑体"/>
          <w:b/>
          <w:color w:val="000000"/>
          <w:sz w:val="32"/>
          <w:szCs w:val="32"/>
        </w:rPr>
        <w:t>2024年度</w:t>
      </w:r>
      <w:r>
        <w:rPr>
          <w:rFonts w:ascii="黑体" w:hAnsi="黑体" w:eastAsia="黑体"/>
          <w:b/>
          <w:color w:val="000000"/>
          <w:sz w:val="32"/>
          <w:szCs w:val="32"/>
        </w:rPr>
        <w:t>部门预算情况说明</w:t>
      </w:r>
    </w:p>
    <w:p>
      <w:pPr>
        <w:ind w:firstLine="1767" w:firstLineChars="400"/>
        <w:rPr>
          <w:rFonts w:ascii="仿宋_GB2312" w:eastAsia="仿宋_GB2312"/>
          <w:b/>
          <w:bCs/>
          <w:sz w:val="44"/>
          <w:szCs w:val="44"/>
        </w:rPr>
      </w:pPr>
    </w:p>
    <w:p>
      <w:pPr>
        <w:spacing w:line="520" w:lineRule="exact"/>
        <w:ind w:firstLine="643" w:firstLineChars="200"/>
        <w:outlineLvl w:val="0"/>
        <w:rPr>
          <w:rFonts w:ascii="仿宋" w:hAnsi="仿宋" w:eastAsia="仿宋"/>
          <w:b/>
          <w:sz w:val="32"/>
          <w:szCs w:val="32"/>
        </w:rPr>
      </w:pPr>
      <w:r>
        <w:rPr>
          <w:rFonts w:hint="eastAsia" w:ascii="仿宋" w:hAnsi="仿宋" w:eastAsia="仿宋" w:cs="黑体"/>
          <w:b/>
          <w:sz w:val="32"/>
          <w:szCs w:val="32"/>
        </w:rPr>
        <w:t>一、部门主要职责及机构设置情况</w:t>
      </w:r>
    </w:p>
    <w:p>
      <w:pPr>
        <w:spacing w:line="520" w:lineRule="exact"/>
        <w:ind w:firstLine="708" w:firstLineChars="235"/>
        <w:rPr>
          <w:rFonts w:ascii="仿宋" w:hAnsi="仿宋" w:eastAsia="仿宋" w:cs="宋体"/>
          <w:b/>
          <w:bCs/>
          <w:sz w:val="30"/>
          <w:szCs w:val="30"/>
        </w:rPr>
      </w:pPr>
      <w:r>
        <w:rPr>
          <w:rFonts w:hint="eastAsia" w:ascii="仿宋" w:hAnsi="仿宋" w:eastAsia="仿宋" w:cs="宋体"/>
          <w:b/>
          <w:bCs/>
          <w:sz w:val="30"/>
          <w:szCs w:val="30"/>
        </w:rPr>
        <w:t>（一）部门机构设置、职责</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德胜社区卫生服务中心下设3个部：健康管理部、绩效考核部、功能支持部</w:t>
      </w:r>
    </w:p>
    <w:p>
      <w:pPr>
        <w:spacing w:line="560" w:lineRule="exact"/>
        <w:ind w:firstLine="640" w:firstLineChars="200"/>
        <w:rPr>
          <w:rFonts w:ascii="仿宋" w:hAnsi="仿宋" w:eastAsia="仿宋" w:cs="宋体"/>
          <w:b/>
          <w:bCs/>
          <w:sz w:val="30"/>
          <w:szCs w:val="30"/>
        </w:rPr>
      </w:pPr>
      <w:r>
        <w:rPr>
          <w:rFonts w:hint="eastAsia" w:ascii="仿宋" w:hAnsi="仿宋" w:eastAsia="仿宋"/>
          <w:sz w:val="32"/>
          <w:szCs w:val="32"/>
        </w:rPr>
        <w:t>中心职责：开展以健康为中心，社区为范围，家庭为单位，面向德胜街道社区居民的健康教育、预防、保健、康复、技术服务和一般常见病、多发病的诊治等社区卫生服务。承担德胜地区低保、残疾、空巢、居家养老等人员及精神病人的健康维护。承担突发公共卫生事件的应急处理。组织检查社区公共卫生、基本医疗、社区康复、医疗救助、居家养老等社区网的工作质量。在大型综合、专科医院的支持下开展有序的双向转诊服务。</w:t>
      </w:r>
    </w:p>
    <w:p>
      <w:pPr>
        <w:spacing w:line="560" w:lineRule="exact"/>
        <w:ind w:firstLine="200"/>
        <w:rPr>
          <w:rFonts w:ascii="仿宋" w:hAnsi="仿宋" w:eastAsia="仿宋" w:cs="楷体_GB2312"/>
          <w:b/>
          <w:bCs/>
          <w:sz w:val="32"/>
          <w:szCs w:val="32"/>
        </w:rPr>
      </w:pPr>
      <w:r>
        <w:rPr>
          <w:rFonts w:ascii="仿宋" w:hAnsi="仿宋" w:eastAsia="仿宋" w:cs="楷体_GB2312"/>
          <w:b/>
          <w:bCs/>
          <w:sz w:val="32"/>
          <w:szCs w:val="32"/>
        </w:rPr>
        <w:t xml:space="preserve">   </w:t>
      </w:r>
      <w:r>
        <w:rPr>
          <w:rFonts w:hint="eastAsia" w:ascii="仿宋" w:hAnsi="仿宋" w:eastAsia="仿宋" w:cs="楷体_GB2312"/>
          <w:b/>
          <w:bCs/>
          <w:sz w:val="32"/>
          <w:szCs w:val="32"/>
        </w:rPr>
        <w:t>（二）人员构成情况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北京市西城区德胜社区卫生服务中心，其中行政编制0人</w:t>
      </w:r>
      <w:r>
        <w:rPr>
          <w:rFonts w:ascii="仿宋" w:hAnsi="仿宋" w:eastAsia="仿宋"/>
          <w:sz w:val="32"/>
          <w:szCs w:val="32"/>
        </w:rPr>
        <w:t>;</w:t>
      </w:r>
      <w:r>
        <w:rPr>
          <w:rFonts w:hint="eastAsia" w:ascii="仿宋" w:hAnsi="仿宋" w:eastAsia="仿宋"/>
          <w:sz w:val="32"/>
          <w:szCs w:val="32"/>
        </w:rPr>
        <w:t>事业编制197人；工勤编制0名；实际155人；长期聘用临时工0人。离退休人员174人，其中：离休1人，退休173人。</w:t>
      </w:r>
    </w:p>
    <w:p>
      <w:pPr>
        <w:spacing w:line="520" w:lineRule="exact"/>
        <w:ind w:firstLine="643" w:firstLineChars="200"/>
        <w:outlineLvl w:val="0"/>
        <w:rPr>
          <w:rFonts w:ascii="仿宋" w:hAnsi="仿宋" w:eastAsia="仿宋" w:cs="黑体"/>
          <w:b/>
          <w:sz w:val="32"/>
          <w:szCs w:val="32"/>
        </w:rPr>
      </w:pPr>
      <w:r>
        <w:rPr>
          <w:rFonts w:hint="eastAsia" w:ascii="仿宋" w:hAnsi="仿宋" w:eastAsia="仿宋" w:cs="黑体"/>
          <w:b/>
          <w:sz w:val="32"/>
          <w:szCs w:val="32"/>
        </w:rPr>
        <w:t>二、2024年部门预算收支及增减变化情况说明</w:t>
      </w:r>
    </w:p>
    <w:p>
      <w:pPr>
        <w:spacing w:line="560" w:lineRule="exact"/>
        <w:ind w:firstLine="643" w:firstLineChars="200"/>
        <w:outlineLvl w:val="0"/>
        <w:rPr>
          <w:rFonts w:ascii="仿宋" w:hAnsi="仿宋" w:eastAsia="仿宋"/>
          <w:b/>
          <w:sz w:val="32"/>
          <w:szCs w:val="32"/>
        </w:rPr>
      </w:pPr>
      <w:r>
        <w:rPr>
          <w:rFonts w:hint="eastAsia" w:ascii="仿宋" w:hAnsi="仿宋" w:eastAsia="仿宋" w:cs="黑体"/>
          <w:b/>
          <w:sz w:val="32"/>
          <w:szCs w:val="32"/>
        </w:rPr>
        <w:t>（一）收入预算说明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2024年北京市西城区德胜社区卫生服务中心总收入安排183,335,114.95元。其中：一般公共预算拨款收入69,401,180.85元（包括提前下达专项转移支付项目资金</w:t>
      </w:r>
      <w:r>
        <w:rPr>
          <w:rFonts w:hint="eastAsia" w:ascii="仿宋_GB2312" w:hAnsi="Batang" w:eastAsia="仿宋_GB2312"/>
          <w:color w:val="000000" w:themeColor="text1"/>
          <w:sz w:val="32"/>
          <w:szCs w:val="32"/>
          <w14:textFill>
            <w14:solidFill>
              <w14:schemeClr w14:val="tx1"/>
            </w14:solidFill>
          </w14:textFill>
        </w:rPr>
        <w:t>1,155,211.00</w:t>
      </w:r>
      <w:r>
        <w:rPr>
          <w:rFonts w:hint="eastAsia" w:ascii="仿宋" w:hAnsi="仿宋" w:eastAsia="仿宋"/>
          <w:sz w:val="32"/>
          <w:szCs w:val="32"/>
        </w:rPr>
        <w:t>元），财政专户资金安排0.00元，其他资金113,933,934.10元。</w:t>
      </w:r>
      <w:r>
        <w:rPr>
          <w:rFonts w:ascii="仿宋" w:hAnsi="仿宋" w:eastAsia="仿宋"/>
          <w:sz w:val="32"/>
          <w:szCs w:val="32"/>
        </w:rPr>
        <w:t>20</w:t>
      </w:r>
      <w:r>
        <w:rPr>
          <w:rFonts w:hint="eastAsia" w:ascii="仿宋" w:hAnsi="仿宋" w:eastAsia="仿宋"/>
          <w:sz w:val="32"/>
          <w:szCs w:val="32"/>
        </w:rPr>
        <w:t>23年收入预算193,283,035.73元。2024年收入预算比</w:t>
      </w:r>
      <w:r>
        <w:rPr>
          <w:rFonts w:ascii="仿宋" w:hAnsi="仿宋" w:eastAsia="仿宋"/>
          <w:sz w:val="32"/>
          <w:szCs w:val="32"/>
        </w:rPr>
        <w:t>20</w:t>
      </w:r>
      <w:r>
        <w:rPr>
          <w:rFonts w:hint="eastAsia" w:ascii="仿宋" w:hAnsi="仿宋" w:eastAsia="仿宋"/>
          <w:sz w:val="32"/>
          <w:szCs w:val="32"/>
        </w:rPr>
        <w:t>23年减少9,947,920.78元，下降5.15%。我单位不涉及政府性基金收入预算。</w:t>
      </w:r>
      <w:r>
        <w:rPr>
          <w:rFonts w:ascii="仿宋" w:hAnsi="仿宋" w:eastAsia="仿宋"/>
          <w:sz w:val="32"/>
          <w:szCs w:val="32"/>
        </w:rPr>
        <w:tab/>
      </w:r>
    </w:p>
    <w:p>
      <w:pPr>
        <w:spacing w:line="560" w:lineRule="exact"/>
        <w:ind w:firstLine="643" w:firstLineChars="200"/>
        <w:rPr>
          <w:rFonts w:ascii="仿宋" w:hAnsi="仿宋" w:eastAsia="仿宋"/>
          <w:b/>
          <w:sz w:val="32"/>
          <w:szCs w:val="32"/>
        </w:rPr>
      </w:pPr>
      <w:r>
        <w:rPr>
          <w:rFonts w:hint="eastAsia" w:ascii="仿宋" w:hAnsi="仿宋" w:eastAsia="仿宋" w:cs="黑体"/>
          <w:b/>
          <w:sz w:val="32"/>
          <w:szCs w:val="32"/>
        </w:rPr>
        <w:t>（二）支出预算说明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2024年支出预算183,335,114.95元，其中：预算内资金安排69,401,180.85元（包括提前下达专项转移支付项目资金</w:t>
      </w:r>
      <w:r>
        <w:rPr>
          <w:rFonts w:hint="eastAsia" w:ascii="仿宋_GB2312" w:hAnsi="Batang" w:eastAsia="仿宋_GB2312"/>
          <w:color w:val="000000" w:themeColor="text1"/>
          <w:sz w:val="32"/>
          <w:szCs w:val="32"/>
          <w14:textFill>
            <w14:solidFill>
              <w14:schemeClr w14:val="tx1"/>
            </w14:solidFill>
          </w14:textFill>
        </w:rPr>
        <w:t>1,155,211.00</w:t>
      </w:r>
      <w:r>
        <w:rPr>
          <w:rFonts w:hint="eastAsia" w:ascii="仿宋" w:hAnsi="仿宋" w:eastAsia="仿宋"/>
          <w:sz w:val="32"/>
          <w:szCs w:val="32"/>
        </w:rPr>
        <w:t>元），比2023年69,206,776.66元增加了194,404.19元，增长0.28%，主要原因为人员经费增加</w:t>
      </w:r>
      <w:r>
        <w:rPr>
          <w:rFonts w:hint="eastAsia" w:ascii="仿宋" w:hAnsi="仿宋" w:eastAsia="仿宋"/>
          <w:sz w:val="32"/>
          <w:szCs w:val="32"/>
          <w:lang w:eastAsia="zh-CN"/>
        </w:rPr>
        <w:t>。</w:t>
      </w:r>
      <w:r>
        <w:rPr>
          <w:rFonts w:hint="eastAsia" w:ascii="仿宋" w:hAnsi="仿宋" w:eastAsia="仿宋"/>
          <w:sz w:val="32"/>
          <w:szCs w:val="32"/>
        </w:rPr>
        <w:t>财政专户资金安排0.00元，与2023年持平，其他资金安排113,933,934.10元，比2023年预算124,076,259.07元减少10,142,324.97元，下降8.17%，主要原因为本年药品支出减少了100万元。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三、主要支出情况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2024年支出预算183,335,114.95元，按用途划分：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1.基本支出预算56,338,069.65元，其中财政拨款基本支出52,310,885.55元。主要包括在职、离退休人员支出、个人和家庭补助支出、离退休公用支出。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2.项目支出预算126,997,045.30元，其中财政拨款项目支出16,997,045.30元。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主要项目是①药品卫材款②社区卫生工作者经费③业务用房租④运行管理经费</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5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⑤</w:t>
      </w:r>
      <w:r>
        <w:rPr>
          <w:rFonts w:ascii="仿宋" w:hAnsi="仿宋" w:eastAsia="仿宋"/>
          <w:sz w:val="32"/>
          <w:szCs w:val="32"/>
        </w:rPr>
        <w:fldChar w:fldCharType="end"/>
      </w:r>
      <w:r>
        <w:rPr>
          <w:rFonts w:hint="eastAsia" w:ascii="仿宋" w:hAnsi="仿宋" w:eastAsia="仿宋"/>
          <w:sz w:val="32"/>
          <w:szCs w:val="32"/>
        </w:rPr>
        <w:t>医疗设备购置</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6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⑥</w:t>
      </w:r>
      <w:r>
        <w:rPr>
          <w:rFonts w:ascii="仿宋" w:hAnsi="仿宋" w:eastAsia="仿宋"/>
          <w:sz w:val="32"/>
          <w:szCs w:val="32"/>
        </w:rPr>
        <w:fldChar w:fldCharType="end"/>
      </w:r>
      <w:r>
        <w:rPr>
          <w:rFonts w:hint="eastAsia" w:ascii="仿宋" w:hAnsi="仿宋" w:eastAsia="仿宋"/>
          <w:sz w:val="32"/>
          <w:szCs w:val="32"/>
        </w:rPr>
        <w:t>安防监控设备⑦中心及站防水、安全改造项目</w:t>
      </w:r>
      <w:r>
        <w:rPr>
          <w:rFonts w:hint="eastAsia"/>
        </w:rPr>
        <w:t xml:space="preserve"> </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8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⑧</w:t>
      </w:r>
      <w:r>
        <w:rPr>
          <w:rFonts w:ascii="仿宋" w:hAnsi="仿宋" w:eastAsia="仿宋"/>
          <w:sz w:val="32"/>
          <w:szCs w:val="32"/>
        </w:rPr>
        <w:fldChar w:fldCharType="end"/>
      </w:r>
      <w:r>
        <w:rPr>
          <w:rFonts w:hint="eastAsia" w:ascii="仿宋" w:hAnsi="仿宋" w:eastAsia="仿宋"/>
          <w:sz w:val="32"/>
          <w:szCs w:val="32"/>
        </w:rPr>
        <w:t>提前下达转移支付资金。</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四、部门“三公”经费财政拨款预算说明</w:t>
      </w:r>
    </w:p>
    <w:p>
      <w:pPr>
        <w:spacing w:line="560" w:lineRule="exact"/>
        <w:ind w:firstLine="643" w:firstLineChars="200"/>
        <w:rPr>
          <w:rFonts w:ascii="仿宋" w:hAnsi="仿宋" w:eastAsia="仿宋"/>
          <w:b/>
          <w:sz w:val="32"/>
          <w:szCs w:val="32"/>
        </w:rPr>
      </w:pPr>
      <w:r>
        <w:rPr>
          <w:rFonts w:hint="eastAsia" w:ascii="仿宋" w:hAnsi="仿宋" w:eastAsia="仿宋"/>
          <w:b/>
          <w:sz w:val="32"/>
          <w:szCs w:val="32"/>
        </w:rPr>
        <w:t>（一）“三公”经费的单位范围</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北京市西城区德胜社区卫生服务中心预算中因公出国（境）费、公务接待费、公务用车购置及运行维护费的支出单位包括1个所属单位，即北京市西城区德胜社区卫生服务中心。</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（二）</w:t>
      </w:r>
      <w:r>
        <w:rPr>
          <w:rFonts w:ascii="仿宋" w:hAnsi="仿宋" w:eastAsia="仿宋"/>
          <w:b/>
          <w:color w:val="000000"/>
          <w:sz w:val="32"/>
          <w:szCs w:val="32"/>
        </w:rPr>
        <w:t>“</w:t>
      </w:r>
      <w:r>
        <w:rPr>
          <w:rFonts w:hint="eastAsia" w:ascii="仿宋" w:hAnsi="仿宋" w:eastAsia="仿宋"/>
          <w:b/>
          <w:color w:val="000000"/>
          <w:sz w:val="32"/>
          <w:szCs w:val="32"/>
        </w:rPr>
        <w:t>三公</w:t>
      </w:r>
      <w:r>
        <w:rPr>
          <w:rFonts w:ascii="仿宋" w:hAnsi="仿宋" w:eastAsia="仿宋"/>
          <w:b/>
          <w:color w:val="000000"/>
          <w:sz w:val="32"/>
          <w:szCs w:val="32"/>
        </w:rPr>
        <w:t>”</w:t>
      </w:r>
      <w:r>
        <w:rPr>
          <w:rFonts w:hint="eastAsia" w:ascii="仿宋" w:hAnsi="仿宋" w:eastAsia="仿宋"/>
          <w:b/>
          <w:color w:val="000000"/>
          <w:sz w:val="32"/>
          <w:szCs w:val="32"/>
        </w:rPr>
        <w:t>经费预算财政</w:t>
      </w:r>
      <w:r>
        <w:rPr>
          <w:rFonts w:ascii="仿宋" w:hAnsi="仿宋" w:eastAsia="仿宋"/>
          <w:b/>
          <w:color w:val="000000"/>
          <w:sz w:val="32"/>
          <w:szCs w:val="32"/>
        </w:rPr>
        <w:t>拨款情况</w:t>
      </w:r>
      <w:r>
        <w:rPr>
          <w:rFonts w:hint="eastAsia"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2024年部门预算“三公”经费财政拨款预算安排0.00元，其中：</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1.因公出国（境）费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2024年财政拨款预算安排0.00元。2024年财政拨款预算安排0.00元，与2023年持平，</w:t>
      </w:r>
      <w:r>
        <w:rPr>
          <w:rFonts w:hint="eastAsia" w:ascii="仿宋" w:hAnsi="仿宋" w:eastAsia="仿宋" w:cs="宋体"/>
          <w:sz w:val="32"/>
          <w:szCs w:val="32"/>
        </w:rPr>
        <w:t>近两年均未有此类财政拨款预算安排。</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2.公务接待费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2024年财政拨款预算安排0.00元。2024年财政拨款预算安排0.00元，与2023年持平，近两年均未有此类财政拨款预算安排。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3.公务用车购置及运行维护费</w:t>
      </w:r>
    </w:p>
    <w:p>
      <w:pPr>
        <w:spacing w:line="560" w:lineRule="exact"/>
        <w:ind w:firstLine="640" w:firstLineChars="200"/>
        <w:rPr>
          <w:rFonts w:ascii="仿宋" w:hAnsi="仿宋" w:eastAsia="仿宋"/>
          <w:color w:val="auto"/>
          <w:sz w:val="32"/>
          <w:szCs w:val="32"/>
          <w:shd w:val="clear" w:color="auto" w:fill="auto"/>
        </w:rPr>
      </w:pPr>
      <w:r>
        <w:rPr>
          <w:rFonts w:hint="eastAsia" w:ascii="仿宋" w:hAnsi="仿宋" w:eastAsia="仿宋"/>
          <w:color w:val="auto"/>
          <w:sz w:val="32"/>
          <w:szCs w:val="32"/>
          <w:shd w:val="clear" w:color="auto" w:fill="auto"/>
        </w:rPr>
        <w:t>2024年公务用车数量为0辆，财政拨款预算安排0.00元，其中公务用车购置费0.00元，公务用车运行维护费0.00元。2024年财政拨款预算安排0.00元，2023年公务用车数量为1辆，财政拨款预算安排27</w:t>
      </w:r>
      <w:r>
        <w:rPr>
          <w:rFonts w:hint="eastAsia" w:ascii="仿宋" w:hAnsi="仿宋" w:eastAsia="仿宋"/>
          <w:color w:val="auto"/>
          <w:sz w:val="32"/>
          <w:szCs w:val="32"/>
          <w:shd w:val="clear" w:color="auto" w:fill="auto"/>
          <w:lang w:val="en-US" w:eastAsia="zh-CN"/>
        </w:rPr>
        <w:t>5,000</w:t>
      </w:r>
      <w:r>
        <w:rPr>
          <w:rFonts w:hint="eastAsia" w:ascii="仿宋" w:hAnsi="仿宋" w:eastAsia="仿宋"/>
          <w:color w:val="auto"/>
          <w:sz w:val="32"/>
          <w:szCs w:val="32"/>
          <w:shd w:val="clear" w:color="auto" w:fill="auto"/>
        </w:rPr>
        <w:t>元，其中公务用车购置费27</w:t>
      </w:r>
      <w:r>
        <w:rPr>
          <w:rFonts w:hint="eastAsia" w:ascii="仿宋" w:hAnsi="仿宋" w:eastAsia="仿宋"/>
          <w:color w:val="auto"/>
          <w:sz w:val="32"/>
          <w:szCs w:val="32"/>
          <w:shd w:val="clear" w:color="auto" w:fill="auto"/>
          <w:lang w:val="en-US" w:eastAsia="zh-CN"/>
        </w:rPr>
        <w:t>5,000</w:t>
      </w:r>
      <w:r>
        <w:rPr>
          <w:rFonts w:hint="eastAsia" w:ascii="仿宋" w:hAnsi="仿宋" w:eastAsia="仿宋"/>
          <w:color w:val="auto"/>
          <w:sz w:val="32"/>
          <w:szCs w:val="32"/>
          <w:shd w:val="clear" w:color="auto" w:fill="auto"/>
        </w:rPr>
        <w:t>元。2024年比2023年公务用车购置费比下降。</w:t>
      </w:r>
    </w:p>
    <w:p>
      <w:pPr>
        <w:spacing w:line="560" w:lineRule="exact"/>
        <w:ind w:firstLine="643" w:firstLineChars="200"/>
        <w:rPr>
          <w:rFonts w:ascii="仿宋" w:hAnsi="仿宋" w:eastAsia="仿宋"/>
          <w:b/>
          <w:bCs/>
          <w:color w:val="auto"/>
          <w:sz w:val="32"/>
          <w:szCs w:val="32"/>
        </w:rPr>
      </w:pPr>
      <w:r>
        <w:rPr>
          <w:rFonts w:hint="eastAsia" w:ascii="仿宋" w:hAnsi="仿宋" w:eastAsia="仿宋"/>
          <w:b/>
          <w:bCs/>
          <w:color w:val="auto"/>
          <w:sz w:val="32"/>
          <w:szCs w:val="32"/>
        </w:rPr>
        <w:t>五、其他情况说明</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 xml:space="preserve">（一）机关运行经费说明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 2024年本部门（含下属单位）履行一般行政事业管理职能、维持机关运行，用于一般公共预算安排的行政运行经费，合计0.00元。与2023年持平，近两年均未有此类财政拨款预算安排。</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（二）政府采购预算说明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2024年涉及政府采购项目3个，预算资金1</w:t>
      </w:r>
      <w:r>
        <w:rPr>
          <w:rFonts w:hint="eastAsia" w:ascii="仿宋" w:hAnsi="仿宋" w:eastAsia="仿宋"/>
          <w:sz w:val="32"/>
          <w:szCs w:val="32"/>
          <w:lang w:val="en-US" w:eastAsia="zh-CN"/>
        </w:rPr>
        <w:t>,</w:t>
      </w:r>
      <w:r>
        <w:rPr>
          <w:rFonts w:hint="eastAsia" w:ascii="仿宋" w:hAnsi="仿宋" w:eastAsia="仿宋"/>
          <w:sz w:val="32"/>
          <w:szCs w:val="32"/>
        </w:rPr>
        <w:t>828</w:t>
      </w:r>
      <w:r>
        <w:rPr>
          <w:rFonts w:hint="eastAsia" w:ascii="仿宋" w:hAnsi="仿宋" w:eastAsia="仿宋"/>
          <w:sz w:val="32"/>
          <w:szCs w:val="32"/>
          <w:lang w:val="en-US" w:eastAsia="zh-CN"/>
        </w:rPr>
        <w:t>,</w:t>
      </w:r>
      <w:r>
        <w:rPr>
          <w:rFonts w:hint="eastAsia" w:ascii="仿宋" w:hAnsi="仿宋" w:eastAsia="仿宋"/>
          <w:sz w:val="32"/>
          <w:szCs w:val="32"/>
        </w:rPr>
        <w:t>6</w:t>
      </w:r>
      <w:r>
        <w:rPr>
          <w:rFonts w:hint="eastAsia" w:ascii="仿宋" w:hAnsi="仿宋" w:eastAsia="仿宋"/>
          <w:sz w:val="32"/>
          <w:szCs w:val="32"/>
          <w:lang w:val="en-US" w:eastAsia="zh-CN"/>
        </w:rPr>
        <w:t>00.00</w:t>
      </w:r>
      <w:r>
        <w:rPr>
          <w:rFonts w:hint="eastAsia" w:ascii="仿宋" w:hAnsi="仿宋" w:eastAsia="仿宋"/>
          <w:sz w:val="32"/>
          <w:szCs w:val="32"/>
        </w:rPr>
        <w:t>元，其中预算内资金1</w:t>
      </w:r>
      <w:r>
        <w:rPr>
          <w:rFonts w:hint="eastAsia" w:ascii="仿宋" w:hAnsi="仿宋" w:eastAsia="仿宋"/>
          <w:sz w:val="32"/>
          <w:szCs w:val="32"/>
          <w:lang w:val="en-US" w:eastAsia="zh-CN"/>
        </w:rPr>
        <w:t>,</w:t>
      </w:r>
      <w:r>
        <w:rPr>
          <w:rFonts w:hint="eastAsia" w:ascii="仿宋" w:hAnsi="仿宋" w:eastAsia="仿宋"/>
          <w:sz w:val="32"/>
          <w:szCs w:val="32"/>
        </w:rPr>
        <w:t>828</w:t>
      </w:r>
      <w:r>
        <w:rPr>
          <w:rFonts w:hint="eastAsia" w:ascii="仿宋" w:hAnsi="仿宋" w:eastAsia="仿宋"/>
          <w:sz w:val="32"/>
          <w:szCs w:val="32"/>
          <w:lang w:val="en-US" w:eastAsia="zh-CN"/>
        </w:rPr>
        <w:t>,</w:t>
      </w:r>
      <w:r>
        <w:rPr>
          <w:rFonts w:hint="eastAsia" w:ascii="仿宋" w:hAnsi="仿宋" w:eastAsia="仿宋"/>
          <w:sz w:val="32"/>
          <w:szCs w:val="32"/>
        </w:rPr>
        <w:t>6</w:t>
      </w:r>
      <w:r>
        <w:rPr>
          <w:rFonts w:hint="eastAsia" w:ascii="仿宋" w:hAnsi="仿宋" w:eastAsia="仿宋"/>
          <w:sz w:val="32"/>
          <w:szCs w:val="32"/>
          <w:lang w:val="en-US" w:eastAsia="zh-CN"/>
        </w:rPr>
        <w:t>00.00</w:t>
      </w:r>
      <w:r>
        <w:rPr>
          <w:rFonts w:hint="eastAsia" w:ascii="仿宋" w:hAnsi="仿宋" w:eastAsia="仿宋"/>
          <w:sz w:val="32"/>
          <w:szCs w:val="32"/>
        </w:rPr>
        <w:t>元、其他资金0.00元。</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（三）</w:t>
      </w:r>
      <w:r>
        <w:rPr>
          <w:rFonts w:hint="eastAsia" w:ascii="仿宋" w:hAnsi="仿宋" w:eastAsia="仿宋"/>
          <w:b/>
          <w:color w:val="000000"/>
          <w:sz w:val="32"/>
          <w:szCs w:val="32"/>
        </w:rPr>
        <w:t>政府购买服务</w:t>
      </w:r>
      <w:r>
        <w:rPr>
          <w:rFonts w:ascii="仿宋" w:hAnsi="仿宋" w:eastAsia="仿宋"/>
          <w:b/>
          <w:color w:val="000000"/>
          <w:sz w:val="32"/>
          <w:szCs w:val="32"/>
        </w:rPr>
        <w:t>预算说明</w:t>
      </w:r>
    </w:p>
    <w:p>
      <w:pPr>
        <w:spacing w:line="520" w:lineRule="exact"/>
        <w:ind w:firstLine="640" w:firstLineChars="200"/>
        <w:rPr>
          <w:rFonts w:ascii="仿宋_GB2312" w:hAnsi="黑体" w:eastAsia="仿宋_GB2312"/>
          <w:sz w:val="32"/>
          <w:szCs w:val="32"/>
        </w:rPr>
      </w:pPr>
      <w:r>
        <w:rPr>
          <w:rFonts w:hint="eastAsia" w:ascii="仿宋_GB2312" w:hAnsi="黑体" w:eastAsia="仿宋_GB2312"/>
          <w:sz w:val="32"/>
          <w:szCs w:val="32"/>
        </w:rPr>
        <w:t>2024年涉及政府购买服务项目0个，预算资金0.00元。</w:t>
      </w:r>
    </w:p>
    <w:p>
      <w:pPr>
        <w:numPr>
          <w:ilvl w:val="0"/>
          <w:numId w:val="1"/>
        </w:numPr>
        <w:spacing w:line="560" w:lineRule="exact"/>
        <w:ind w:firstLine="645"/>
        <w:rPr>
          <w:rFonts w:ascii="仿宋" w:hAnsi="仿宋" w:eastAsia="仿宋"/>
          <w:b/>
          <w:color w:val="000000"/>
          <w:sz w:val="32"/>
          <w:szCs w:val="32"/>
        </w:rPr>
      </w:pPr>
      <w:r>
        <w:rPr>
          <w:rFonts w:hint="eastAsia" w:ascii="仿宋" w:hAnsi="仿宋" w:eastAsia="仿宋"/>
          <w:b/>
          <w:color w:val="000000"/>
          <w:sz w:val="32"/>
          <w:szCs w:val="32"/>
        </w:rPr>
        <w:t>绩效目标情况及绩效评价结果</w:t>
      </w:r>
      <w:r>
        <w:rPr>
          <w:rFonts w:ascii="仿宋" w:hAnsi="仿宋" w:eastAsia="仿宋"/>
          <w:b/>
          <w:color w:val="000000"/>
          <w:sz w:val="32"/>
          <w:szCs w:val="32"/>
        </w:rPr>
        <w:t>说明</w:t>
      </w:r>
    </w:p>
    <w:p>
      <w:pPr>
        <w:spacing w:line="52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本单位2023年预算内项目12个，金额16,997,045.30元。其中：100万以上的项目4个，金额14,681,924.46元。具体项目绩效目标见附表。</w:t>
      </w:r>
    </w:p>
    <w:p>
      <w:pPr>
        <w:spacing w:line="560" w:lineRule="exact"/>
        <w:ind w:firstLine="640" w:firstLineChars="200"/>
        <w:rPr>
          <w:rFonts w:ascii="仿宋" w:hAnsi="仿宋" w:eastAsia="仿宋"/>
          <w:b/>
          <w:color w:val="000000"/>
          <w:sz w:val="32"/>
          <w:szCs w:val="32"/>
        </w:rPr>
      </w:pPr>
      <w:r>
        <w:rPr>
          <w:rFonts w:hint="eastAsia" w:ascii="仿宋_GB2312" w:eastAsia="仿宋_GB2312"/>
          <w:color w:val="000000"/>
          <w:sz w:val="32"/>
          <w:szCs w:val="32"/>
        </w:rPr>
        <w:t>本单位按照区卫健委要求进行了部门及100万元以上项目的绩效评价自评工作，并就本单位2023年全年财政收支整体情况做出分析说明报卫健委备案。</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（五）国有</w:t>
      </w:r>
      <w:r>
        <w:rPr>
          <w:rFonts w:ascii="仿宋" w:hAnsi="仿宋" w:eastAsia="仿宋"/>
          <w:b/>
          <w:color w:val="000000"/>
          <w:sz w:val="32"/>
          <w:szCs w:val="32"/>
        </w:rPr>
        <w:t>资本经营预算财政拨款</w:t>
      </w:r>
      <w:r>
        <w:rPr>
          <w:rFonts w:hint="eastAsia" w:ascii="仿宋" w:hAnsi="仿宋" w:eastAsia="仿宋"/>
          <w:b/>
          <w:color w:val="000000"/>
          <w:sz w:val="32"/>
          <w:szCs w:val="32"/>
        </w:rPr>
        <w:t>情况</w:t>
      </w:r>
      <w:r>
        <w:rPr>
          <w:rFonts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本单位单位无此类信息。</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（六）国有资产</w:t>
      </w:r>
      <w:r>
        <w:rPr>
          <w:rFonts w:ascii="仿宋" w:hAnsi="仿宋" w:eastAsia="仿宋"/>
          <w:b/>
          <w:color w:val="000000"/>
          <w:sz w:val="32"/>
          <w:szCs w:val="32"/>
        </w:rPr>
        <w:t>占用情况说明</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截止2023年底，我单位固定资产总额43,516,789.60元，其中：车辆2台，342</w:t>
      </w:r>
      <w:r>
        <w:rPr>
          <w:rFonts w:hint="eastAsia" w:ascii="仿宋" w:hAnsi="仿宋" w:eastAsia="仿宋" w:cs="黑体"/>
          <w:sz w:val="32"/>
          <w:szCs w:val="32"/>
          <w:lang w:val="en-US" w:eastAsia="zh-CN"/>
        </w:rPr>
        <w:t>,</w:t>
      </w:r>
      <w:r>
        <w:rPr>
          <w:rFonts w:hint="eastAsia" w:ascii="仿宋" w:hAnsi="仿宋" w:eastAsia="仿宋" w:cs="黑体"/>
          <w:sz w:val="32"/>
          <w:szCs w:val="32"/>
        </w:rPr>
        <w:t>5</w:t>
      </w:r>
      <w:r>
        <w:rPr>
          <w:rFonts w:hint="eastAsia" w:ascii="仿宋" w:hAnsi="仿宋" w:eastAsia="仿宋" w:cs="黑体"/>
          <w:sz w:val="32"/>
          <w:szCs w:val="32"/>
          <w:lang w:val="en-US" w:eastAsia="zh-CN"/>
        </w:rPr>
        <w:t>00</w:t>
      </w:r>
      <w:r>
        <w:rPr>
          <w:rFonts w:hint="eastAsia" w:ascii="仿宋" w:hAnsi="仿宋" w:eastAsia="仿宋" w:cs="黑体"/>
          <w:sz w:val="32"/>
          <w:szCs w:val="32"/>
        </w:rPr>
        <w:t>元；单位价值50万元以上的通用设备4台（套）、2</w:t>
      </w:r>
      <w:r>
        <w:rPr>
          <w:rFonts w:hint="eastAsia" w:ascii="仿宋" w:hAnsi="仿宋" w:eastAsia="仿宋" w:cs="黑体"/>
          <w:sz w:val="32"/>
          <w:szCs w:val="32"/>
          <w:lang w:val="en-US" w:eastAsia="zh-CN"/>
        </w:rPr>
        <w:t>,</w:t>
      </w:r>
      <w:r>
        <w:rPr>
          <w:rFonts w:hint="eastAsia" w:ascii="仿宋" w:hAnsi="仿宋" w:eastAsia="仿宋" w:cs="黑体"/>
          <w:sz w:val="32"/>
          <w:szCs w:val="32"/>
        </w:rPr>
        <w:t>992</w:t>
      </w:r>
      <w:r>
        <w:rPr>
          <w:rFonts w:hint="eastAsia" w:ascii="仿宋" w:hAnsi="仿宋" w:eastAsia="仿宋" w:cs="黑体"/>
          <w:sz w:val="32"/>
          <w:szCs w:val="32"/>
          <w:lang w:val="en-US" w:eastAsia="zh-CN"/>
        </w:rPr>
        <w:t>,</w:t>
      </w:r>
      <w:r>
        <w:rPr>
          <w:rFonts w:hint="eastAsia" w:ascii="仿宋" w:hAnsi="仿宋" w:eastAsia="仿宋" w:cs="黑体"/>
          <w:sz w:val="32"/>
          <w:szCs w:val="32"/>
        </w:rPr>
        <w:t>1</w:t>
      </w:r>
      <w:r>
        <w:rPr>
          <w:rFonts w:hint="eastAsia" w:ascii="仿宋" w:hAnsi="仿宋" w:eastAsia="仿宋" w:cs="黑体"/>
          <w:sz w:val="32"/>
          <w:szCs w:val="32"/>
          <w:lang w:val="en-US" w:eastAsia="zh-CN"/>
        </w:rPr>
        <w:t>00</w:t>
      </w:r>
      <w:r>
        <w:rPr>
          <w:rFonts w:hint="eastAsia" w:ascii="仿宋" w:hAnsi="仿宋" w:eastAsia="仿宋" w:cs="黑体"/>
          <w:sz w:val="32"/>
          <w:szCs w:val="32"/>
        </w:rPr>
        <w:t>元，单位价值100万元以上的专用设备5台（套）、9</w:t>
      </w:r>
      <w:r>
        <w:rPr>
          <w:rFonts w:hint="eastAsia" w:ascii="仿宋" w:hAnsi="仿宋" w:eastAsia="仿宋" w:cs="黑体"/>
          <w:sz w:val="32"/>
          <w:szCs w:val="32"/>
          <w:lang w:val="en-US" w:eastAsia="zh-CN"/>
        </w:rPr>
        <w:t>,</w:t>
      </w:r>
      <w:r>
        <w:rPr>
          <w:rFonts w:hint="eastAsia" w:ascii="仿宋" w:hAnsi="仿宋" w:eastAsia="仿宋" w:cs="黑体"/>
          <w:sz w:val="32"/>
          <w:szCs w:val="32"/>
        </w:rPr>
        <w:t>396</w:t>
      </w:r>
      <w:r>
        <w:rPr>
          <w:rFonts w:hint="eastAsia" w:ascii="仿宋" w:hAnsi="仿宋" w:eastAsia="仿宋" w:cs="黑体"/>
          <w:sz w:val="32"/>
          <w:szCs w:val="32"/>
          <w:lang w:val="en-US" w:eastAsia="zh-CN"/>
        </w:rPr>
        <w:t>,</w:t>
      </w:r>
      <w:r>
        <w:rPr>
          <w:rFonts w:hint="eastAsia" w:ascii="仿宋" w:hAnsi="仿宋" w:eastAsia="仿宋" w:cs="黑体"/>
          <w:sz w:val="32"/>
          <w:szCs w:val="32"/>
        </w:rPr>
        <w:t>2</w:t>
      </w:r>
      <w:r>
        <w:rPr>
          <w:rFonts w:hint="eastAsia" w:ascii="仿宋" w:hAnsi="仿宋" w:eastAsia="仿宋" w:cs="黑体"/>
          <w:sz w:val="32"/>
          <w:szCs w:val="32"/>
          <w:lang w:val="en-US" w:eastAsia="zh-CN"/>
        </w:rPr>
        <w:t>00</w:t>
      </w:r>
      <w:r>
        <w:rPr>
          <w:rFonts w:hint="eastAsia" w:ascii="仿宋" w:hAnsi="仿宋" w:eastAsia="仿宋" w:cs="黑体"/>
          <w:sz w:val="32"/>
          <w:szCs w:val="32"/>
        </w:rPr>
        <w:t>元。</w:t>
      </w:r>
    </w:p>
    <w:p>
      <w:pPr>
        <w:spacing w:line="560" w:lineRule="exact"/>
        <w:ind w:firstLine="640" w:firstLineChars="200"/>
        <w:rPr>
          <w:rFonts w:ascii="仿宋" w:hAnsi="仿宋" w:eastAsia="仿宋"/>
          <w:color w:val="000000"/>
          <w:sz w:val="32"/>
          <w:szCs w:val="32"/>
        </w:rPr>
      </w:pPr>
      <w:r>
        <w:rPr>
          <w:rFonts w:hint="eastAsia" w:ascii="仿宋_GB2312" w:eastAsia="仿宋_GB2312"/>
          <w:color w:val="000000"/>
          <w:sz w:val="32"/>
          <w:szCs w:val="32"/>
        </w:rPr>
        <w:t>2024部门财政预算：安排购置车辆0台</w:t>
      </w:r>
      <w:r>
        <w:rPr>
          <w:rFonts w:ascii="仿宋_GB2312" w:eastAsia="仿宋_GB2312"/>
          <w:color w:val="000000"/>
          <w:sz w:val="32"/>
          <w:szCs w:val="32"/>
        </w:rPr>
        <w:t>，</w:t>
      </w:r>
      <w:r>
        <w:rPr>
          <w:rFonts w:hint="eastAsia" w:ascii="仿宋_GB2312" w:eastAsia="仿宋_GB2312"/>
          <w:color w:val="000000"/>
          <w:sz w:val="32"/>
          <w:szCs w:val="32"/>
        </w:rPr>
        <w:t>0元；安排购置单位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rPr>
        <w:t>0台（套）、0元，安排购置单位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rPr>
        <w:t>0台（套）、0元。</w:t>
      </w:r>
    </w:p>
    <w:p>
      <w:pPr>
        <w:spacing w:line="560" w:lineRule="exact"/>
        <w:ind w:firstLine="640" w:firstLineChars="200"/>
        <w:rPr>
          <w:rFonts w:ascii="仿宋" w:hAnsi="仿宋" w:eastAsia="仿宋" w:cs="黑体"/>
          <w:b/>
          <w:sz w:val="32"/>
          <w:szCs w:val="32"/>
        </w:rPr>
      </w:pPr>
      <w:r>
        <w:rPr>
          <w:rFonts w:hint="eastAsia" w:ascii="黑体" w:hAnsi="黑体" w:eastAsia="黑体"/>
          <w:color w:val="000000"/>
          <w:sz w:val="32"/>
          <w:szCs w:val="32"/>
        </w:rPr>
        <w:t>六</w:t>
      </w:r>
      <w:r>
        <w:rPr>
          <w:rFonts w:ascii="黑体" w:hAnsi="黑体" w:eastAsia="黑体"/>
          <w:color w:val="000000"/>
          <w:sz w:val="32"/>
          <w:szCs w:val="32"/>
        </w:rPr>
        <w:t>、名称</w:t>
      </w:r>
      <w:r>
        <w:rPr>
          <w:rFonts w:hint="eastAsia" w:ascii="黑体" w:hAnsi="黑体" w:eastAsia="黑体"/>
          <w:color w:val="000000"/>
          <w:sz w:val="32"/>
          <w:szCs w:val="32"/>
        </w:rPr>
        <w:t>解释</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1.财政拨款收入：指单位本年度从财政部门取得的财政拨款。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11.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288208"/>
    <w:multiLevelType w:val="singleLevel"/>
    <w:tmpl w:val="C828820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58B8"/>
    <w:rsid w:val="0001227E"/>
    <w:rsid w:val="00012C72"/>
    <w:rsid w:val="000167C3"/>
    <w:rsid w:val="0002050C"/>
    <w:rsid w:val="00026274"/>
    <w:rsid w:val="000353C0"/>
    <w:rsid w:val="0004262E"/>
    <w:rsid w:val="000511C6"/>
    <w:rsid w:val="00056670"/>
    <w:rsid w:val="00057EEC"/>
    <w:rsid w:val="00065B5B"/>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120"/>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2C40"/>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D2B61"/>
    <w:rsid w:val="001E5233"/>
    <w:rsid w:val="001F1781"/>
    <w:rsid w:val="001F1FD3"/>
    <w:rsid w:val="001F273F"/>
    <w:rsid w:val="002065E4"/>
    <w:rsid w:val="00211D0F"/>
    <w:rsid w:val="00217B15"/>
    <w:rsid w:val="00227281"/>
    <w:rsid w:val="00241441"/>
    <w:rsid w:val="00250786"/>
    <w:rsid w:val="00250FDF"/>
    <w:rsid w:val="00255063"/>
    <w:rsid w:val="002558E2"/>
    <w:rsid w:val="0026309F"/>
    <w:rsid w:val="00267491"/>
    <w:rsid w:val="00270632"/>
    <w:rsid w:val="002719F2"/>
    <w:rsid w:val="00280CF3"/>
    <w:rsid w:val="002811F4"/>
    <w:rsid w:val="00283D3A"/>
    <w:rsid w:val="0028413B"/>
    <w:rsid w:val="002A2B58"/>
    <w:rsid w:val="002B17F3"/>
    <w:rsid w:val="002B3338"/>
    <w:rsid w:val="002B4111"/>
    <w:rsid w:val="002B5116"/>
    <w:rsid w:val="002C1F0C"/>
    <w:rsid w:val="002C588B"/>
    <w:rsid w:val="002C71A7"/>
    <w:rsid w:val="002E5154"/>
    <w:rsid w:val="002F6533"/>
    <w:rsid w:val="00311BB0"/>
    <w:rsid w:val="00314A03"/>
    <w:rsid w:val="00320F05"/>
    <w:rsid w:val="00322C9C"/>
    <w:rsid w:val="0033077C"/>
    <w:rsid w:val="00335EEA"/>
    <w:rsid w:val="00340FF6"/>
    <w:rsid w:val="00357824"/>
    <w:rsid w:val="00387203"/>
    <w:rsid w:val="00392B75"/>
    <w:rsid w:val="003A1916"/>
    <w:rsid w:val="003A2C49"/>
    <w:rsid w:val="003A3985"/>
    <w:rsid w:val="003A5284"/>
    <w:rsid w:val="003B1306"/>
    <w:rsid w:val="003B51BF"/>
    <w:rsid w:val="003B55BA"/>
    <w:rsid w:val="003C1EF9"/>
    <w:rsid w:val="003D2E89"/>
    <w:rsid w:val="003D3090"/>
    <w:rsid w:val="003D6133"/>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C60"/>
    <w:rsid w:val="004B0F13"/>
    <w:rsid w:val="004B20A3"/>
    <w:rsid w:val="004B4EA7"/>
    <w:rsid w:val="004D05D9"/>
    <w:rsid w:val="004D0E98"/>
    <w:rsid w:val="004D684F"/>
    <w:rsid w:val="004E1935"/>
    <w:rsid w:val="004E1D04"/>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537D"/>
    <w:rsid w:val="00622F47"/>
    <w:rsid w:val="00623023"/>
    <w:rsid w:val="006406A8"/>
    <w:rsid w:val="00642CB2"/>
    <w:rsid w:val="00654E82"/>
    <w:rsid w:val="006620E8"/>
    <w:rsid w:val="00662A53"/>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38AC"/>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439F"/>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47661"/>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AE6B59"/>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E0FF0"/>
    <w:rsid w:val="00CF1FAE"/>
    <w:rsid w:val="00CF26CF"/>
    <w:rsid w:val="00CF661E"/>
    <w:rsid w:val="00D007A3"/>
    <w:rsid w:val="00D01610"/>
    <w:rsid w:val="00D01EA4"/>
    <w:rsid w:val="00D143F0"/>
    <w:rsid w:val="00D1731F"/>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C023F"/>
    <w:rsid w:val="00DC268E"/>
    <w:rsid w:val="00DD13EF"/>
    <w:rsid w:val="00DD456D"/>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37887"/>
    <w:rsid w:val="00E528D8"/>
    <w:rsid w:val="00E542E0"/>
    <w:rsid w:val="00E54BAA"/>
    <w:rsid w:val="00E56223"/>
    <w:rsid w:val="00E655E1"/>
    <w:rsid w:val="00E65FAA"/>
    <w:rsid w:val="00E677CE"/>
    <w:rsid w:val="00E82710"/>
    <w:rsid w:val="00E8403E"/>
    <w:rsid w:val="00E92BDF"/>
    <w:rsid w:val="00E96444"/>
    <w:rsid w:val="00EB1182"/>
    <w:rsid w:val="00EB2080"/>
    <w:rsid w:val="00EC02CF"/>
    <w:rsid w:val="00ED39CA"/>
    <w:rsid w:val="00EF2A79"/>
    <w:rsid w:val="00F05D86"/>
    <w:rsid w:val="00F07A99"/>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32F3656"/>
    <w:rsid w:val="03DB0463"/>
    <w:rsid w:val="051E41C8"/>
    <w:rsid w:val="054A3CED"/>
    <w:rsid w:val="05FD7607"/>
    <w:rsid w:val="06893A80"/>
    <w:rsid w:val="0C177D52"/>
    <w:rsid w:val="0C181CAE"/>
    <w:rsid w:val="0ECC68CE"/>
    <w:rsid w:val="104C33A3"/>
    <w:rsid w:val="106C0520"/>
    <w:rsid w:val="112C7220"/>
    <w:rsid w:val="11530CF6"/>
    <w:rsid w:val="12572530"/>
    <w:rsid w:val="13157DC8"/>
    <w:rsid w:val="131A6C84"/>
    <w:rsid w:val="13641DE6"/>
    <w:rsid w:val="13D80B3D"/>
    <w:rsid w:val="13E939B7"/>
    <w:rsid w:val="153F6CB5"/>
    <w:rsid w:val="15FF7757"/>
    <w:rsid w:val="17DA12D2"/>
    <w:rsid w:val="19B91048"/>
    <w:rsid w:val="1A8F73E9"/>
    <w:rsid w:val="1B2A4390"/>
    <w:rsid w:val="1BAE58EF"/>
    <w:rsid w:val="1CE47F87"/>
    <w:rsid w:val="1DA05B87"/>
    <w:rsid w:val="1FF743D5"/>
    <w:rsid w:val="201C74F7"/>
    <w:rsid w:val="20A025BC"/>
    <w:rsid w:val="216D72AA"/>
    <w:rsid w:val="23A32647"/>
    <w:rsid w:val="23E01B43"/>
    <w:rsid w:val="245D0DB9"/>
    <w:rsid w:val="246C633F"/>
    <w:rsid w:val="27AC1FAB"/>
    <w:rsid w:val="27C802AA"/>
    <w:rsid w:val="28A111F5"/>
    <w:rsid w:val="291B4CF8"/>
    <w:rsid w:val="29BF7FAB"/>
    <w:rsid w:val="2A457CD4"/>
    <w:rsid w:val="2A6B222C"/>
    <w:rsid w:val="2A876B7C"/>
    <w:rsid w:val="2B2A5724"/>
    <w:rsid w:val="2B511184"/>
    <w:rsid w:val="2D122CD5"/>
    <w:rsid w:val="2DCA590E"/>
    <w:rsid w:val="2F166005"/>
    <w:rsid w:val="2FEF1151"/>
    <w:rsid w:val="300F6B6C"/>
    <w:rsid w:val="303F6434"/>
    <w:rsid w:val="312D679A"/>
    <w:rsid w:val="319318C7"/>
    <w:rsid w:val="31A15322"/>
    <w:rsid w:val="336D43AB"/>
    <w:rsid w:val="35311694"/>
    <w:rsid w:val="36310E6F"/>
    <w:rsid w:val="372A49A2"/>
    <w:rsid w:val="37B40872"/>
    <w:rsid w:val="37BE7C45"/>
    <w:rsid w:val="38025DDF"/>
    <w:rsid w:val="38627A4E"/>
    <w:rsid w:val="38C26778"/>
    <w:rsid w:val="38C72BA7"/>
    <w:rsid w:val="3AC10893"/>
    <w:rsid w:val="3B954A17"/>
    <w:rsid w:val="3B9C3807"/>
    <w:rsid w:val="3C501F8B"/>
    <w:rsid w:val="3F5D30F0"/>
    <w:rsid w:val="41A15A05"/>
    <w:rsid w:val="42B423F4"/>
    <w:rsid w:val="445E2DD1"/>
    <w:rsid w:val="45154331"/>
    <w:rsid w:val="45CD63E8"/>
    <w:rsid w:val="45D6630B"/>
    <w:rsid w:val="460B077A"/>
    <w:rsid w:val="466C3649"/>
    <w:rsid w:val="47A95455"/>
    <w:rsid w:val="47E0378B"/>
    <w:rsid w:val="48CF7632"/>
    <w:rsid w:val="494024A9"/>
    <w:rsid w:val="49494E88"/>
    <w:rsid w:val="49770381"/>
    <w:rsid w:val="49F516A4"/>
    <w:rsid w:val="4AC9232A"/>
    <w:rsid w:val="4B2C6923"/>
    <w:rsid w:val="4BA25C08"/>
    <w:rsid w:val="4C176054"/>
    <w:rsid w:val="4D137CE0"/>
    <w:rsid w:val="4D4F17B0"/>
    <w:rsid w:val="4D8678A0"/>
    <w:rsid w:val="4E236C1E"/>
    <w:rsid w:val="4F3F5F9A"/>
    <w:rsid w:val="4F7A5D7F"/>
    <w:rsid w:val="503D2A66"/>
    <w:rsid w:val="50751D45"/>
    <w:rsid w:val="5185587F"/>
    <w:rsid w:val="519651A1"/>
    <w:rsid w:val="51C468F0"/>
    <w:rsid w:val="52A126CF"/>
    <w:rsid w:val="52B15C56"/>
    <w:rsid w:val="531407D4"/>
    <w:rsid w:val="53A478D6"/>
    <w:rsid w:val="54664F7C"/>
    <w:rsid w:val="56014104"/>
    <w:rsid w:val="575E1D67"/>
    <w:rsid w:val="5A8F59B4"/>
    <w:rsid w:val="5B1056AA"/>
    <w:rsid w:val="5C4D63ED"/>
    <w:rsid w:val="5F0E69D6"/>
    <w:rsid w:val="5F3D30EA"/>
    <w:rsid w:val="5F6F27AC"/>
    <w:rsid w:val="603E1C05"/>
    <w:rsid w:val="62FA28A0"/>
    <w:rsid w:val="64486AE9"/>
    <w:rsid w:val="645F5BB7"/>
    <w:rsid w:val="650844D2"/>
    <w:rsid w:val="65297EDF"/>
    <w:rsid w:val="658724D4"/>
    <w:rsid w:val="65A27595"/>
    <w:rsid w:val="6718791C"/>
    <w:rsid w:val="67F03937"/>
    <w:rsid w:val="686E4068"/>
    <w:rsid w:val="69B37CD9"/>
    <w:rsid w:val="6A797494"/>
    <w:rsid w:val="6B107F5A"/>
    <w:rsid w:val="6B2570B3"/>
    <w:rsid w:val="6C2C6016"/>
    <w:rsid w:val="6DCE7F2F"/>
    <w:rsid w:val="6DE85500"/>
    <w:rsid w:val="6ECC4636"/>
    <w:rsid w:val="6F1261C5"/>
    <w:rsid w:val="6F5F4F5C"/>
    <w:rsid w:val="71F91D6A"/>
    <w:rsid w:val="72E317E0"/>
    <w:rsid w:val="72EA021F"/>
    <w:rsid w:val="74A679AF"/>
    <w:rsid w:val="75446B1D"/>
    <w:rsid w:val="755252F6"/>
    <w:rsid w:val="7585347A"/>
    <w:rsid w:val="766544D4"/>
    <w:rsid w:val="77C11E0B"/>
    <w:rsid w:val="78E30574"/>
    <w:rsid w:val="78E87210"/>
    <w:rsid w:val="79547495"/>
    <w:rsid w:val="7A44431E"/>
    <w:rsid w:val="7A6842F0"/>
    <w:rsid w:val="7AD82479"/>
    <w:rsid w:val="7BBC6913"/>
    <w:rsid w:val="7BD652C0"/>
    <w:rsid w:val="7D3D0956"/>
    <w:rsid w:val="7DDE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2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unhideWhenUsed/>
    <w:qFormat/>
    <w:uiPriority w:val="99"/>
    <w:rPr>
      <w:color w:val="800080"/>
      <w:u w:val="single"/>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customStyle="1" w:styleId="1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9">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3">
    <w:name w:val="批注框文本 Char"/>
    <w:basedOn w:val="7"/>
    <w:link w:val="2"/>
    <w:semiHidden/>
    <w:qFormat/>
    <w:uiPriority w:val="99"/>
    <w:rPr>
      <w:rFonts w:ascii="Times New Roman" w:hAnsi="Times New Roman" w:eastAsia="宋体" w:cs="Times New Roman"/>
      <w:sz w:val="18"/>
      <w:szCs w:val="18"/>
    </w:rPr>
  </w:style>
  <w:style w:type="paragraph" w:customStyle="1" w:styleId="24">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1">
    <w:name w:val="font1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05A1A-B84A-4C13-9C5D-556897D0EFFD}">
  <ds:schemaRefs/>
</ds:datastoreItem>
</file>

<file path=docProps/app.xml><?xml version="1.0" encoding="utf-8"?>
<Properties xmlns="http://schemas.openxmlformats.org/officeDocument/2006/extended-properties" xmlns:vt="http://schemas.openxmlformats.org/officeDocument/2006/docPropsVTypes">
  <Template>Normal.dotm</Template>
  <Company>CXN.oem</Company>
  <Pages>8</Pages>
  <Words>550</Words>
  <Characters>3135</Characters>
  <Lines>26</Lines>
  <Paragraphs>7</Paragraphs>
  <TotalTime>2</TotalTime>
  <ScaleCrop>false</ScaleCrop>
  <LinksUpToDate>false</LinksUpToDate>
  <CharactersWithSpaces>3678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徐历</cp:lastModifiedBy>
  <cp:lastPrinted>2021-02-01T01:43:00Z</cp:lastPrinted>
  <dcterms:modified xsi:type="dcterms:W3CDTF">2024-02-02T09:11:21Z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576A871D84C147CD81FE4B7A4552B656</vt:lpwstr>
  </property>
</Properties>
</file>