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楷体" w:eastAsia="方正小标宋简体" w:cs="楷体"/>
          <w:b/>
          <w:bCs/>
          <w:sz w:val="36"/>
          <w:szCs w:val="36"/>
          <w:highlight w:val="none"/>
          <w:lang w:val="en-US" w:eastAsia="zh-CN"/>
        </w:rPr>
      </w:pPr>
      <w:r>
        <w:rPr>
          <w:rFonts w:hint="eastAsia" w:ascii="方正小标宋简体" w:hAnsi="楷体" w:eastAsia="方正小标宋简体" w:cs="楷体"/>
          <w:b/>
          <w:bCs/>
          <w:sz w:val="36"/>
          <w:szCs w:val="36"/>
          <w:highlight w:val="none"/>
        </w:rPr>
        <w:t>北京市西城区</w:t>
      </w:r>
      <w:r>
        <w:rPr>
          <w:rFonts w:hint="eastAsia" w:ascii="方正小标宋简体" w:hAnsi="楷体" w:eastAsia="方正小标宋简体" w:cs="楷体"/>
          <w:b/>
          <w:bCs/>
          <w:sz w:val="36"/>
          <w:szCs w:val="36"/>
          <w:highlight w:val="none"/>
          <w:lang w:val="en-US" w:eastAsia="zh-CN"/>
        </w:rPr>
        <w:t>椿树社区卫生服务中心</w:t>
      </w:r>
    </w:p>
    <w:p>
      <w:pPr>
        <w:jc w:val="center"/>
        <w:rPr>
          <w:rFonts w:ascii="方正小标宋简体" w:hAnsi="楷体" w:eastAsia="方正小标宋简体" w:cs="楷体"/>
          <w:b/>
          <w:bCs/>
          <w:sz w:val="36"/>
          <w:szCs w:val="36"/>
          <w:highlight w:val="none"/>
        </w:rPr>
      </w:pPr>
      <w:r>
        <w:rPr>
          <w:rFonts w:hint="eastAsia" w:ascii="方正小标宋简体" w:hAnsi="楷体" w:eastAsia="方正小标宋简体" w:cs="楷体"/>
          <w:b/>
          <w:bCs/>
          <w:sz w:val="36"/>
          <w:szCs w:val="36"/>
          <w:highlight w:val="none"/>
          <w:lang w:eastAsia="zh-CN"/>
        </w:rPr>
        <w:t>202</w:t>
      </w:r>
      <w:r>
        <w:rPr>
          <w:rFonts w:hint="eastAsia" w:ascii="方正小标宋简体" w:hAnsi="楷体" w:eastAsia="方正小标宋简体" w:cs="楷体"/>
          <w:b/>
          <w:bCs/>
          <w:sz w:val="36"/>
          <w:szCs w:val="36"/>
          <w:highlight w:val="none"/>
          <w:lang w:val="en-US" w:eastAsia="zh-CN"/>
        </w:rPr>
        <w:t>4</w:t>
      </w:r>
      <w:r>
        <w:rPr>
          <w:rFonts w:hint="eastAsia" w:ascii="方正小标宋简体" w:hAnsi="楷体" w:eastAsia="方正小标宋简体" w:cs="楷体"/>
          <w:b/>
          <w:bCs/>
          <w:sz w:val="36"/>
          <w:szCs w:val="36"/>
          <w:highlight w:val="none"/>
        </w:rPr>
        <w:t>年预算编制说明</w:t>
      </w:r>
    </w:p>
    <w:p>
      <w:pPr>
        <w:spacing w:line="560" w:lineRule="exact"/>
        <w:jc w:val="center"/>
        <w:rPr>
          <w:rFonts w:ascii="仿宋_GB2312" w:eastAsia="仿宋_GB2312"/>
          <w:color w:val="000000"/>
          <w:sz w:val="32"/>
          <w:szCs w:val="32"/>
          <w:highlight w:val="none"/>
        </w:rPr>
      </w:pPr>
    </w:p>
    <w:p>
      <w:pPr>
        <w:spacing w:line="560" w:lineRule="exact"/>
        <w:jc w:val="center"/>
        <w:rPr>
          <w:rFonts w:ascii="仿宋_GB2312" w:eastAsia="仿宋_GB2312"/>
          <w:b/>
          <w:color w:val="000000"/>
          <w:sz w:val="32"/>
          <w:szCs w:val="32"/>
          <w:highlight w:val="none"/>
        </w:rPr>
      </w:pPr>
      <w:r>
        <w:rPr>
          <w:rFonts w:hint="eastAsia" w:ascii="仿宋_GB2312" w:eastAsia="仿宋_GB2312"/>
          <w:b/>
          <w:color w:val="000000"/>
          <w:sz w:val="32"/>
          <w:szCs w:val="32"/>
          <w:highlight w:val="none"/>
        </w:rPr>
        <w:t>目录</w:t>
      </w:r>
    </w:p>
    <w:p>
      <w:pPr>
        <w:spacing w:line="560" w:lineRule="exact"/>
        <w:jc w:val="center"/>
        <w:rPr>
          <w:rFonts w:ascii="仿宋_GB2312" w:eastAsia="仿宋_GB2312"/>
          <w:color w:val="000000"/>
          <w:sz w:val="32"/>
          <w:szCs w:val="32"/>
          <w:highlight w:val="none"/>
        </w:rPr>
      </w:pPr>
    </w:p>
    <w:p>
      <w:pPr>
        <w:spacing w:line="560" w:lineRule="exact"/>
        <w:ind w:firstLine="320" w:firstLineChars="100"/>
        <w:rPr>
          <w:rFonts w:ascii="仿宋_GB2312" w:eastAsia="仿宋_GB2312"/>
          <w:color w:val="000000"/>
          <w:sz w:val="32"/>
          <w:szCs w:val="32"/>
          <w:highlight w:val="none"/>
        </w:rPr>
      </w:pPr>
      <w:r>
        <w:rPr>
          <w:rFonts w:hint="eastAsia" w:ascii="仿宋_GB2312" w:eastAsia="仿宋_GB2312"/>
          <w:color w:val="000000"/>
          <w:sz w:val="32"/>
          <w:szCs w:val="32"/>
          <w:highlight w:val="none"/>
        </w:rPr>
        <w:t>第一部分</w:t>
      </w:r>
      <w:r>
        <w:rPr>
          <w:rFonts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年度</w:t>
      </w:r>
      <w:r>
        <w:rPr>
          <w:rFonts w:ascii="仿宋_GB2312" w:eastAsia="仿宋_GB2312"/>
          <w:color w:val="000000"/>
          <w:sz w:val="32"/>
          <w:szCs w:val="32"/>
          <w:highlight w:val="none"/>
        </w:rPr>
        <w:t>部门预算情况说明</w:t>
      </w:r>
    </w:p>
    <w:p>
      <w:pPr>
        <w:spacing w:line="560" w:lineRule="exact"/>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 xml:space="preserve"> </w:t>
      </w:r>
      <w:r>
        <w:rPr>
          <w:rFonts w:hint="eastAsia" w:ascii="仿宋_GB2312" w:eastAsia="仿宋_GB2312"/>
          <w:color w:val="000000"/>
          <w:sz w:val="32"/>
          <w:szCs w:val="32"/>
          <w:highlight w:val="none"/>
        </w:rPr>
        <w:t>一</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部门主要职责及机构设置情况</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（一）部门</w:t>
      </w:r>
      <w:r>
        <w:rPr>
          <w:rFonts w:ascii="仿宋_GB2312" w:eastAsia="仿宋_GB2312"/>
          <w:color w:val="000000"/>
          <w:sz w:val="32"/>
          <w:szCs w:val="32"/>
          <w:highlight w:val="none"/>
        </w:rPr>
        <w:t>机构设置、职责</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（二）人员</w:t>
      </w:r>
      <w:r>
        <w:rPr>
          <w:rFonts w:ascii="仿宋_GB2312" w:eastAsia="仿宋_GB2312"/>
          <w:color w:val="000000"/>
          <w:sz w:val="32"/>
          <w:szCs w:val="32"/>
          <w:highlight w:val="none"/>
        </w:rPr>
        <w:t>构成情况</w:t>
      </w:r>
    </w:p>
    <w:p>
      <w:pPr>
        <w:spacing w:line="560" w:lineRule="exact"/>
        <w:ind w:firstLine="800" w:firstLineChars="250"/>
        <w:rPr>
          <w:rFonts w:ascii="仿宋_GB2312" w:eastAsia="仿宋_GB2312"/>
          <w:color w:val="000000"/>
          <w:sz w:val="32"/>
          <w:szCs w:val="32"/>
          <w:highlight w:val="none"/>
        </w:rPr>
      </w:pPr>
      <w:r>
        <w:rPr>
          <w:rFonts w:hint="eastAsia" w:ascii="仿宋_GB2312" w:eastAsia="仿宋_GB2312"/>
          <w:color w:val="000000"/>
          <w:sz w:val="32"/>
          <w:szCs w:val="32"/>
          <w:highlight w:val="none"/>
        </w:rPr>
        <w:t>二</w:t>
      </w:r>
      <w:r>
        <w:rPr>
          <w:rFonts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年部门预算</w:t>
      </w:r>
      <w:r>
        <w:rPr>
          <w:rFonts w:ascii="仿宋_GB2312" w:eastAsia="仿宋_GB2312"/>
          <w:color w:val="000000"/>
          <w:sz w:val="32"/>
          <w:szCs w:val="32"/>
          <w:highlight w:val="none"/>
        </w:rPr>
        <w:t>收支</w:t>
      </w:r>
      <w:r>
        <w:rPr>
          <w:rFonts w:hint="eastAsia" w:ascii="仿宋_GB2312" w:eastAsia="仿宋_GB2312"/>
          <w:color w:val="000000"/>
          <w:sz w:val="32"/>
          <w:szCs w:val="32"/>
          <w:highlight w:val="none"/>
        </w:rPr>
        <w:t>及增减变化</w:t>
      </w:r>
      <w:r>
        <w:rPr>
          <w:rFonts w:ascii="仿宋_GB2312" w:eastAsia="仿宋_GB2312"/>
          <w:color w:val="000000"/>
          <w:sz w:val="32"/>
          <w:szCs w:val="32"/>
          <w:highlight w:val="none"/>
        </w:rPr>
        <w:t>情况</w:t>
      </w:r>
      <w:r>
        <w:rPr>
          <w:rFonts w:hint="eastAsia" w:ascii="仿宋_GB2312" w:eastAsia="仿宋_GB2312"/>
          <w:color w:val="000000"/>
          <w:sz w:val="32"/>
          <w:szCs w:val="32"/>
          <w:highlight w:val="none"/>
        </w:rPr>
        <w:t>说明</w:t>
      </w:r>
    </w:p>
    <w:p>
      <w:pPr>
        <w:spacing w:line="560" w:lineRule="exact"/>
        <w:ind w:firstLine="800" w:firstLineChars="250"/>
        <w:rPr>
          <w:rFonts w:ascii="仿宋_GB2312" w:eastAsia="仿宋_GB2312"/>
          <w:color w:val="000000"/>
          <w:sz w:val="32"/>
          <w:szCs w:val="32"/>
          <w:highlight w:val="none"/>
        </w:rPr>
      </w:pPr>
      <w:r>
        <w:rPr>
          <w:rFonts w:hint="eastAsia" w:ascii="仿宋_GB2312" w:eastAsia="仿宋_GB2312"/>
          <w:color w:val="000000"/>
          <w:sz w:val="32"/>
          <w:szCs w:val="32"/>
          <w:highlight w:val="none"/>
        </w:rPr>
        <w:t>（一）收入</w:t>
      </w:r>
      <w:r>
        <w:rPr>
          <w:rFonts w:ascii="仿宋_GB2312" w:eastAsia="仿宋_GB2312"/>
          <w:color w:val="000000"/>
          <w:sz w:val="32"/>
          <w:szCs w:val="32"/>
          <w:highlight w:val="none"/>
        </w:rPr>
        <w:t>预算说明</w:t>
      </w:r>
    </w:p>
    <w:p>
      <w:pPr>
        <w:spacing w:line="560" w:lineRule="exact"/>
        <w:ind w:firstLine="800" w:firstLineChars="250"/>
        <w:rPr>
          <w:rFonts w:ascii="仿宋_GB2312" w:eastAsia="仿宋_GB2312"/>
          <w:color w:val="000000"/>
          <w:sz w:val="32"/>
          <w:szCs w:val="32"/>
          <w:highlight w:val="none"/>
        </w:rPr>
      </w:pPr>
      <w:r>
        <w:rPr>
          <w:rFonts w:hint="eastAsia" w:ascii="仿宋_GB2312" w:eastAsia="仿宋_GB2312"/>
          <w:color w:val="000000"/>
          <w:sz w:val="32"/>
          <w:szCs w:val="32"/>
          <w:highlight w:val="none"/>
        </w:rPr>
        <w:t>（二）支出</w:t>
      </w:r>
      <w:r>
        <w:rPr>
          <w:rFonts w:ascii="仿宋_GB2312" w:eastAsia="仿宋_GB2312"/>
          <w:color w:val="000000"/>
          <w:sz w:val="32"/>
          <w:szCs w:val="32"/>
          <w:highlight w:val="none"/>
        </w:rPr>
        <w:t>预算说明</w:t>
      </w:r>
    </w:p>
    <w:p>
      <w:pPr>
        <w:spacing w:line="560" w:lineRule="exact"/>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 xml:space="preserve"> </w:t>
      </w:r>
      <w:r>
        <w:rPr>
          <w:rFonts w:hint="eastAsia" w:ascii="仿宋_GB2312" w:eastAsia="仿宋_GB2312"/>
          <w:color w:val="000000"/>
          <w:sz w:val="32"/>
          <w:szCs w:val="32"/>
          <w:highlight w:val="none"/>
        </w:rPr>
        <w:t>三</w:t>
      </w:r>
      <w:r>
        <w:rPr>
          <w:rFonts w:ascii="仿宋_GB2312" w:eastAsia="仿宋_GB2312"/>
          <w:color w:val="000000"/>
          <w:sz w:val="32"/>
          <w:szCs w:val="32"/>
          <w:highlight w:val="none"/>
        </w:rPr>
        <w:t>、主要支出情况</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 xml:space="preserve"> 四、</w:t>
      </w:r>
      <w:r>
        <w:rPr>
          <w:rFonts w:ascii="仿宋_GB2312" w:eastAsia="仿宋_GB2312"/>
          <w:color w:val="000000"/>
          <w:sz w:val="32"/>
          <w:szCs w:val="32"/>
          <w:highlight w:val="none"/>
        </w:rPr>
        <w:t>部门“</w:t>
      </w:r>
      <w:r>
        <w:rPr>
          <w:rFonts w:hint="eastAsia" w:ascii="仿宋_GB2312" w:eastAsia="仿宋_GB2312"/>
          <w:color w:val="000000"/>
          <w:sz w:val="32"/>
          <w:szCs w:val="32"/>
          <w:highlight w:val="none"/>
        </w:rPr>
        <w:t>三公</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经费</w:t>
      </w:r>
      <w:r>
        <w:rPr>
          <w:rFonts w:ascii="仿宋_GB2312" w:eastAsia="仿宋_GB2312"/>
          <w:color w:val="000000"/>
          <w:sz w:val="32"/>
          <w:szCs w:val="32"/>
          <w:highlight w:val="none"/>
        </w:rPr>
        <w:t>财政拨款预算说明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（一）</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三公</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经费的</w:t>
      </w:r>
      <w:r>
        <w:rPr>
          <w:rFonts w:ascii="仿宋_GB2312" w:eastAsia="仿宋_GB2312"/>
          <w:color w:val="000000"/>
          <w:sz w:val="32"/>
          <w:szCs w:val="32"/>
          <w:highlight w:val="none"/>
        </w:rPr>
        <w:t>单位</w:t>
      </w:r>
      <w:r>
        <w:rPr>
          <w:rFonts w:hint="eastAsia" w:ascii="仿宋_GB2312" w:eastAsia="仿宋_GB2312"/>
          <w:color w:val="000000"/>
          <w:sz w:val="32"/>
          <w:szCs w:val="32"/>
          <w:highlight w:val="none"/>
        </w:rPr>
        <w:t>范围</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（二）</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三公</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经费预算财政</w:t>
      </w:r>
      <w:r>
        <w:rPr>
          <w:rFonts w:ascii="仿宋_GB2312" w:eastAsia="仿宋_GB2312"/>
          <w:color w:val="000000"/>
          <w:sz w:val="32"/>
          <w:szCs w:val="32"/>
          <w:highlight w:val="none"/>
        </w:rPr>
        <w:t>拨款情况</w:t>
      </w:r>
      <w:r>
        <w:rPr>
          <w:rFonts w:hint="eastAsia" w:ascii="仿宋_GB2312" w:eastAsia="仿宋_GB2312"/>
          <w:color w:val="000000"/>
          <w:sz w:val="32"/>
          <w:szCs w:val="32"/>
          <w:highlight w:val="none"/>
        </w:rPr>
        <w:t>说明</w:t>
      </w:r>
    </w:p>
    <w:p>
      <w:pPr>
        <w:spacing w:line="560" w:lineRule="exact"/>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 xml:space="preserve"> </w:t>
      </w:r>
      <w:r>
        <w:rPr>
          <w:rFonts w:hint="eastAsia" w:ascii="仿宋_GB2312" w:eastAsia="仿宋_GB2312"/>
          <w:color w:val="000000"/>
          <w:sz w:val="32"/>
          <w:szCs w:val="32"/>
          <w:highlight w:val="none"/>
        </w:rPr>
        <w:t>五</w:t>
      </w:r>
      <w:r>
        <w:rPr>
          <w:rFonts w:ascii="仿宋_GB2312" w:eastAsia="仿宋_GB2312"/>
          <w:color w:val="000000"/>
          <w:sz w:val="32"/>
          <w:szCs w:val="32"/>
          <w:highlight w:val="none"/>
        </w:rPr>
        <w:t>、其他情况说明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（一）机</w:t>
      </w:r>
      <w:r>
        <w:rPr>
          <w:rFonts w:hint="eastAsia" w:ascii="仿宋_GB2312" w:eastAsia="仿宋_GB2312"/>
          <w:color w:val="000000"/>
          <w:sz w:val="32"/>
          <w:szCs w:val="32"/>
          <w:highlight w:val="none"/>
          <w:lang w:eastAsia="zh-CN"/>
        </w:rPr>
        <w:t>关</w:t>
      </w:r>
      <w:r>
        <w:rPr>
          <w:rFonts w:hint="eastAsia" w:ascii="仿宋_GB2312" w:eastAsia="仿宋_GB2312"/>
          <w:color w:val="000000"/>
          <w:sz w:val="32"/>
          <w:szCs w:val="32"/>
          <w:highlight w:val="none"/>
        </w:rPr>
        <w:t>运行经费</w:t>
      </w:r>
      <w:r>
        <w:rPr>
          <w:rFonts w:ascii="仿宋_GB2312" w:eastAsia="仿宋_GB2312"/>
          <w:color w:val="000000"/>
          <w:sz w:val="32"/>
          <w:szCs w:val="32"/>
          <w:highlight w:val="none"/>
        </w:rPr>
        <w:t>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（二）政府</w:t>
      </w:r>
      <w:r>
        <w:rPr>
          <w:rFonts w:ascii="仿宋_GB2312" w:eastAsia="仿宋_GB2312"/>
          <w:color w:val="000000"/>
          <w:sz w:val="32"/>
          <w:szCs w:val="32"/>
          <w:highlight w:val="none"/>
        </w:rPr>
        <w:t>采购预算说明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（三）政府购买服务</w:t>
      </w:r>
      <w:r>
        <w:rPr>
          <w:rFonts w:ascii="仿宋_GB2312" w:eastAsia="仿宋_GB2312"/>
          <w:color w:val="000000"/>
          <w:sz w:val="32"/>
          <w:szCs w:val="32"/>
          <w:highlight w:val="none"/>
        </w:rPr>
        <w:t>预算说明</w:t>
      </w:r>
    </w:p>
    <w:p>
      <w:pPr>
        <w:spacing w:line="56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（四）</w:t>
      </w:r>
      <w:r>
        <w:rPr>
          <w:rFonts w:ascii="仿宋_GB2312" w:eastAsia="仿宋_GB2312"/>
          <w:color w:val="000000"/>
          <w:sz w:val="32"/>
          <w:szCs w:val="32"/>
          <w:highlight w:val="none"/>
        </w:rPr>
        <w:t>绩效目标情况</w:t>
      </w:r>
      <w:r>
        <w:rPr>
          <w:rFonts w:hint="eastAsia" w:ascii="仿宋_GB2312" w:eastAsia="仿宋_GB2312"/>
          <w:color w:val="000000"/>
          <w:sz w:val="32"/>
          <w:szCs w:val="32"/>
          <w:highlight w:val="none"/>
        </w:rPr>
        <w:t>及绩效评价结果</w:t>
      </w:r>
      <w:r>
        <w:rPr>
          <w:rFonts w:ascii="仿宋_GB2312" w:eastAsia="仿宋_GB2312"/>
          <w:color w:val="000000"/>
          <w:sz w:val="32"/>
          <w:szCs w:val="32"/>
          <w:highlight w:val="none"/>
        </w:rPr>
        <w:t>说明</w:t>
      </w:r>
    </w:p>
    <w:p>
      <w:pPr>
        <w:spacing w:line="56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（五）国有</w:t>
      </w:r>
      <w:r>
        <w:rPr>
          <w:rFonts w:ascii="仿宋_GB2312" w:eastAsia="仿宋_GB2312"/>
          <w:color w:val="000000"/>
          <w:sz w:val="32"/>
          <w:szCs w:val="32"/>
          <w:highlight w:val="none"/>
        </w:rPr>
        <w:t>资本经营预算财政拨款</w:t>
      </w:r>
      <w:r>
        <w:rPr>
          <w:rFonts w:hint="eastAsia" w:ascii="仿宋_GB2312" w:eastAsia="仿宋_GB2312"/>
          <w:color w:val="000000"/>
          <w:sz w:val="32"/>
          <w:szCs w:val="32"/>
          <w:highlight w:val="none"/>
        </w:rPr>
        <w:t>情况</w:t>
      </w:r>
      <w:r>
        <w:rPr>
          <w:rFonts w:ascii="仿宋_GB2312" w:eastAsia="仿宋_GB2312"/>
          <w:color w:val="000000"/>
          <w:sz w:val="32"/>
          <w:szCs w:val="32"/>
          <w:highlight w:val="none"/>
        </w:rPr>
        <w:t>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（六）国有资产</w:t>
      </w:r>
      <w:r>
        <w:rPr>
          <w:rFonts w:ascii="仿宋_GB2312" w:eastAsia="仿宋_GB2312"/>
          <w:color w:val="000000"/>
          <w:sz w:val="32"/>
          <w:szCs w:val="32"/>
          <w:highlight w:val="none"/>
        </w:rPr>
        <w:t>占用情况说明</w:t>
      </w:r>
    </w:p>
    <w:p>
      <w:pPr>
        <w:spacing w:line="560" w:lineRule="exact"/>
        <w:ind w:firstLine="645"/>
        <w:rPr>
          <w:rFonts w:ascii="仿宋" w:hAnsi="仿宋" w:eastAsia="仿宋"/>
          <w:color w:val="000000"/>
          <w:sz w:val="32"/>
          <w:szCs w:val="32"/>
          <w:highlight w:val="none"/>
        </w:rPr>
      </w:pPr>
      <w:r>
        <w:rPr>
          <w:rFonts w:hint="eastAsia" w:ascii="仿宋" w:hAnsi="仿宋" w:eastAsia="仿宋"/>
          <w:color w:val="000000"/>
          <w:sz w:val="32"/>
          <w:szCs w:val="32"/>
          <w:highlight w:val="none"/>
        </w:rPr>
        <w:t>（七）重点行政事业性收费情况说明</w:t>
      </w:r>
    </w:p>
    <w:p>
      <w:pPr>
        <w:spacing w:line="560" w:lineRule="exact"/>
        <w:ind w:firstLine="640" w:firstLineChars="200"/>
        <w:rPr>
          <w:rFonts w:ascii="仿宋" w:hAnsi="仿宋" w:eastAsia="仿宋" w:cs="黑体"/>
          <w:sz w:val="32"/>
          <w:szCs w:val="32"/>
          <w:highlight w:val="none"/>
        </w:rPr>
      </w:pPr>
      <w:r>
        <w:rPr>
          <w:rFonts w:hint="eastAsia" w:ascii="仿宋" w:hAnsi="仿宋" w:eastAsia="仿宋" w:cs="黑体"/>
          <w:sz w:val="32"/>
          <w:szCs w:val="32"/>
          <w:highlight w:val="none"/>
        </w:rPr>
        <w:t>（八）政府性基金预算财政拨款情况说明</w:t>
      </w:r>
    </w:p>
    <w:p>
      <w:pPr>
        <w:spacing w:line="560" w:lineRule="exact"/>
        <w:ind w:firstLine="960" w:firstLineChars="300"/>
        <w:rPr>
          <w:rFonts w:ascii="仿宋_GB2312" w:eastAsia="仿宋_GB2312"/>
          <w:color w:val="000000"/>
          <w:sz w:val="32"/>
          <w:szCs w:val="32"/>
          <w:highlight w:val="none"/>
        </w:rPr>
      </w:pPr>
      <w:r>
        <w:rPr>
          <w:rFonts w:hint="eastAsia" w:ascii="仿宋_GB2312" w:eastAsia="仿宋_GB2312"/>
          <w:color w:val="000000"/>
          <w:sz w:val="32"/>
          <w:szCs w:val="32"/>
          <w:highlight w:val="none"/>
        </w:rPr>
        <w:t>六</w:t>
      </w:r>
      <w:r>
        <w:rPr>
          <w:rFonts w:ascii="仿宋_GB2312" w:eastAsia="仿宋_GB2312"/>
          <w:color w:val="000000"/>
          <w:sz w:val="32"/>
          <w:szCs w:val="32"/>
          <w:highlight w:val="none"/>
        </w:rPr>
        <w:t>、名称</w:t>
      </w:r>
      <w:r>
        <w:rPr>
          <w:rFonts w:hint="eastAsia" w:ascii="仿宋_GB2312" w:eastAsia="仿宋_GB2312"/>
          <w:color w:val="000000"/>
          <w:sz w:val="32"/>
          <w:szCs w:val="32"/>
          <w:highlight w:val="none"/>
        </w:rPr>
        <w:t>解释</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第二部分</w:t>
      </w:r>
      <w:r>
        <w:rPr>
          <w:rFonts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年度</w:t>
      </w:r>
      <w:r>
        <w:rPr>
          <w:rFonts w:ascii="仿宋_GB2312" w:eastAsia="仿宋_GB2312"/>
          <w:color w:val="000000"/>
          <w:sz w:val="32"/>
          <w:szCs w:val="32"/>
          <w:highlight w:val="none"/>
        </w:rPr>
        <w:t>部门预算</w:t>
      </w:r>
      <w:r>
        <w:rPr>
          <w:rFonts w:hint="eastAsia" w:ascii="仿宋_GB2312" w:eastAsia="仿宋_GB2312"/>
          <w:color w:val="000000"/>
          <w:sz w:val="32"/>
          <w:szCs w:val="32"/>
          <w:highlight w:val="none"/>
        </w:rPr>
        <w:t>表</w:t>
      </w:r>
    </w:p>
    <w:p>
      <w:pPr>
        <w:autoSpaceDE w:val="0"/>
        <w:autoSpaceDN w:val="0"/>
        <w:adjustRightInd w:val="0"/>
        <w:spacing w:line="560" w:lineRule="exact"/>
        <w:ind w:firstLine="1132" w:firstLineChars="354"/>
        <w:jc w:val="left"/>
        <w:rPr>
          <w:rFonts w:ascii="仿宋_GB2312" w:eastAsia="仿宋_GB2312" w:cs="宋体"/>
          <w:color w:val="000000"/>
          <w:kern w:val="0"/>
          <w:sz w:val="32"/>
          <w:szCs w:val="32"/>
          <w:highlight w:val="none"/>
          <w:lang w:val="zh-CN"/>
        </w:rPr>
      </w:pPr>
      <w:r>
        <w:rPr>
          <w:rFonts w:hint="eastAsia" w:ascii="仿宋_GB2312" w:eastAsia="仿宋_GB2312" w:cs="宋体"/>
          <w:color w:val="000000"/>
          <w:kern w:val="0"/>
          <w:sz w:val="32"/>
          <w:szCs w:val="32"/>
          <w:highlight w:val="none"/>
          <w:lang w:val="zh-CN"/>
        </w:rPr>
        <w:t xml:space="preserve">表一、收支总表 </w:t>
      </w:r>
    </w:p>
    <w:p>
      <w:pPr>
        <w:autoSpaceDE w:val="0"/>
        <w:autoSpaceDN w:val="0"/>
        <w:adjustRightInd w:val="0"/>
        <w:spacing w:line="560" w:lineRule="exact"/>
        <w:ind w:firstLine="1132" w:firstLineChars="354"/>
        <w:jc w:val="left"/>
        <w:rPr>
          <w:rFonts w:ascii="仿宋_GB2312" w:eastAsia="仿宋_GB2312"/>
          <w:sz w:val="32"/>
          <w:szCs w:val="32"/>
          <w:highlight w:val="none"/>
        </w:rPr>
      </w:pPr>
      <w:r>
        <w:rPr>
          <w:rFonts w:hint="eastAsia" w:ascii="仿宋_GB2312" w:eastAsia="仿宋_GB2312"/>
          <w:sz w:val="32"/>
          <w:szCs w:val="32"/>
          <w:highlight w:val="none"/>
        </w:rPr>
        <w:t>表二、收入总表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表三、支出</w:t>
      </w:r>
      <w:r>
        <w:rPr>
          <w:rFonts w:hint="eastAsia" w:ascii="仿宋_GB2312" w:eastAsia="仿宋_GB2312"/>
          <w:sz w:val="32"/>
          <w:szCs w:val="32"/>
          <w:highlight w:val="none"/>
          <w:lang w:eastAsia="zh-CN"/>
        </w:rPr>
        <w:t>预算总</w:t>
      </w:r>
      <w:r>
        <w:rPr>
          <w:rFonts w:hint="eastAsia" w:ascii="仿宋_GB2312" w:eastAsia="仿宋_GB2312"/>
          <w:sz w:val="32"/>
          <w:szCs w:val="32"/>
          <w:highlight w:val="none"/>
        </w:rPr>
        <w:t>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表四、项目支出表</w:t>
      </w:r>
    </w:p>
    <w:p>
      <w:pPr>
        <w:autoSpaceDE w:val="0"/>
        <w:autoSpaceDN w:val="0"/>
        <w:adjustRightInd w:val="0"/>
        <w:spacing w:line="560" w:lineRule="exact"/>
        <w:ind w:firstLine="1132" w:firstLineChars="354"/>
        <w:jc w:val="left"/>
        <w:rPr>
          <w:rFonts w:ascii="仿宋_GB2312" w:eastAsia="仿宋_GB2312"/>
          <w:sz w:val="32"/>
          <w:szCs w:val="32"/>
          <w:highlight w:val="none"/>
        </w:rPr>
      </w:pPr>
      <w:r>
        <w:rPr>
          <w:rFonts w:hint="eastAsia" w:ascii="仿宋_GB2312" w:eastAsia="仿宋_GB2312"/>
          <w:sz w:val="32"/>
          <w:szCs w:val="32"/>
          <w:highlight w:val="none"/>
        </w:rPr>
        <w:t>表</w:t>
      </w:r>
      <w:r>
        <w:rPr>
          <w:rFonts w:hint="eastAsia" w:ascii="仿宋_GB2312" w:eastAsia="仿宋_GB2312"/>
          <w:sz w:val="32"/>
          <w:szCs w:val="32"/>
          <w:highlight w:val="none"/>
          <w:lang w:eastAsia="zh-CN"/>
        </w:rPr>
        <w:t>五</w:t>
      </w:r>
      <w:r>
        <w:rPr>
          <w:rFonts w:hint="eastAsia" w:ascii="仿宋_GB2312" w:eastAsia="仿宋_GB2312"/>
          <w:sz w:val="32"/>
          <w:szCs w:val="32"/>
          <w:highlight w:val="none"/>
        </w:rPr>
        <w:t>、财政拨款收支预算总表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w:t>
      </w:r>
      <w:r>
        <w:rPr>
          <w:rFonts w:hint="eastAsia" w:ascii="仿宋_GB2312" w:eastAsia="仿宋_GB2312"/>
          <w:sz w:val="32"/>
          <w:szCs w:val="32"/>
          <w:highlight w:val="none"/>
          <w:lang w:eastAsia="zh-CN"/>
        </w:rPr>
        <w:t>六</w:t>
      </w:r>
      <w:r>
        <w:rPr>
          <w:rFonts w:hint="eastAsia" w:ascii="仿宋_GB2312" w:eastAsia="仿宋_GB2312"/>
          <w:sz w:val="32"/>
          <w:szCs w:val="32"/>
          <w:highlight w:val="none"/>
        </w:rPr>
        <w:t>、一般公共预算财政拨款支出表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表七、一般公共预算财政拨款基本支出表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表八、政府性基金预算财政拨款支出表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rPr>
      </w:pPr>
      <w:r>
        <w:rPr>
          <w:rFonts w:hint="eastAsia" w:ascii="仿宋_GB2312" w:eastAsia="仿宋_GB2312"/>
          <w:sz w:val="32"/>
          <w:szCs w:val="32"/>
          <w:highlight w:val="none"/>
          <w:lang w:eastAsia="zh-CN"/>
        </w:rPr>
        <w:t>表九、</w:t>
      </w:r>
      <w:r>
        <w:rPr>
          <w:rFonts w:hint="eastAsia" w:ascii="仿宋_GB2312" w:eastAsia="仿宋_GB2312"/>
          <w:sz w:val="32"/>
          <w:szCs w:val="32"/>
          <w:highlight w:val="none"/>
        </w:rPr>
        <w:t>国有资本经营预算财政拨款支出表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w:t>
      </w:r>
      <w:r>
        <w:rPr>
          <w:rFonts w:hint="eastAsia" w:ascii="仿宋_GB2312" w:eastAsia="仿宋_GB2312"/>
          <w:sz w:val="32"/>
          <w:szCs w:val="32"/>
          <w:highlight w:val="none"/>
          <w:lang w:eastAsia="zh-CN"/>
        </w:rPr>
        <w:t>十</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一般公共预算“三公”经费支出情况表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rPr>
      </w:pPr>
      <w:r>
        <w:rPr>
          <w:rFonts w:hint="eastAsia" w:ascii="仿宋_GB2312" w:eastAsia="仿宋_GB2312"/>
          <w:sz w:val="32"/>
          <w:szCs w:val="32"/>
          <w:highlight w:val="none"/>
          <w:lang w:eastAsia="zh-CN"/>
        </w:rPr>
        <w:t>表十一、</w:t>
      </w:r>
      <w:r>
        <w:rPr>
          <w:rFonts w:hint="eastAsia" w:ascii="仿宋_GB2312" w:eastAsia="仿宋_GB2312"/>
          <w:sz w:val="32"/>
          <w:szCs w:val="32"/>
          <w:highlight w:val="none"/>
        </w:rPr>
        <w:t>政府购买服务预算财政拨款明细表</w:t>
      </w:r>
    </w:p>
    <w:p>
      <w:pPr>
        <w:autoSpaceDE w:val="0"/>
        <w:autoSpaceDN w:val="0"/>
        <w:adjustRightInd w:val="0"/>
        <w:spacing w:line="560" w:lineRule="exact"/>
        <w:ind w:firstLine="1132" w:firstLineChars="354"/>
        <w:jc w:val="left"/>
        <w:rPr>
          <w:rFonts w:ascii="仿宋_GB2312" w:eastAsia="仿宋_GB2312"/>
          <w:sz w:val="32"/>
          <w:szCs w:val="32"/>
          <w:highlight w:val="none"/>
        </w:rPr>
      </w:pPr>
      <w:r>
        <w:rPr>
          <w:rFonts w:hint="eastAsia" w:ascii="仿宋_GB2312" w:eastAsia="仿宋_GB2312"/>
          <w:sz w:val="32"/>
          <w:szCs w:val="32"/>
          <w:highlight w:val="none"/>
        </w:rPr>
        <w:t>表十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、上级转移支付细化明细表</w:t>
      </w:r>
    </w:p>
    <w:p>
      <w:pPr>
        <w:autoSpaceDE w:val="0"/>
        <w:autoSpaceDN w:val="0"/>
        <w:adjustRightInd w:val="0"/>
        <w:spacing w:line="560" w:lineRule="exact"/>
        <w:ind w:firstLine="113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表十</w:t>
      </w:r>
      <w:r>
        <w:rPr>
          <w:rFonts w:hint="eastAsia" w:ascii="仿宋_GB2312" w:eastAsia="仿宋_GB2312"/>
          <w:sz w:val="32"/>
          <w:szCs w:val="32"/>
          <w:highlight w:val="none"/>
          <w:lang w:eastAsia="zh-CN"/>
        </w:rPr>
        <w:t>三</w:t>
      </w:r>
      <w:r>
        <w:rPr>
          <w:rFonts w:hint="eastAsia" w:ascii="仿宋_GB2312" w:eastAsia="仿宋_GB2312"/>
          <w:sz w:val="32"/>
          <w:szCs w:val="32"/>
          <w:highlight w:val="none"/>
        </w:rPr>
        <w:t>、项目支出绩效表</w:t>
      </w:r>
    </w:p>
    <w:p>
      <w:pPr>
        <w:spacing w:line="560" w:lineRule="exact"/>
        <w:ind w:firstLine="1132" w:firstLineChars="354"/>
        <w:rPr>
          <w:rFonts w:ascii="仿宋_GB2312" w:eastAsia="仿宋_GB2312"/>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hint="eastAsia" w:ascii="仿宋_GB2312" w:eastAsia="仿宋_GB2312"/>
          <w:color w:val="000000"/>
          <w:sz w:val="32"/>
          <w:szCs w:val="32"/>
          <w:highlight w:val="none"/>
        </w:rPr>
      </w:pPr>
    </w:p>
    <w:p>
      <w:pPr>
        <w:spacing w:line="560" w:lineRule="exact"/>
        <w:ind w:firstLine="960" w:firstLineChars="300"/>
        <w:rPr>
          <w:rFonts w:hint="eastAsia"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jc w:val="center"/>
        <w:rPr>
          <w:rFonts w:ascii="黑体" w:hAnsi="黑体" w:eastAsia="黑体"/>
          <w:b/>
          <w:color w:val="000000"/>
          <w:sz w:val="32"/>
          <w:szCs w:val="32"/>
          <w:highlight w:val="none"/>
        </w:rPr>
      </w:pPr>
      <w:r>
        <w:rPr>
          <w:rFonts w:hint="eastAsia" w:ascii="黑体" w:hAnsi="黑体" w:eastAsia="黑体"/>
          <w:b/>
          <w:color w:val="000000"/>
          <w:sz w:val="32"/>
          <w:szCs w:val="32"/>
          <w:highlight w:val="none"/>
        </w:rPr>
        <w:t>第一部分</w:t>
      </w:r>
      <w:r>
        <w:rPr>
          <w:rFonts w:ascii="黑体" w:hAnsi="黑体" w:eastAsia="黑体"/>
          <w:b/>
          <w:color w:val="000000"/>
          <w:sz w:val="32"/>
          <w:szCs w:val="32"/>
          <w:highlight w:val="none"/>
        </w:rPr>
        <w:t>、</w:t>
      </w:r>
      <w:r>
        <w:rPr>
          <w:rFonts w:hint="eastAsia" w:ascii="黑体" w:hAnsi="黑体" w:eastAsia="黑体"/>
          <w:b/>
          <w:color w:val="000000"/>
          <w:sz w:val="32"/>
          <w:szCs w:val="32"/>
          <w:highlight w:val="none"/>
          <w:lang w:eastAsia="zh-CN"/>
        </w:rPr>
        <w:t>202</w:t>
      </w:r>
      <w:r>
        <w:rPr>
          <w:rFonts w:hint="eastAsia" w:ascii="黑体" w:hAnsi="黑体" w:eastAsia="黑体"/>
          <w:b/>
          <w:color w:val="000000"/>
          <w:sz w:val="32"/>
          <w:szCs w:val="32"/>
          <w:highlight w:val="none"/>
          <w:lang w:val="en-US" w:eastAsia="zh-CN"/>
        </w:rPr>
        <w:t>4</w:t>
      </w:r>
      <w:r>
        <w:rPr>
          <w:rFonts w:hint="eastAsia" w:ascii="黑体" w:hAnsi="黑体" w:eastAsia="黑体"/>
          <w:b/>
          <w:color w:val="000000"/>
          <w:sz w:val="32"/>
          <w:szCs w:val="32"/>
          <w:highlight w:val="none"/>
        </w:rPr>
        <w:t>年度</w:t>
      </w:r>
      <w:r>
        <w:rPr>
          <w:rFonts w:ascii="黑体" w:hAnsi="黑体" w:eastAsia="黑体"/>
          <w:b/>
          <w:color w:val="000000"/>
          <w:sz w:val="32"/>
          <w:szCs w:val="32"/>
          <w:highlight w:val="none"/>
        </w:rPr>
        <w:t>部门预算情况说明</w:t>
      </w:r>
    </w:p>
    <w:p>
      <w:pPr>
        <w:ind w:firstLine="1767" w:firstLineChars="400"/>
        <w:rPr>
          <w:rFonts w:ascii="仿宋_GB2312" w:eastAsia="仿宋_GB2312"/>
          <w:b/>
          <w:bCs/>
          <w:sz w:val="44"/>
          <w:szCs w:val="44"/>
          <w:highlight w:val="none"/>
        </w:rPr>
      </w:pPr>
    </w:p>
    <w:p>
      <w:pPr>
        <w:spacing w:line="520" w:lineRule="exact"/>
        <w:ind w:firstLine="643" w:firstLineChars="200"/>
        <w:outlineLvl w:val="0"/>
        <w:rPr>
          <w:rFonts w:ascii="仿宋" w:hAnsi="仿宋" w:eastAsia="仿宋"/>
          <w:b/>
          <w:sz w:val="32"/>
          <w:szCs w:val="32"/>
          <w:highlight w:val="none"/>
        </w:rPr>
      </w:pPr>
      <w:r>
        <w:rPr>
          <w:rFonts w:hint="eastAsia" w:ascii="仿宋" w:hAnsi="仿宋" w:eastAsia="仿宋" w:cs="黑体"/>
          <w:b/>
          <w:sz w:val="32"/>
          <w:szCs w:val="32"/>
          <w:highlight w:val="none"/>
        </w:rPr>
        <w:t>一、部门主要职责及机构设置情况</w:t>
      </w:r>
    </w:p>
    <w:p>
      <w:pPr>
        <w:spacing w:line="520" w:lineRule="exact"/>
        <w:ind w:firstLine="708" w:firstLineChars="235"/>
        <w:rPr>
          <w:rFonts w:ascii="仿宋" w:hAnsi="仿宋" w:eastAsia="仿宋" w:cs="宋体"/>
          <w:b/>
          <w:bCs/>
          <w:sz w:val="30"/>
          <w:szCs w:val="30"/>
          <w:highlight w:val="none"/>
        </w:rPr>
      </w:pPr>
      <w:r>
        <w:rPr>
          <w:rFonts w:hint="eastAsia" w:ascii="仿宋" w:hAnsi="仿宋" w:eastAsia="仿宋" w:cs="宋体"/>
          <w:b/>
          <w:bCs/>
          <w:sz w:val="30"/>
          <w:szCs w:val="30"/>
          <w:highlight w:val="none"/>
        </w:rPr>
        <w:t>（一）部门机构设置、职责</w:t>
      </w:r>
    </w:p>
    <w:p>
      <w:pPr>
        <w:snapToGrid w:val="0"/>
        <w:spacing w:line="520" w:lineRule="exact"/>
        <w:ind w:firstLine="627" w:firstLineChars="196"/>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北京市西城区椿树社区卫生服务中心位于北京市西城区琉璃厂西街63号，毗邻琉璃厂古文化街</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交通便利，环境幽雅；中心建筑面积1761.12平方米，设有全科、急诊室、药房、检验影像科、心电B超、挂号收费、预防保健科、精防科、妇保、口腔科、中医科、椿树园社区卫生站、和平门社区卫生站等多个科室（魏染社区卫生服务站因面临拆迁无法续租已停诊）；中心构建了以健康管理部、绩效考核部、功能支持部为框架的社区卫生服务内部管理机构。</w:t>
      </w:r>
    </w:p>
    <w:p>
      <w:pPr>
        <w:snapToGrid w:val="0"/>
        <w:spacing w:line="520" w:lineRule="exact"/>
        <w:ind w:firstLine="627" w:firstLineChars="196"/>
        <w:rPr>
          <w:rFonts w:hint="eastAsia" w:ascii="仿宋_GB2312" w:eastAsia="仿宋_GB2312"/>
          <w:sz w:val="32"/>
          <w:szCs w:val="32"/>
          <w:highlight w:val="none"/>
        </w:rPr>
      </w:pPr>
      <w:r>
        <w:rPr>
          <w:rFonts w:hint="eastAsia" w:ascii="仿宋_GB2312" w:eastAsia="仿宋_GB2312"/>
          <w:sz w:val="32"/>
          <w:szCs w:val="32"/>
          <w:highlight w:val="none"/>
          <w:lang w:val="en-US" w:eastAsia="zh-CN"/>
        </w:rPr>
        <w:t>椿树社区卫生服务中心</w:t>
      </w:r>
      <w:r>
        <w:rPr>
          <w:rFonts w:hint="eastAsia" w:ascii="仿宋_GB2312" w:eastAsia="仿宋_GB2312"/>
          <w:sz w:val="32"/>
          <w:szCs w:val="32"/>
          <w:highlight w:val="none"/>
        </w:rPr>
        <w:t>的主要职责是：</w:t>
      </w:r>
    </w:p>
    <w:p>
      <w:pPr>
        <w:numPr>
          <w:ilvl w:val="0"/>
          <w:numId w:val="1"/>
        </w:numPr>
        <w:snapToGrid w:val="0"/>
        <w:spacing w:line="520" w:lineRule="exact"/>
        <w:ind w:firstLine="627" w:firstLineChars="196"/>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全科诊疗、双向转诊、出诊服务、院前急救、健康咨询、健康宣传讲座、慢病管理及预防保健、家庭保健员、参与医养结合等多项基本公共卫生服务工作。</w:t>
      </w:r>
    </w:p>
    <w:p>
      <w:pPr>
        <w:numPr>
          <w:ilvl w:val="0"/>
          <w:numId w:val="1"/>
        </w:numPr>
        <w:snapToGrid w:val="0"/>
        <w:spacing w:line="520" w:lineRule="exact"/>
        <w:ind w:firstLine="627" w:firstLineChars="196"/>
        <w:rPr>
          <w:rFonts w:hint="eastAsia" w:ascii="仿宋_GB2312" w:eastAsia="仿宋_GB2312"/>
          <w:sz w:val="32"/>
          <w:szCs w:val="32"/>
          <w:highlight w:val="none"/>
        </w:rPr>
      </w:pPr>
      <w:r>
        <w:rPr>
          <w:rFonts w:hint="eastAsia" w:ascii="仿宋_GB2312" w:eastAsia="仿宋_GB2312"/>
          <w:sz w:val="32"/>
          <w:szCs w:val="32"/>
          <w:highlight w:val="none"/>
          <w:lang w:val="en-US" w:eastAsia="zh-CN"/>
        </w:rPr>
        <w:t>疫情防控、预检分诊、及参与核酸检测、疫苗注射工作。</w:t>
      </w:r>
    </w:p>
    <w:p>
      <w:pPr>
        <w:snapToGrid w:val="0"/>
        <w:spacing w:line="520" w:lineRule="exact"/>
        <w:ind w:firstLine="627" w:firstLineChars="196"/>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免费为辖区居民建立健康档案、定期免费体检；对行动不便的孤寡老人及慢性病人送医送药上门；建立家庭病床，实施家庭护理，为辖区居民提供方便、快捷、周到、满意的社区卫生服务。</w:t>
      </w:r>
    </w:p>
    <w:p>
      <w:pPr>
        <w:numPr>
          <w:ilvl w:val="0"/>
          <w:numId w:val="2"/>
        </w:numPr>
        <w:snapToGrid w:val="0"/>
        <w:spacing w:line="520" w:lineRule="exact"/>
        <w:ind w:firstLine="627" w:firstLineChars="196"/>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参与并完成健康精准扶贫对口帮扶工作。</w:t>
      </w:r>
    </w:p>
    <w:p>
      <w:pPr>
        <w:numPr>
          <w:ilvl w:val="0"/>
          <w:numId w:val="2"/>
        </w:numPr>
        <w:snapToGrid w:val="0"/>
        <w:spacing w:line="520" w:lineRule="exact"/>
        <w:ind w:firstLine="627" w:firstLineChars="196"/>
        <w:rPr>
          <w:rFonts w:hint="eastAsia" w:ascii="仿宋_GB2312" w:eastAsia="仿宋_GB2312"/>
          <w:sz w:val="32"/>
          <w:szCs w:val="32"/>
          <w:highlight w:val="none"/>
        </w:rPr>
      </w:pPr>
      <w:r>
        <w:rPr>
          <w:rFonts w:hint="eastAsia" w:ascii="仿宋_GB2312" w:eastAsia="仿宋_GB2312"/>
          <w:sz w:val="32"/>
          <w:szCs w:val="32"/>
          <w:highlight w:val="none"/>
        </w:rPr>
        <w:t>完成区</w:t>
      </w:r>
      <w:r>
        <w:rPr>
          <w:rFonts w:hint="eastAsia" w:ascii="仿宋_GB2312" w:eastAsia="仿宋_GB2312"/>
          <w:sz w:val="32"/>
          <w:szCs w:val="32"/>
          <w:highlight w:val="none"/>
          <w:lang w:val="en-US" w:eastAsia="zh-CN"/>
        </w:rPr>
        <w:t>卫健委、街道等上级部门、相关单位</w:t>
      </w:r>
      <w:r>
        <w:rPr>
          <w:rFonts w:hint="eastAsia" w:ascii="仿宋_GB2312" w:eastAsia="仿宋_GB2312"/>
          <w:sz w:val="32"/>
          <w:szCs w:val="32"/>
          <w:highlight w:val="none"/>
        </w:rPr>
        <w:t>交办的其他任务。</w:t>
      </w:r>
    </w:p>
    <w:p>
      <w:pPr>
        <w:spacing w:line="560" w:lineRule="exact"/>
        <w:ind w:firstLine="200"/>
        <w:rPr>
          <w:rFonts w:ascii="仿宋" w:hAnsi="仿宋" w:eastAsia="仿宋" w:cs="楷体_GB2312"/>
          <w:b/>
          <w:bCs/>
          <w:sz w:val="32"/>
          <w:szCs w:val="32"/>
          <w:highlight w:val="none"/>
        </w:rPr>
      </w:pPr>
      <w:r>
        <w:rPr>
          <w:rFonts w:ascii="仿宋" w:hAnsi="仿宋" w:eastAsia="仿宋" w:cs="楷体_GB2312"/>
          <w:b/>
          <w:bCs/>
          <w:sz w:val="32"/>
          <w:szCs w:val="32"/>
          <w:highlight w:val="none"/>
        </w:rPr>
        <w:t xml:space="preserve">   </w:t>
      </w:r>
      <w:r>
        <w:rPr>
          <w:rFonts w:hint="eastAsia" w:ascii="仿宋" w:hAnsi="仿宋" w:eastAsia="仿宋" w:cs="楷体_GB2312"/>
          <w:b/>
          <w:bCs/>
          <w:sz w:val="32"/>
          <w:szCs w:val="32"/>
          <w:highlight w:val="none"/>
        </w:rPr>
        <w:t>（二）人员构成情况</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纳入北京市西城区</w:t>
      </w:r>
      <w:r>
        <w:rPr>
          <w:rFonts w:hint="eastAsia" w:ascii="仿宋" w:hAnsi="仿宋" w:eastAsia="仿宋"/>
          <w:sz w:val="32"/>
          <w:szCs w:val="32"/>
          <w:highlight w:val="none"/>
          <w:lang w:val="en-US" w:eastAsia="zh-CN"/>
        </w:rPr>
        <w:t>椿树社区卫生服务中心</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年预算共</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家单位，其中行政编制</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人</w:t>
      </w:r>
      <w:r>
        <w:rPr>
          <w:rFonts w:ascii="仿宋" w:hAnsi="仿宋" w:eastAsia="仿宋"/>
          <w:sz w:val="32"/>
          <w:szCs w:val="32"/>
          <w:highlight w:val="none"/>
        </w:rPr>
        <w:t>;</w:t>
      </w:r>
      <w:r>
        <w:rPr>
          <w:rFonts w:hint="eastAsia" w:ascii="仿宋" w:hAnsi="仿宋" w:eastAsia="仿宋"/>
          <w:sz w:val="32"/>
          <w:szCs w:val="32"/>
          <w:highlight w:val="none"/>
        </w:rPr>
        <w:t>事业编制</w:t>
      </w:r>
      <w:r>
        <w:rPr>
          <w:rFonts w:hint="eastAsia" w:ascii="仿宋" w:hAnsi="仿宋" w:eastAsia="仿宋"/>
          <w:sz w:val="32"/>
          <w:szCs w:val="32"/>
          <w:highlight w:val="none"/>
          <w:lang w:val="en-US" w:eastAsia="zh-CN"/>
        </w:rPr>
        <w:t>85</w:t>
      </w:r>
      <w:r>
        <w:rPr>
          <w:rFonts w:hint="eastAsia" w:ascii="仿宋" w:hAnsi="仿宋" w:eastAsia="仿宋"/>
          <w:sz w:val="32"/>
          <w:szCs w:val="32"/>
          <w:highlight w:val="none"/>
        </w:rPr>
        <w:t>人；工勤编制0名；实际</w:t>
      </w:r>
      <w:r>
        <w:rPr>
          <w:rFonts w:hint="eastAsia" w:ascii="仿宋" w:hAnsi="仿宋" w:eastAsia="仿宋"/>
          <w:sz w:val="32"/>
          <w:szCs w:val="32"/>
          <w:highlight w:val="none"/>
          <w:lang w:val="en-US" w:eastAsia="zh-CN"/>
        </w:rPr>
        <w:t>75</w:t>
      </w:r>
      <w:r>
        <w:rPr>
          <w:rFonts w:hint="eastAsia" w:ascii="仿宋" w:hAnsi="仿宋" w:eastAsia="仿宋"/>
          <w:sz w:val="32"/>
          <w:szCs w:val="32"/>
          <w:highlight w:val="none"/>
        </w:rPr>
        <w:t>人；长期聘用临时工</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人。离退休人员</w:t>
      </w:r>
      <w:r>
        <w:rPr>
          <w:rFonts w:hint="eastAsia" w:ascii="仿宋" w:hAnsi="仿宋" w:eastAsia="仿宋"/>
          <w:sz w:val="32"/>
          <w:szCs w:val="32"/>
          <w:highlight w:val="none"/>
          <w:lang w:val="en-US" w:eastAsia="zh-CN"/>
        </w:rPr>
        <w:t>151</w:t>
      </w:r>
      <w:r>
        <w:rPr>
          <w:rFonts w:hint="eastAsia" w:ascii="仿宋" w:hAnsi="仿宋" w:eastAsia="仿宋"/>
          <w:sz w:val="32"/>
          <w:szCs w:val="32"/>
          <w:highlight w:val="none"/>
        </w:rPr>
        <w:t>人，其中：离休</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人，退休</w:t>
      </w:r>
      <w:r>
        <w:rPr>
          <w:rFonts w:hint="eastAsia" w:ascii="仿宋" w:hAnsi="仿宋" w:eastAsia="仿宋"/>
          <w:sz w:val="32"/>
          <w:szCs w:val="32"/>
          <w:highlight w:val="none"/>
          <w:lang w:val="en-US" w:eastAsia="zh-CN"/>
        </w:rPr>
        <w:t>149</w:t>
      </w:r>
      <w:r>
        <w:rPr>
          <w:rFonts w:hint="eastAsia" w:ascii="仿宋" w:hAnsi="仿宋" w:eastAsia="仿宋"/>
          <w:sz w:val="32"/>
          <w:szCs w:val="32"/>
          <w:highlight w:val="none"/>
        </w:rPr>
        <w:t>人。</w:t>
      </w:r>
    </w:p>
    <w:p>
      <w:pPr>
        <w:spacing w:line="560" w:lineRule="exact"/>
        <w:ind w:firstLine="640" w:firstLineChars="200"/>
        <w:outlineLvl w:val="0"/>
        <w:rPr>
          <w:rFonts w:ascii="黑体" w:hAnsi="黑体" w:eastAsia="黑体" w:cs="黑体"/>
          <w:sz w:val="32"/>
          <w:szCs w:val="32"/>
          <w:highlight w:val="none"/>
        </w:rPr>
      </w:pPr>
      <w:r>
        <w:rPr>
          <w:rFonts w:hint="eastAsia" w:ascii="黑体" w:hAnsi="黑体" w:eastAsia="黑体" w:cs="黑体"/>
          <w:sz w:val="32"/>
          <w:szCs w:val="32"/>
          <w:highlight w:val="none"/>
        </w:rPr>
        <w:t>二、</w:t>
      </w:r>
      <w:r>
        <w:rPr>
          <w:rFonts w:hint="eastAsia" w:ascii="黑体" w:hAnsi="黑体" w:eastAsia="黑体" w:cs="黑体"/>
          <w:sz w:val="32"/>
          <w:szCs w:val="32"/>
          <w:highlight w:val="none"/>
          <w:lang w:eastAsia="zh-CN"/>
        </w:rPr>
        <w:t>202</w:t>
      </w:r>
      <w:r>
        <w:rPr>
          <w:rFonts w:hint="eastAsia" w:ascii="黑体" w:hAnsi="黑体" w:eastAsia="黑体" w:cs="黑体"/>
          <w:sz w:val="32"/>
          <w:szCs w:val="32"/>
          <w:highlight w:val="none"/>
          <w:lang w:val="en-US" w:eastAsia="zh-CN"/>
        </w:rPr>
        <w:t>4</w:t>
      </w:r>
      <w:r>
        <w:rPr>
          <w:rFonts w:hint="eastAsia" w:ascii="黑体" w:hAnsi="黑体" w:eastAsia="黑体" w:cs="黑体"/>
          <w:sz w:val="32"/>
          <w:szCs w:val="32"/>
          <w:highlight w:val="none"/>
        </w:rPr>
        <w:t>年部门预算收支及增减变化情况说明</w:t>
      </w:r>
    </w:p>
    <w:p>
      <w:pPr>
        <w:spacing w:line="560" w:lineRule="exact"/>
        <w:ind w:firstLine="643" w:firstLineChars="200"/>
        <w:outlineLvl w:val="0"/>
        <w:rPr>
          <w:rFonts w:ascii="仿宋" w:hAnsi="仿宋" w:eastAsia="仿宋"/>
          <w:b/>
          <w:sz w:val="32"/>
          <w:szCs w:val="32"/>
          <w:highlight w:val="none"/>
        </w:rPr>
      </w:pPr>
      <w:r>
        <w:rPr>
          <w:rFonts w:hint="eastAsia" w:ascii="仿宋" w:hAnsi="仿宋" w:eastAsia="仿宋" w:cs="黑体"/>
          <w:b/>
          <w:sz w:val="32"/>
          <w:szCs w:val="32"/>
          <w:highlight w:val="none"/>
        </w:rPr>
        <w:t>（一）收入预算说明</w:t>
      </w:r>
    </w:p>
    <w:p>
      <w:pPr>
        <w:spacing w:line="560" w:lineRule="exact"/>
        <w:ind w:firstLine="640" w:firstLineChars="200"/>
        <w:rPr>
          <w:rFonts w:ascii="仿宋" w:hAnsi="仿宋" w:eastAsia="仿宋"/>
          <w:color w:val="auto"/>
          <w:sz w:val="32"/>
          <w:szCs w:val="32"/>
          <w:highlight w:val="none"/>
        </w:rPr>
      </w:pPr>
      <w:r>
        <w:rPr>
          <w:rFonts w:hint="eastAsia" w:ascii="仿宋" w:hAnsi="仿宋" w:eastAsia="仿宋"/>
          <w:sz w:val="32"/>
          <w:szCs w:val="32"/>
          <w:highlight w:val="none"/>
          <w:lang w:eastAsia="zh-CN"/>
        </w:rPr>
        <w:t>2</w:t>
      </w:r>
      <w:r>
        <w:rPr>
          <w:rFonts w:hint="eastAsia" w:ascii="仿宋" w:hAnsi="仿宋" w:eastAsia="仿宋"/>
          <w:color w:val="auto"/>
          <w:sz w:val="32"/>
          <w:szCs w:val="32"/>
          <w:highlight w:val="none"/>
          <w:lang w:eastAsia="zh-CN"/>
        </w:rPr>
        <w:t>02</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年总收入安排</w:t>
      </w:r>
      <w:r>
        <w:rPr>
          <w:rFonts w:hint="eastAsia" w:ascii="仿宋" w:hAnsi="仿宋" w:eastAsia="仿宋"/>
          <w:color w:val="auto"/>
          <w:sz w:val="32"/>
          <w:szCs w:val="32"/>
          <w:highlight w:val="none"/>
          <w:lang w:val="en-US" w:eastAsia="zh-CN"/>
        </w:rPr>
        <w:t>83,533,477.42</w:t>
      </w:r>
      <w:r>
        <w:rPr>
          <w:rFonts w:hint="eastAsia" w:ascii="仿宋" w:hAnsi="仿宋" w:eastAsia="仿宋"/>
          <w:color w:val="auto"/>
          <w:sz w:val="32"/>
          <w:szCs w:val="32"/>
          <w:highlight w:val="none"/>
        </w:rPr>
        <w:t>元。其中：一般公共预算拨款收入</w:t>
      </w:r>
      <w:r>
        <w:rPr>
          <w:rFonts w:hint="eastAsia" w:ascii="仿宋" w:hAnsi="仿宋" w:eastAsia="仿宋"/>
          <w:color w:val="auto"/>
          <w:sz w:val="32"/>
          <w:szCs w:val="32"/>
          <w:highlight w:val="none"/>
          <w:lang w:val="en-US" w:eastAsia="zh-CN"/>
        </w:rPr>
        <w:t>29,599,985.12</w:t>
      </w:r>
      <w:r>
        <w:rPr>
          <w:rFonts w:hint="eastAsia" w:ascii="仿宋" w:hAnsi="仿宋" w:eastAsia="仿宋"/>
          <w:color w:val="auto"/>
          <w:sz w:val="32"/>
          <w:szCs w:val="32"/>
          <w:highlight w:val="none"/>
        </w:rPr>
        <w:t>元（包括提前下达专项转移支付项目资金</w:t>
      </w:r>
      <w:r>
        <w:rPr>
          <w:rFonts w:hint="eastAsia" w:ascii="仿宋" w:hAnsi="仿宋" w:eastAsia="仿宋"/>
          <w:color w:val="auto"/>
          <w:sz w:val="32"/>
          <w:szCs w:val="32"/>
          <w:highlight w:val="none"/>
          <w:lang w:val="en-US" w:eastAsia="zh-CN"/>
        </w:rPr>
        <w:t>310,461.50</w:t>
      </w:r>
      <w:r>
        <w:rPr>
          <w:rFonts w:hint="eastAsia" w:ascii="仿宋" w:hAnsi="仿宋" w:eastAsia="仿宋"/>
          <w:color w:val="auto"/>
          <w:sz w:val="32"/>
          <w:szCs w:val="32"/>
          <w:highlight w:val="none"/>
        </w:rPr>
        <w:t>元），财政专户资金安排0.00元，其他资金</w:t>
      </w:r>
      <w:r>
        <w:rPr>
          <w:rFonts w:hint="eastAsia" w:ascii="仿宋" w:hAnsi="仿宋" w:eastAsia="仿宋"/>
          <w:color w:val="auto"/>
          <w:sz w:val="32"/>
          <w:szCs w:val="32"/>
          <w:highlight w:val="none"/>
          <w:lang w:val="en-US" w:eastAsia="zh-CN"/>
        </w:rPr>
        <w:t>53,933,492.30</w:t>
      </w:r>
      <w:r>
        <w:rPr>
          <w:rFonts w:hint="eastAsia" w:ascii="仿宋" w:hAnsi="仿宋" w:eastAsia="仿宋"/>
          <w:color w:val="auto"/>
          <w:sz w:val="32"/>
          <w:szCs w:val="32"/>
          <w:highlight w:val="none"/>
        </w:rPr>
        <w:t>元。</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年收入预算</w:t>
      </w:r>
      <w:r>
        <w:rPr>
          <w:rFonts w:hint="eastAsia" w:ascii="仿宋" w:hAnsi="仿宋" w:eastAsia="仿宋"/>
          <w:color w:val="auto"/>
          <w:sz w:val="32"/>
          <w:szCs w:val="32"/>
          <w:highlight w:val="none"/>
          <w:lang w:val="en-US" w:eastAsia="zh-CN"/>
        </w:rPr>
        <w:t>81,370,097.16</w:t>
      </w:r>
      <w:r>
        <w:rPr>
          <w:rFonts w:hint="eastAsia" w:ascii="仿宋" w:hAnsi="仿宋" w:eastAsia="仿宋"/>
          <w:color w:val="auto"/>
          <w:sz w:val="32"/>
          <w:szCs w:val="32"/>
          <w:highlight w:val="none"/>
        </w:rPr>
        <w:t>元。</w:t>
      </w:r>
      <w:r>
        <w:rPr>
          <w:rFonts w:hint="eastAsia" w:ascii="仿宋" w:hAnsi="仿宋" w:eastAsia="仿宋"/>
          <w:color w:val="auto"/>
          <w:sz w:val="32"/>
          <w:szCs w:val="32"/>
          <w:highlight w:val="none"/>
          <w:lang w:eastAsia="zh-CN"/>
        </w:rPr>
        <w:t>202</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年收入预算比</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增加2163380.26</w:t>
      </w:r>
      <w:r>
        <w:rPr>
          <w:rFonts w:hint="eastAsia" w:ascii="仿宋" w:hAnsi="仿宋" w:eastAsia="仿宋"/>
          <w:color w:val="auto"/>
          <w:sz w:val="32"/>
          <w:szCs w:val="32"/>
          <w:highlight w:val="none"/>
        </w:rPr>
        <w:t>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增长2.59%，</w:t>
      </w:r>
      <w:r>
        <w:rPr>
          <w:rFonts w:hint="eastAsia" w:ascii="仿宋" w:hAnsi="仿宋" w:eastAsia="仿宋"/>
          <w:color w:val="auto"/>
          <w:sz w:val="32"/>
          <w:szCs w:val="32"/>
          <w:highlight w:val="none"/>
          <w:lang w:eastAsia="zh-CN"/>
        </w:rPr>
        <w:t>主要原因</w:t>
      </w:r>
      <w:r>
        <w:rPr>
          <w:rFonts w:hint="eastAsia" w:ascii="仿宋" w:hAnsi="仿宋" w:eastAsia="仿宋"/>
          <w:color w:val="auto"/>
          <w:sz w:val="32"/>
          <w:szCs w:val="32"/>
          <w:highlight w:val="none"/>
          <w:lang w:val="en-US" w:eastAsia="zh-CN"/>
        </w:rPr>
        <w:t>财政预算拨款项目经费增加</w:t>
      </w:r>
      <w:r>
        <w:rPr>
          <w:rFonts w:hint="eastAsia" w:ascii="仿宋" w:hAnsi="仿宋" w:eastAsia="仿宋"/>
          <w:color w:val="auto"/>
          <w:sz w:val="32"/>
          <w:szCs w:val="32"/>
          <w:highlight w:val="none"/>
        </w:rPr>
        <w:t>。我单位不涉及政府性基金收入预算。</w:t>
      </w:r>
      <w:r>
        <w:rPr>
          <w:rFonts w:ascii="仿宋" w:hAnsi="仿宋" w:eastAsia="仿宋"/>
          <w:color w:val="auto"/>
          <w:sz w:val="32"/>
          <w:szCs w:val="32"/>
          <w:highlight w:val="none"/>
        </w:rPr>
        <w:tab/>
      </w:r>
    </w:p>
    <w:p>
      <w:pPr>
        <w:spacing w:line="560" w:lineRule="exact"/>
        <w:ind w:firstLine="643" w:firstLineChars="200"/>
        <w:rPr>
          <w:rFonts w:ascii="仿宋" w:hAnsi="仿宋" w:eastAsia="仿宋"/>
          <w:b/>
          <w:color w:val="auto"/>
          <w:sz w:val="32"/>
          <w:szCs w:val="32"/>
          <w:highlight w:val="none"/>
        </w:rPr>
      </w:pPr>
      <w:r>
        <w:rPr>
          <w:rFonts w:hint="eastAsia" w:ascii="仿宋" w:hAnsi="仿宋" w:eastAsia="仿宋" w:cs="黑体"/>
          <w:b/>
          <w:color w:val="auto"/>
          <w:sz w:val="32"/>
          <w:szCs w:val="32"/>
          <w:highlight w:val="none"/>
        </w:rPr>
        <w:t>（二）支出预算说明</w:t>
      </w:r>
    </w:p>
    <w:p>
      <w:pPr>
        <w:spacing w:line="56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年支出预算</w:t>
      </w:r>
      <w:r>
        <w:rPr>
          <w:rFonts w:hint="eastAsia" w:ascii="仿宋" w:hAnsi="仿宋" w:eastAsia="仿宋"/>
          <w:color w:val="auto"/>
          <w:sz w:val="32"/>
          <w:szCs w:val="32"/>
          <w:highlight w:val="none"/>
          <w:lang w:val="en-US" w:eastAsia="zh-CN"/>
        </w:rPr>
        <w:t>83,533,477.42</w:t>
      </w:r>
      <w:r>
        <w:rPr>
          <w:rFonts w:hint="eastAsia" w:ascii="仿宋" w:hAnsi="仿宋" w:eastAsia="仿宋"/>
          <w:color w:val="auto"/>
          <w:sz w:val="32"/>
          <w:szCs w:val="32"/>
          <w:highlight w:val="none"/>
        </w:rPr>
        <w:t>元，其中：预算内资金安排</w:t>
      </w:r>
      <w:r>
        <w:rPr>
          <w:rFonts w:hint="eastAsia" w:ascii="仿宋" w:hAnsi="仿宋" w:eastAsia="仿宋"/>
          <w:color w:val="auto"/>
          <w:sz w:val="32"/>
          <w:szCs w:val="32"/>
          <w:highlight w:val="none"/>
          <w:lang w:val="en-US" w:eastAsia="zh-CN"/>
        </w:rPr>
        <w:t>29,599,985.12</w:t>
      </w:r>
      <w:r>
        <w:rPr>
          <w:rFonts w:hint="eastAsia" w:ascii="仿宋" w:hAnsi="仿宋" w:eastAsia="仿宋"/>
          <w:color w:val="auto"/>
          <w:sz w:val="32"/>
          <w:szCs w:val="32"/>
          <w:highlight w:val="none"/>
        </w:rPr>
        <w:t>元（包括提前下达专项转移支付项目资金</w:t>
      </w:r>
      <w:r>
        <w:rPr>
          <w:rFonts w:hint="eastAsia" w:ascii="仿宋" w:hAnsi="仿宋" w:eastAsia="仿宋"/>
          <w:color w:val="auto"/>
          <w:sz w:val="32"/>
          <w:szCs w:val="32"/>
          <w:highlight w:val="none"/>
          <w:lang w:val="en-US" w:eastAsia="zh-CN"/>
        </w:rPr>
        <w:t>310,461.50</w:t>
      </w:r>
      <w:r>
        <w:rPr>
          <w:rFonts w:hint="eastAsia" w:ascii="仿宋" w:hAnsi="仿宋" w:eastAsia="仿宋"/>
          <w:color w:val="auto"/>
          <w:sz w:val="32"/>
          <w:szCs w:val="32"/>
          <w:highlight w:val="none"/>
        </w:rPr>
        <w:t>元），比20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27,708,175.20</w:t>
      </w:r>
      <w:r>
        <w:rPr>
          <w:rFonts w:hint="eastAsia" w:ascii="仿宋" w:hAnsi="仿宋" w:eastAsia="仿宋"/>
          <w:color w:val="auto"/>
          <w:sz w:val="32"/>
          <w:szCs w:val="32"/>
          <w:highlight w:val="none"/>
        </w:rPr>
        <w:t>元</w:t>
      </w:r>
      <w:r>
        <w:rPr>
          <w:rFonts w:hint="eastAsia" w:ascii="仿宋" w:hAnsi="仿宋" w:eastAsia="仿宋"/>
          <w:color w:val="auto"/>
          <w:sz w:val="32"/>
          <w:szCs w:val="32"/>
          <w:highlight w:val="none"/>
          <w:lang w:val="en-US" w:eastAsia="zh-CN"/>
        </w:rPr>
        <w:t>增加</w:t>
      </w:r>
      <w:r>
        <w:rPr>
          <w:rFonts w:hint="eastAsia" w:ascii="仿宋" w:hAnsi="仿宋" w:eastAsia="仿宋"/>
          <w:color w:val="auto"/>
          <w:sz w:val="32"/>
          <w:szCs w:val="32"/>
          <w:highlight w:val="none"/>
        </w:rPr>
        <w:t>了</w:t>
      </w:r>
      <w:r>
        <w:rPr>
          <w:rFonts w:hint="eastAsia" w:ascii="仿宋" w:hAnsi="仿宋" w:eastAsia="仿宋"/>
          <w:color w:val="auto"/>
          <w:sz w:val="32"/>
          <w:szCs w:val="32"/>
          <w:highlight w:val="none"/>
          <w:lang w:val="en-US" w:eastAsia="zh-CN"/>
        </w:rPr>
        <w:t>1,891,809.92</w:t>
      </w:r>
      <w:r>
        <w:rPr>
          <w:rFonts w:hint="eastAsia" w:ascii="仿宋" w:hAnsi="仿宋" w:eastAsia="仿宋"/>
          <w:color w:val="auto"/>
          <w:sz w:val="32"/>
          <w:szCs w:val="32"/>
          <w:highlight w:val="none"/>
        </w:rPr>
        <w:t>元，</w:t>
      </w:r>
      <w:r>
        <w:rPr>
          <w:rFonts w:hint="eastAsia" w:ascii="仿宋" w:hAnsi="仿宋" w:eastAsia="仿宋"/>
          <w:color w:val="auto"/>
          <w:sz w:val="32"/>
          <w:szCs w:val="32"/>
          <w:highlight w:val="none"/>
          <w:lang w:eastAsia="zh-CN"/>
        </w:rPr>
        <w:t>增长</w:t>
      </w:r>
      <w:r>
        <w:rPr>
          <w:rFonts w:hint="eastAsia" w:ascii="仿宋" w:hAnsi="仿宋" w:eastAsia="仿宋"/>
          <w:color w:val="auto"/>
          <w:sz w:val="32"/>
          <w:szCs w:val="32"/>
          <w:highlight w:val="none"/>
          <w:lang w:val="en-US" w:eastAsia="zh-CN"/>
        </w:rPr>
        <w:t>6.8</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增加原因为项目经费高于去年</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财政专户资金安排0.00万元，与20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年持平，其他资金安排</w:t>
      </w:r>
      <w:r>
        <w:rPr>
          <w:rFonts w:hint="eastAsia" w:ascii="仿宋" w:hAnsi="仿宋" w:eastAsia="仿宋"/>
          <w:color w:val="auto"/>
          <w:sz w:val="32"/>
          <w:szCs w:val="32"/>
          <w:highlight w:val="none"/>
          <w:lang w:val="en-US" w:eastAsia="zh-CN"/>
        </w:rPr>
        <w:t>53,933,492.30</w:t>
      </w:r>
      <w:r>
        <w:rPr>
          <w:rFonts w:hint="eastAsia" w:ascii="仿宋" w:hAnsi="仿宋" w:eastAsia="仿宋"/>
          <w:color w:val="auto"/>
          <w:sz w:val="32"/>
          <w:szCs w:val="32"/>
          <w:highlight w:val="none"/>
        </w:rPr>
        <w:t>元，比20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年预算</w:t>
      </w:r>
      <w:r>
        <w:rPr>
          <w:rFonts w:hint="eastAsia" w:ascii="仿宋" w:hAnsi="仿宋" w:eastAsia="仿宋"/>
          <w:color w:val="auto"/>
          <w:sz w:val="32"/>
          <w:szCs w:val="32"/>
          <w:highlight w:val="none"/>
          <w:lang w:val="en-US" w:eastAsia="zh-CN"/>
        </w:rPr>
        <w:t>53,661,921.96元基本持平</w:t>
      </w:r>
      <w:r>
        <w:rPr>
          <w:rFonts w:hint="eastAsia" w:ascii="仿宋" w:hAnsi="仿宋" w:eastAsia="仿宋"/>
          <w:color w:val="auto"/>
          <w:sz w:val="32"/>
          <w:szCs w:val="32"/>
          <w:highlight w:val="none"/>
        </w:rPr>
        <w:t>。</w:t>
      </w:r>
    </w:p>
    <w:p>
      <w:pPr>
        <w:spacing w:line="56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三、主要支出情况</w:t>
      </w:r>
    </w:p>
    <w:p>
      <w:pPr>
        <w:spacing w:line="56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年支出预算</w:t>
      </w:r>
      <w:r>
        <w:rPr>
          <w:rFonts w:hint="eastAsia" w:ascii="仿宋" w:hAnsi="仿宋" w:eastAsia="仿宋"/>
          <w:color w:val="auto"/>
          <w:sz w:val="32"/>
          <w:szCs w:val="32"/>
          <w:highlight w:val="none"/>
          <w:lang w:val="en-US" w:eastAsia="zh-CN"/>
        </w:rPr>
        <w:t>83,533,477.42</w:t>
      </w:r>
      <w:r>
        <w:rPr>
          <w:rFonts w:hint="eastAsia" w:ascii="仿宋" w:hAnsi="仿宋" w:eastAsia="仿宋"/>
          <w:color w:val="auto"/>
          <w:sz w:val="32"/>
          <w:szCs w:val="32"/>
          <w:highlight w:val="none"/>
        </w:rPr>
        <w:t>元，按用途划分：</w:t>
      </w:r>
    </w:p>
    <w:p>
      <w:pPr>
        <w:spacing w:line="56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1.基本支出预算</w:t>
      </w:r>
      <w:r>
        <w:rPr>
          <w:rFonts w:hint="eastAsia" w:ascii="仿宋" w:hAnsi="仿宋" w:eastAsia="仿宋"/>
          <w:color w:val="auto"/>
          <w:sz w:val="32"/>
          <w:szCs w:val="32"/>
          <w:highlight w:val="none"/>
          <w:lang w:val="en-US" w:eastAsia="zh-CN"/>
        </w:rPr>
        <w:t>27,670,042.28</w:t>
      </w:r>
      <w:r>
        <w:rPr>
          <w:rFonts w:hint="eastAsia" w:ascii="仿宋" w:hAnsi="仿宋" w:eastAsia="仿宋"/>
          <w:color w:val="auto"/>
          <w:sz w:val="32"/>
          <w:szCs w:val="32"/>
          <w:highlight w:val="none"/>
        </w:rPr>
        <w:t>元，</w:t>
      </w:r>
      <w:r>
        <w:rPr>
          <w:rFonts w:hint="eastAsia" w:ascii="仿宋" w:hAnsi="仿宋" w:eastAsia="仿宋"/>
          <w:color w:val="auto"/>
          <w:sz w:val="32"/>
          <w:szCs w:val="32"/>
          <w:highlight w:val="none"/>
          <w:lang w:eastAsia="zh-CN"/>
        </w:rPr>
        <w:t>其中</w:t>
      </w:r>
      <w:r>
        <w:rPr>
          <w:rFonts w:hint="eastAsia" w:ascii="仿宋" w:hAnsi="仿宋" w:eastAsia="仿宋"/>
          <w:color w:val="auto"/>
          <w:sz w:val="32"/>
          <w:szCs w:val="32"/>
          <w:highlight w:val="none"/>
        </w:rPr>
        <w:t>财政拨款基本支出</w:t>
      </w:r>
      <w:r>
        <w:rPr>
          <w:rFonts w:hint="eastAsia" w:ascii="仿宋" w:hAnsi="仿宋" w:eastAsia="仿宋"/>
          <w:color w:val="auto"/>
          <w:sz w:val="32"/>
          <w:szCs w:val="32"/>
          <w:highlight w:val="none"/>
          <w:lang w:val="en-US" w:eastAsia="zh-CN"/>
        </w:rPr>
        <w:t>25,441,049.98</w:t>
      </w:r>
      <w:r>
        <w:rPr>
          <w:rFonts w:hint="eastAsia" w:ascii="仿宋" w:hAnsi="仿宋" w:eastAsia="仿宋"/>
          <w:color w:val="auto"/>
          <w:sz w:val="32"/>
          <w:szCs w:val="32"/>
          <w:highlight w:val="none"/>
        </w:rPr>
        <w:t>元。主要包括在职、离退休人员支出、个人和家庭补助支出、公用支出。</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2.项目支出预算</w:t>
      </w:r>
      <w:r>
        <w:rPr>
          <w:rFonts w:hint="eastAsia" w:ascii="仿宋" w:hAnsi="仿宋" w:eastAsia="仿宋"/>
          <w:sz w:val="32"/>
          <w:szCs w:val="32"/>
          <w:highlight w:val="none"/>
          <w:lang w:val="en-US" w:eastAsia="zh-CN"/>
        </w:rPr>
        <w:t>55,863,435.14</w:t>
      </w:r>
      <w:r>
        <w:rPr>
          <w:rFonts w:hint="eastAsia" w:ascii="仿宋" w:hAnsi="仿宋" w:eastAsia="仿宋"/>
          <w:sz w:val="32"/>
          <w:szCs w:val="32"/>
          <w:highlight w:val="none"/>
        </w:rPr>
        <w:t>元，其中财政拨款项目支出</w:t>
      </w:r>
      <w:r>
        <w:rPr>
          <w:rFonts w:hint="eastAsia" w:ascii="仿宋" w:hAnsi="仿宋" w:eastAsia="仿宋"/>
          <w:sz w:val="32"/>
          <w:szCs w:val="32"/>
          <w:highlight w:val="none"/>
          <w:lang w:val="en-US" w:eastAsia="zh-CN"/>
        </w:rPr>
        <w:t>4,158,935.14</w:t>
      </w:r>
      <w:r>
        <w:rPr>
          <w:rFonts w:hint="eastAsia" w:ascii="仿宋" w:hAnsi="仿宋" w:eastAsia="仿宋"/>
          <w:sz w:val="32"/>
          <w:szCs w:val="32"/>
          <w:highlight w:val="none"/>
        </w:rPr>
        <w:t>元。</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主要项目是①</w:t>
      </w:r>
      <w:r>
        <w:rPr>
          <w:rFonts w:hint="eastAsia" w:ascii="仿宋" w:hAnsi="仿宋" w:eastAsia="仿宋" w:cs="仿宋"/>
          <w:sz w:val="32"/>
          <w:szCs w:val="32"/>
          <w:highlight w:val="none"/>
          <w:lang w:val="en-US" w:eastAsia="zh-CN"/>
        </w:rPr>
        <w:t>椿树中心安装消防安全排烟机及风道系统</w:t>
      </w:r>
      <w:r>
        <w:rPr>
          <w:rFonts w:hint="eastAsia" w:ascii="仿宋" w:hAnsi="仿宋" w:eastAsia="仿宋" w:cs="仿宋"/>
          <w:sz w:val="32"/>
          <w:szCs w:val="32"/>
          <w:highlight w:val="none"/>
        </w:rPr>
        <w:t>②</w:t>
      </w:r>
      <w:r>
        <w:rPr>
          <w:rFonts w:hint="eastAsia" w:ascii="仿宋" w:hAnsi="仿宋" w:eastAsia="仿宋" w:cs="仿宋"/>
          <w:sz w:val="32"/>
          <w:szCs w:val="32"/>
        </w:rPr>
        <w:t>椿树中心及椿树园、和平门社区站污水处理经费</w:t>
      </w:r>
      <w:r>
        <w:rPr>
          <w:rFonts w:hint="eastAsia" w:ascii="仿宋" w:hAnsi="仿宋" w:eastAsia="仿宋" w:cs="仿宋"/>
          <w:sz w:val="32"/>
          <w:szCs w:val="32"/>
          <w:highlight w:val="none"/>
        </w:rPr>
        <w:t>③</w:t>
      </w:r>
      <w:r>
        <w:rPr>
          <w:rFonts w:hint="eastAsia" w:ascii="仿宋" w:hAnsi="仿宋" w:eastAsia="仿宋" w:cs="仿宋"/>
          <w:sz w:val="32"/>
          <w:szCs w:val="32"/>
          <w:highlight w:val="none"/>
          <w:lang w:val="en-US" w:eastAsia="zh-CN"/>
        </w:rPr>
        <w:t>椿树社区卫生工作者经费</w:t>
      </w:r>
      <w:r>
        <w:rPr>
          <w:rFonts w:hint="eastAsia" w:ascii="仿宋" w:hAnsi="仿宋" w:eastAsia="仿宋" w:cs="仿宋"/>
          <w:sz w:val="32"/>
          <w:szCs w:val="32"/>
          <w:highlight w:val="none"/>
        </w:rPr>
        <w:t>④</w:t>
      </w:r>
      <w:r>
        <w:rPr>
          <w:rFonts w:hint="eastAsia" w:ascii="仿宋" w:hAnsi="仿宋" w:eastAsia="仿宋" w:cs="仿宋"/>
          <w:sz w:val="32"/>
          <w:szCs w:val="32"/>
        </w:rPr>
        <w:t>椿树中心</w:t>
      </w:r>
      <w:r>
        <w:rPr>
          <w:rFonts w:hint="eastAsia" w:ascii="仿宋" w:hAnsi="仿宋" w:eastAsia="仿宋" w:cs="仿宋"/>
          <w:sz w:val="32"/>
          <w:szCs w:val="32"/>
          <w:lang w:eastAsia="zh-CN"/>
        </w:rPr>
        <w:t>三年行动计划办公设备购置</w:t>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 5 \* GB3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⑤</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医疗设备购置</w:t>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 6 \* GB3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⑥</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lang w:val="en-US" w:eastAsia="zh-CN"/>
        </w:rPr>
        <w:t>运行管理费</w:t>
      </w:r>
      <w:r>
        <w:rPr>
          <w:rFonts w:hint="eastAsia" w:ascii="仿宋" w:hAnsi="仿宋" w:eastAsia="仿宋" w:cs="仿宋"/>
          <w:sz w:val="32"/>
          <w:szCs w:val="32"/>
          <w:highlight w:val="none"/>
        </w:rPr>
        <w:t xml:space="preserve">⑦ </w:t>
      </w:r>
      <w:r>
        <w:rPr>
          <w:rFonts w:hint="eastAsia" w:ascii="仿宋" w:hAnsi="仿宋" w:eastAsia="仿宋" w:cs="仿宋"/>
          <w:sz w:val="32"/>
          <w:szCs w:val="32"/>
        </w:rPr>
        <w:t>椿树中心</w:t>
      </w:r>
      <w:r>
        <w:rPr>
          <w:rFonts w:hint="eastAsia" w:ascii="仿宋" w:hAnsi="仿宋" w:eastAsia="仿宋" w:cs="仿宋"/>
          <w:sz w:val="32"/>
          <w:szCs w:val="32"/>
          <w:lang w:eastAsia="zh-CN"/>
        </w:rPr>
        <w:t>办公家具购置</w:t>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 8 \* GB3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⑧</w:t>
      </w:r>
      <w:r>
        <w:rPr>
          <w:rFonts w:hint="eastAsia" w:ascii="仿宋" w:hAnsi="仿宋" w:eastAsia="仿宋" w:cs="仿宋"/>
          <w:sz w:val="32"/>
          <w:szCs w:val="32"/>
          <w:highlight w:val="none"/>
        </w:rPr>
        <w:fldChar w:fldCharType="end"/>
      </w:r>
      <w:r>
        <w:rPr>
          <w:rFonts w:hint="eastAsia" w:ascii="仿宋" w:hAnsi="仿宋" w:eastAsia="仿宋" w:cs="仿宋"/>
          <w:sz w:val="32"/>
          <w:szCs w:val="32"/>
        </w:rPr>
        <w:t>椿树中心业务用房房租</w:t>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 9 \* GB3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⑨</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提前下达转移支付资金。</w:t>
      </w:r>
    </w:p>
    <w:p>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四、部门“三公”经费财政拨款预算说明</w:t>
      </w:r>
    </w:p>
    <w:p>
      <w:pPr>
        <w:spacing w:line="560" w:lineRule="exact"/>
        <w:ind w:firstLine="643" w:firstLineChars="200"/>
        <w:rPr>
          <w:rFonts w:ascii="仿宋" w:hAnsi="仿宋" w:eastAsia="仿宋"/>
          <w:b/>
          <w:sz w:val="32"/>
          <w:szCs w:val="32"/>
          <w:highlight w:val="none"/>
        </w:rPr>
      </w:pPr>
      <w:r>
        <w:rPr>
          <w:rFonts w:hint="eastAsia" w:ascii="仿宋" w:hAnsi="仿宋" w:eastAsia="仿宋"/>
          <w:b/>
          <w:sz w:val="32"/>
          <w:szCs w:val="32"/>
          <w:highlight w:val="none"/>
        </w:rPr>
        <w:t>（一）“三公”经费的单位范围</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北京市西城区</w:t>
      </w:r>
      <w:r>
        <w:rPr>
          <w:rFonts w:hint="eastAsia" w:ascii="仿宋" w:hAnsi="仿宋" w:eastAsia="仿宋"/>
          <w:sz w:val="32"/>
          <w:szCs w:val="32"/>
          <w:highlight w:val="none"/>
          <w:lang w:val="en-US" w:eastAsia="zh-CN"/>
        </w:rPr>
        <w:t>椿树社区卫生服务中心</w:t>
      </w:r>
      <w:r>
        <w:rPr>
          <w:rFonts w:hint="eastAsia" w:ascii="仿宋" w:hAnsi="仿宋" w:eastAsia="仿宋"/>
          <w:sz w:val="32"/>
          <w:szCs w:val="32"/>
          <w:highlight w:val="none"/>
        </w:rPr>
        <w:t>部门预算因公出国（境）费、公务接待费、公务用车购置及运行维护费的支出单位包括</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个所属单位，</w:t>
      </w:r>
      <w:r>
        <w:rPr>
          <w:rFonts w:hint="eastAsia" w:ascii="仿宋" w:hAnsi="仿宋" w:eastAsia="仿宋"/>
          <w:sz w:val="32"/>
          <w:szCs w:val="32"/>
          <w:highlight w:val="none"/>
          <w:lang w:val="en-US" w:eastAsia="zh-CN"/>
        </w:rPr>
        <w:t>即北京市西城区椿树社区卫生服务中心</w:t>
      </w:r>
      <w:r>
        <w:rPr>
          <w:rFonts w:hint="eastAsia" w:ascii="仿宋" w:hAnsi="仿宋" w:eastAsia="仿宋"/>
          <w:sz w:val="32"/>
          <w:szCs w:val="32"/>
          <w:highlight w:val="none"/>
        </w:rPr>
        <w:t>。</w:t>
      </w:r>
    </w:p>
    <w:p>
      <w:pPr>
        <w:spacing w:line="560" w:lineRule="exact"/>
        <w:ind w:firstLine="643" w:firstLineChars="200"/>
        <w:rPr>
          <w:rFonts w:ascii="仿宋" w:hAnsi="仿宋" w:eastAsia="仿宋"/>
          <w:b/>
          <w:color w:val="000000"/>
          <w:sz w:val="32"/>
          <w:szCs w:val="32"/>
          <w:highlight w:val="none"/>
        </w:rPr>
      </w:pPr>
      <w:r>
        <w:rPr>
          <w:rFonts w:hint="eastAsia" w:ascii="仿宋" w:hAnsi="仿宋" w:eastAsia="仿宋"/>
          <w:b/>
          <w:sz w:val="32"/>
          <w:szCs w:val="32"/>
          <w:highlight w:val="none"/>
        </w:rPr>
        <w:t>（二）</w:t>
      </w:r>
      <w:r>
        <w:rPr>
          <w:rFonts w:ascii="仿宋" w:hAnsi="仿宋" w:eastAsia="仿宋"/>
          <w:b/>
          <w:color w:val="000000"/>
          <w:sz w:val="32"/>
          <w:szCs w:val="32"/>
          <w:highlight w:val="none"/>
        </w:rPr>
        <w:t>“</w:t>
      </w:r>
      <w:r>
        <w:rPr>
          <w:rFonts w:hint="eastAsia" w:ascii="仿宋" w:hAnsi="仿宋" w:eastAsia="仿宋"/>
          <w:b/>
          <w:color w:val="000000"/>
          <w:sz w:val="32"/>
          <w:szCs w:val="32"/>
          <w:highlight w:val="none"/>
        </w:rPr>
        <w:t>三公</w:t>
      </w:r>
      <w:r>
        <w:rPr>
          <w:rFonts w:ascii="仿宋" w:hAnsi="仿宋" w:eastAsia="仿宋"/>
          <w:b/>
          <w:color w:val="000000"/>
          <w:sz w:val="32"/>
          <w:szCs w:val="32"/>
          <w:highlight w:val="none"/>
        </w:rPr>
        <w:t>”</w:t>
      </w:r>
      <w:r>
        <w:rPr>
          <w:rFonts w:hint="eastAsia" w:ascii="仿宋" w:hAnsi="仿宋" w:eastAsia="仿宋"/>
          <w:b/>
          <w:color w:val="000000"/>
          <w:sz w:val="32"/>
          <w:szCs w:val="32"/>
          <w:highlight w:val="none"/>
        </w:rPr>
        <w:t>经费预算财政</w:t>
      </w:r>
      <w:r>
        <w:rPr>
          <w:rFonts w:ascii="仿宋" w:hAnsi="仿宋" w:eastAsia="仿宋"/>
          <w:b/>
          <w:color w:val="000000"/>
          <w:sz w:val="32"/>
          <w:szCs w:val="32"/>
          <w:highlight w:val="none"/>
        </w:rPr>
        <w:t>拨款情况</w:t>
      </w:r>
      <w:r>
        <w:rPr>
          <w:rFonts w:hint="eastAsia" w:ascii="仿宋" w:hAnsi="仿宋" w:eastAsia="仿宋"/>
          <w:b/>
          <w:color w:val="000000"/>
          <w:sz w:val="32"/>
          <w:szCs w:val="32"/>
          <w:highlight w:val="none"/>
        </w:rPr>
        <w:t>说明</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年部门预算“三公”经费财政拨款预算安排</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元，其中：</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1.因公出国（境）费</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年财政拨款预算安排0.00元。20</w:t>
      </w:r>
      <w:r>
        <w:rPr>
          <w:rFonts w:hint="eastAsia" w:ascii="仿宋" w:hAnsi="仿宋" w:eastAsia="仿宋"/>
          <w:sz w:val="32"/>
          <w:szCs w:val="32"/>
          <w:highlight w:val="none"/>
          <w:lang w:val="en-US" w:eastAsia="zh-CN"/>
        </w:rPr>
        <w:t>24</w:t>
      </w:r>
      <w:r>
        <w:rPr>
          <w:rFonts w:hint="eastAsia" w:ascii="仿宋" w:hAnsi="仿宋" w:eastAsia="仿宋"/>
          <w:sz w:val="32"/>
          <w:szCs w:val="32"/>
          <w:highlight w:val="none"/>
        </w:rPr>
        <w:t>年财政拨款预算安排0.00元，与20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年持平，</w:t>
      </w:r>
      <w:r>
        <w:rPr>
          <w:rFonts w:hint="eastAsia" w:ascii="仿宋" w:hAnsi="仿宋" w:eastAsia="仿宋" w:cs="宋体"/>
          <w:sz w:val="32"/>
          <w:szCs w:val="32"/>
          <w:highlight w:val="none"/>
        </w:rPr>
        <w:t>近两年均未有此类财政拨款预算安排。</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2.公务接待费</w:t>
      </w:r>
    </w:p>
    <w:p>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年财政拨款预算安排</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元</w:t>
      </w:r>
      <w:r>
        <w:rPr>
          <w:rFonts w:hint="eastAsia" w:ascii="仿宋" w:hAnsi="仿宋" w:eastAsia="仿宋"/>
          <w:sz w:val="32"/>
          <w:szCs w:val="32"/>
          <w:highlight w:val="none"/>
          <w:lang w:eastAsia="zh-CN"/>
        </w:rPr>
        <w:t>，</w:t>
      </w:r>
      <w:r>
        <w:rPr>
          <w:rFonts w:hint="eastAsia" w:ascii="仿宋" w:hAnsi="仿宋" w:eastAsia="仿宋"/>
          <w:sz w:val="32"/>
          <w:szCs w:val="32"/>
          <w:highlight w:val="none"/>
        </w:rPr>
        <w:t>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年财政拨款预算安排</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 xml:space="preserve">元。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3.公务用车购置及运行维护费</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年公务用车数量为1辆，财政拨款预算安排</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元，其中公务用车购置费0.00元，公务用车运行维护费</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元。20</w:t>
      </w:r>
      <w:r>
        <w:rPr>
          <w:rFonts w:hint="eastAsia" w:ascii="仿宋" w:hAnsi="仿宋" w:eastAsia="仿宋"/>
          <w:sz w:val="32"/>
          <w:szCs w:val="32"/>
          <w:highlight w:val="none"/>
          <w:lang w:val="en-US" w:eastAsia="zh-CN"/>
        </w:rPr>
        <w:t>23</w:t>
      </w:r>
      <w:r>
        <w:rPr>
          <w:rFonts w:hint="eastAsia" w:ascii="仿宋" w:hAnsi="仿宋" w:eastAsia="仿宋"/>
          <w:sz w:val="32"/>
          <w:szCs w:val="32"/>
          <w:highlight w:val="none"/>
        </w:rPr>
        <w:t>年财政拨款预算安排</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元，</w:t>
      </w:r>
      <w:r>
        <w:rPr>
          <w:rFonts w:hint="eastAsia" w:ascii="仿宋" w:hAnsi="仿宋" w:eastAsia="仿宋"/>
          <w:sz w:val="32"/>
          <w:szCs w:val="32"/>
          <w:highlight w:val="none"/>
          <w:lang w:val="en-US" w:eastAsia="zh-CN"/>
        </w:rPr>
        <w:t>主要是由于本单位运行经费为自有资金支出</w:t>
      </w:r>
      <w:r>
        <w:rPr>
          <w:rFonts w:hint="eastAsia" w:ascii="仿宋" w:hAnsi="仿宋" w:eastAsia="仿宋"/>
          <w:sz w:val="32"/>
          <w:szCs w:val="32"/>
          <w:highlight w:val="none"/>
        </w:rPr>
        <w:t>。</w:t>
      </w:r>
    </w:p>
    <w:p>
      <w:pPr>
        <w:spacing w:line="560" w:lineRule="exact"/>
        <w:ind w:firstLine="800" w:firstLineChars="250"/>
        <w:rPr>
          <w:rFonts w:ascii="黑体" w:hAnsi="黑体" w:eastAsia="黑体"/>
          <w:sz w:val="32"/>
          <w:szCs w:val="32"/>
          <w:highlight w:val="none"/>
        </w:rPr>
      </w:pPr>
      <w:r>
        <w:rPr>
          <w:rFonts w:hint="eastAsia" w:ascii="黑体" w:hAnsi="黑体" w:eastAsia="黑体"/>
          <w:sz w:val="32"/>
          <w:szCs w:val="32"/>
          <w:highlight w:val="none"/>
        </w:rPr>
        <w:t>五、其他情况说明</w:t>
      </w:r>
    </w:p>
    <w:p>
      <w:pPr>
        <w:spacing w:line="560" w:lineRule="exact"/>
        <w:ind w:firstLine="643" w:firstLineChars="200"/>
        <w:rPr>
          <w:rFonts w:ascii="仿宋" w:hAnsi="仿宋" w:eastAsia="仿宋"/>
          <w:b/>
          <w:sz w:val="32"/>
          <w:szCs w:val="32"/>
          <w:highlight w:val="none"/>
        </w:rPr>
      </w:pPr>
      <w:r>
        <w:rPr>
          <w:rFonts w:hint="eastAsia" w:ascii="仿宋" w:hAnsi="仿宋" w:eastAsia="仿宋"/>
          <w:b/>
          <w:sz w:val="32"/>
          <w:szCs w:val="32"/>
          <w:highlight w:val="none"/>
        </w:rPr>
        <w:t>（一）机</w:t>
      </w:r>
      <w:r>
        <w:rPr>
          <w:rFonts w:hint="eastAsia" w:ascii="仿宋" w:hAnsi="仿宋" w:eastAsia="仿宋"/>
          <w:b/>
          <w:sz w:val="32"/>
          <w:szCs w:val="32"/>
          <w:highlight w:val="none"/>
          <w:lang w:eastAsia="zh-CN"/>
        </w:rPr>
        <w:t>关</w:t>
      </w:r>
      <w:r>
        <w:rPr>
          <w:rFonts w:hint="eastAsia" w:ascii="仿宋" w:hAnsi="仿宋" w:eastAsia="仿宋"/>
          <w:b/>
          <w:sz w:val="32"/>
          <w:szCs w:val="32"/>
          <w:highlight w:val="none"/>
        </w:rPr>
        <w:t>运行经费说明</w:t>
      </w:r>
      <w:r>
        <w:rPr>
          <w:rFonts w:ascii="仿宋" w:hAnsi="仿宋" w:eastAsia="仿宋"/>
          <w:b/>
          <w:sz w:val="32"/>
          <w:szCs w:val="32"/>
          <w:highlight w:val="none"/>
        </w:rPr>
        <w:t xml:space="preserve"> </w:t>
      </w:r>
    </w:p>
    <w:p>
      <w:pPr>
        <w:spacing w:line="560" w:lineRule="exact"/>
        <w:ind w:firstLine="640" w:firstLineChars="200"/>
        <w:rPr>
          <w:rFonts w:ascii="仿宋" w:hAnsi="仿宋" w:eastAsia="仿宋"/>
          <w:sz w:val="32"/>
          <w:szCs w:val="32"/>
          <w:highlight w:val="none"/>
        </w:rPr>
      </w:pPr>
      <w:r>
        <w:rPr>
          <w:rFonts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年本部门（含下属单位）履行一般行政事业管理职能、维持机关运行，用于一般公共预算安排的行政运行经费，合计</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元。</w:t>
      </w:r>
      <w:r>
        <w:rPr>
          <w:rFonts w:hint="eastAsia" w:ascii="仿宋" w:hAnsi="仿宋" w:eastAsia="仿宋"/>
          <w:sz w:val="32"/>
          <w:szCs w:val="32"/>
          <w:highlight w:val="none"/>
          <w:lang w:val="en-US" w:eastAsia="zh-CN"/>
        </w:rPr>
        <w:t>主要是由于本单位运行经费为自有资金支出</w:t>
      </w:r>
      <w:r>
        <w:rPr>
          <w:rFonts w:hint="eastAsia" w:ascii="仿宋" w:hAnsi="仿宋" w:eastAsia="仿宋"/>
          <w:sz w:val="32"/>
          <w:szCs w:val="32"/>
          <w:highlight w:val="none"/>
        </w:rPr>
        <w:t>。</w:t>
      </w:r>
    </w:p>
    <w:p>
      <w:pPr>
        <w:spacing w:line="560" w:lineRule="exact"/>
        <w:ind w:firstLine="643" w:firstLineChars="200"/>
        <w:rPr>
          <w:rFonts w:ascii="仿宋" w:hAnsi="仿宋" w:eastAsia="仿宋"/>
          <w:b/>
          <w:color w:val="000000"/>
          <w:sz w:val="32"/>
          <w:szCs w:val="32"/>
          <w:highlight w:val="none"/>
        </w:rPr>
      </w:pPr>
      <w:r>
        <w:rPr>
          <w:rFonts w:hint="eastAsia" w:ascii="仿宋" w:hAnsi="仿宋" w:eastAsia="仿宋"/>
          <w:b/>
          <w:color w:val="000000"/>
          <w:sz w:val="32"/>
          <w:szCs w:val="32"/>
          <w:highlight w:val="none"/>
        </w:rPr>
        <w:t>（二）政府</w:t>
      </w:r>
      <w:r>
        <w:rPr>
          <w:rFonts w:ascii="仿宋" w:hAnsi="仿宋" w:eastAsia="仿宋"/>
          <w:b/>
          <w:color w:val="000000"/>
          <w:sz w:val="32"/>
          <w:szCs w:val="32"/>
          <w:highlight w:val="none"/>
        </w:rPr>
        <w:t>采购预算说明</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年涉及政府采购项目</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个，预算资金</w:t>
      </w:r>
      <w:r>
        <w:rPr>
          <w:rFonts w:hint="eastAsia" w:ascii="仿宋" w:hAnsi="仿宋" w:eastAsia="仿宋"/>
          <w:sz w:val="32"/>
          <w:szCs w:val="32"/>
          <w:highlight w:val="none"/>
          <w:lang w:val="en-US" w:eastAsia="zh-CN"/>
        </w:rPr>
        <w:t>1,509,172.00</w:t>
      </w:r>
      <w:r>
        <w:rPr>
          <w:rFonts w:hint="eastAsia" w:ascii="仿宋" w:hAnsi="仿宋" w:eastAsia="仿宋"/>
          <w:sz w:val="32"/>
          <w:szCs w:val="32"/>
          <w:highlight w:val="none"/>
        </w:rPr>
        <w:t>元，其中预算内资金</w:t>
      </w:r>
      <w:r>
        <w:rPr>
          <w:rFonts w:hint="eastAsia" w:ascii="仿宋" w:hAnsi="仿宋" w:eastAsia="仿宋"/>
          <w:sz w:val="32"/>
          <w:szCs w:val="32"/>
          <w:highlight w:val="none"/>
          <w:lang w:val="en-US" w:eastAsia="zh-CN"/>
        </w:rPr>
        <w:t>1,509,172.00</w:t>
      </w:r>
      <w:r>
        <w:rPr>
          <w:rFonts w:hint="eastAsia" w:ascii="仿宋" w:hAnsi="仿宋" w:eastAsia="仿宋"/>
          <w:sz w:val="32"/>
          <w:szCs w:val="32"/>
          <w:highlight w:val="none"/>
        </w:rPr>
        <w:t>元、其他资金</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元。</w:t>
      </w:r>
    </w:p>
    <w:p>
      <w:pPr>
        <w:spacing w:line="560" w:lineRule="exact"/>
        <w:ind w:firstLine="643" w:firstLineChars="200"/>
        <w:rPr>
          <w:rFonts w:ascii="仿宋" w:hAnsi="仿宋" w:eastAsia="仿宋"/>
          <w:b/>
          <w:color w:val="000000"/>
          <w:sz w:val="32"/>
          <w:szCs w:val="32"/>
          <w:highlight w:val="none"/>
        </w:rPr>
      </w:pPr>
      <w:r>
        <w:rPr>
          <w:rFonts w:hint="eastAsia" w:ascii="仿宋" w:hAnsi="仿宋" w:eastAsia="仿宋"/>
          <w:b/>
          <w:sz w:val="32"/>
          <w:szCs w:val="32"/>
          <w:highlight w:val="none"/>
        </w:rPr>
        <w:t>（三）</w:t>
      </w:r>
      <w:r>
        <w:rPr>
          <w:rFonts w:hint="eastAsia" w:ascii="仿宋" w:hAnsi="仿宋" w:eastAsia="仿宋"/>
          <w:b/>
          <w:color w:val="000000"/>
          <w:sz w:val="32"/>
          <w:szCs w:val="32"/>
          <w:highlight w:val="none"/>
        </w:rPr>
        <w:t>政府购买服务</w:t>
      </w:r>
      <w:r>
        <w:rPr>
          <w:rFonts w:ascii="仿宋" w:hAnsi="仿宋" w:eastAsia="仿宋"/>
          <w:b/>
          <w:color w:val="000000"/>
          <w:sz w:val="32"/>
          <w:szCs w:val="32"/>
          <w:highlight w:val="none"/>
        </w:rPr>
        <w:t>预算说明</w:t>
      </w:r>
    </w:p>
    <w:p>
      <w:pPr>
        <w:spacing w:line="52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lang w:eastAsia="zh-CN"/>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年涉及政府购买服务项目</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个，预算资金</w:t>
      </w:r>
      <w:r>
        <w:rPr>
          <w:rFonts w:hint="eastAsia" w:ascii="仿宋_GB2312" w:hAnsi="黑体" w:eastAsia="仿宋_GB2312"/>
          <w:sz w:val="32"/>
          <w:szCs w:val="32"/>
          <w:highlight w:val="none"/>
          <w:lang w:val="en-US" w:eastAsia="zh-CN"/>
        </w:rPr>
        <w:t>0.00</w:t>
      </w:r>
      <w:r>
        <w:rPr>
          <w:rFonts w:hint="eastAsia" w:ascii="仿宋_GB2312" w:hAnsi="黑体" w:eastAsia="仿宋_GB2312"/>
          <w:sz w:val="32"/>
          <w:szCs w:val="32"/>
          <w:highlight w:val="none"/>
        </w:rPr>
        <w:t>元。</w:t>
      </w:r>
    </w:p>
    <w:p>
      <w:pPr>
        <w:spacing w:line="560" w:lineRule="exact"/>
        <w:ind w:firstLine="645"/>
        <w:rPr>
          <w:rFonts w:ascii="仿宋" w:hAnsi="仿宋" w:eastAsia="仿宋"/>
          <w:b/>
          <w:color w:val="000000"/>
          <w:sz w:val="32"/>
          <w:szCs w:val="32"/>
          <w:highlight w:val="none"/>
        </w:rPr>
      </w:pPr>
      <w:r>
        <w:rPr>
          <w:rFonts w:hint="eastAsia" w:ascii="仿宋" w:hAnsi="仿宋" w:eastAsia="仿宋"/>
          <w:b/>
          <w:color w:val="000000"/>
          <w:sz w:val="32"/>
          <w:szCs w:val="32"/>
          <w:highlight w:val="none"/>
        </w:rPr>
        <w:t>（四）绩效目标情况及绩效评价结果</w:t>
      </w:r>
      <w:r>
        <w:rPr>
          <w:rFonts w:ascii="仿宋" w:hAnsi="仿宋" w:eastAsia="仿宋"/>
          <w:b/>
          <w:color w:val="000000"/>
          <w:sz w:val="32"/>
          <w:szCs w:val="32"/>
          <w:highlight w:val="none"/>
        </w:rPr>
        <w:t>说明</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我单位</w:t>
      </w:r>
      <w:r>
        <w:rPr>
          <w:rFonts w:hint="eastAsia" w:ascii="仿宋" w:hAnsi="仿宋" w:eastAsia="仿宋"/>
          <w:sz w:val="32"/>
          <w:szCs w:val="32"/>
          <w:highlight w:val="none"/>
        </w:rPr>
        <w:t>预算内项目</w:t>
      </w:r>
      <w:r>
        <w:rPr>
          <w:rFonts w:hint="eastAsia" w:ascii="仿宋" w:hAnsi="仿宋" w:eastAsia="仿宋"/>
          <w:sz w:val="32"/>
          <w:szCs w:val="32"/>
          <w:highlight w:val="none"/>
          <w:lang w:val="en-US" w:eastAsia="zh-CN"/>
        </w:rPr>
        <w:t>16</w:t>
      </w:r>
      <w:r>
        <w:rPr>
          <w:rFonts w:hint="eastAsia" w:ascii="仿宋" w:hAnsi="仿宋" w:eastAsia="仿宋"/>
          <w:sz w:val="32"/>
          <w:szCs w:val="32"/>
          <w:highlight w:val="none"/>
        </w:rPr>
        <w:t>个，金额</w:t>
      </w:r>
      <w:r>
        <w:rPr>
          <w:rFonts w:hint="eastAsia" w:ascii="仿宋" w:hAnsi="仿宋" w:eastAsia="仿宋"/>
          <w:sz w:val="32"/>
          <w:szCs w:val="32"/>
          <w:highlight w:val="none"/>
          <w:lang w:val="en-US" w:eastAsia="zh-CN"/>
        </w:rPr>
        <w:t>4,158,935.14</w:t>
      </w:r>
      <w:r>
        <w:rPr>
          <w:rFonts w:hint="eastAsia" w:ascii="仿宋" w:hAnsi="仿宋" w:eastAsia="仿宋"/>
          <w:sz w:val="32"/>
          <w:szCs w:val="32"/>
          <w:highlight w:val="none"/>
        </w:rPr>
        <w:t>元。其中：100万以上的项目</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个，金额</w:t>
      </w:r>
      <w:r>
        <w:rPr>
          <w:rFonts w:hint="eastAsia" w:ascii="仿宋" w:hAnsi="仿宋" w:eastAsia="仿宋"/>
          <w:sz w:val="32"/>
          <w:szCs w:val="32"/>
          <w:highlight w:val="none"/>
          <w:lang w:val="en-US" w:eastAsia="zh-CN"/>
        </w:rPr>
        <w:t>1,026,000.00</w:t>
      </w:r>
      <w:r>
        <w:rPr>
          <w:rFonts w:hint="eastAsia" w:ascii="仿宋" w:hAnsi="仿宋" w:eastAsia="仿宋"/>
          <w:sz w:val="32"/>
          <w:szCs w:val="32"/>
          <w:highlight w:val="none"/>
        </w:rPr>
        <w:t>元。具体项目绩效目标见附表。</w:t>
      </w:r>
    </w:p>
    <w:p>
      <w:pPr>
        <w:spacing w:line="560" w:lineRule="exact"/>
        <w:ind w:firstLine="643" w:firstLineChars="200"/>
        <w:rPr>
          <w:rFonts w:ascii="仿宋" w:hAnsi="仿宋" w:eastAsia="仿宋"/>
          <w:b/>
          <w:color w:val="000000"/>
          <w:sz w:val="32"/>
          <w:szCs w:val="32"/>
          <w:highlight w:val="none"/>
        </w:rPr>
      </w:pPr>
      <w:r>
        <w:rPr>
          <w:rFonts w:hint="eastAsia" w:ascii="仿宋" w:hAnsi="仿宋" w:eastAsia="仿宋"/>
          <w:b/>
          <w:color w:val="000000"/>
          <w:sz w:val="32"/>
          <w:szCs w:val="32"/>
          <w:highlight w:val="none"/>
        </w:rPr>
        <w:t>（五）国有</w:t>
      </w:r>
      <w:r>
        <w:rPr>
          <w:rFonts w:ascii="仿宋" w:hAnsi="仿宋" w:eastAsia="仿宋"/>
          <w:b/>
          <w:color w:val="000000"/>
          <w:sz w:val="32"/>
          <w:szCs w:val="32"/>
          <w:highlight w:val="none"/>
        </w:rPr>
        <w:t>资本经营预算财政拨款</w:t>
      </w:r>
      <w:r>
        <w:rPr>
          <w:rFonts w:hint="eastAsia" w:ascii="仿宋" w:hAnsi="仿宋" w:eastAsia="仿宋"/>
          <w:b/>
          <w:color w:val="000000"/>
          <w:sz w:val="32"/>
          <w:szCs w:val="32"/>
          <w:highlight w:val="none"/>
        </w:rPr>
        <w:t>情况</w:t>
      </w:r>
      <w:r>
        <w:rPr>
          <w:rFonts w:ascii="仿宋" w:hAnsi="仿宋" w:eastAsia="仿宋"/>
          <w:b/>
          <w:color w:val="000000"/>
          <w:sz w:val="32"/>
          <w:szCs w:val="32"/>
          <w:highlight w:val="none"/>
        </w:rPr>
        <w:t>说明</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北京市西城区</w:t>
      </w:r>
      <w:r>
        <w:rPr>
          <w:rFonts w:hint="eastAsia" w:ascii="仿宋" w:hAnsi="仿宋" w:eastAsia="仿宋"/>
          <w:sz w:val="32"/>
          <w:szCs w:val="32"/>
          <w:highlight w:val="none"/>
          <w:lang w:val="en-US" w:eastAsia="zh-CN"/>
        </w:rPr>
        <w:t>椿树社区卫生服务中心</w:t>
      </w:r>
      <w:r>
        <w:rPr>
          <w:rFonts w:hint="eastAsia" w:ascii="仿宋" w:hAnsi="仿宋" w:eastAsia="仿宋"/>
          <w:sz w:val="32"/>
          <w:szCs w:val="32"/>
          <w:highlight w:val="none"/>
        </w:rPr>
        <w:t>无此类信息。</w:t>
      </w:r>
    </w:p>
    <w:p>
      <w:pPr>
        <w:spacing w:line="560" w:lineRule="exact"/>
        <w:ind w:firstLine="643" w:firstLineChars="200"/>
        <w:rPr>
          <w:rFonts w:ascii="仿宋" w:hAnsi="仿宋" w:eastAsia="仿宋"/>
          <w:b/>
          <w:color w:val="000000"/>
          <w:sz w:val="32"/>
          <w:szCs w:val="32"/>
          <w:highlight w:val="none"/>
        </w:rPr>
      </w:pPr>
      <w:r>
        <w:rPr>
          <w:rFonts w:hint="eastAsia" w:ascii="仿宋" w:hAnsi="仿宋" w:eastAsia="仿宋"/>
          <w:b/>
          <w:color w:val="000000"/>
          <w:sz w:val="32"/>
          <w:szCs w:val="32"/>
          <w:highlight w:val="none"/>
        </w:rPr>
        <w:t>（六）国有资产</w:t>
      </w:r>
      <w:r>
        <w:rPr>
          <w:rFonts w:ascii="仿宋" w:hAnsi="仿宋" w:eastAsia="仿宋"/>
          <w:b/>
          <w:color w:val="000000"/>
          <w:sz w:val="32"/>
          <w:szCs w:val="32"/>
          <w:highlight w:val="none"/>
        </w:rPr>
        <w:t>占用情况说明</w:t>
      </w:r>
    </w:p>
    <w:p>
      <w:pPr>
        <w:spacing w:line="560" w:lineRule="exact"/>
        <w:ind w:firstLine="640" w:firstLineChars="200"/>
        <w:rPr>
          <w:rFonts w:ascii="仿宋" w:hAnsi="仿宋" w:eastAsia="仿宋" w:cs="黑体"/>
          <w:sz w:val="32"/>
          <w:szCs w:val="32"/>
          <w:highlight w:val="none"/>
        </w:rPr>
      </w:pPr>
      <w:r>
        <w:rPr>
          <w:rFonts w:hint="eastAsia" w:ascii="仿宋" w:hAnsi="仿宋" w:eastAsia="仿宋" w:cs="黑体"/>
          <w:sz w:val="32"/>
          <w:szCs w:val="32"/>
          <w:highlight w:val="none"/>
        </w:rPr>
        <w:t>截止20</w:t>
      </w:r>
      <w:r>
        <w:rPr>
          <w:rFonts w:hint="eastAsia" w:ascii="仿宋" w:hAnsi="仿宋" w:eastAsia="仿宋" w:cs="黑体"/>
          <w:sz w:val="32"/>
          <w:szCs w:val="32"/>
          <w:highlight w:val="none"/>
          <w:lang w:val="en-US" w:eastAsia="zh-CN"/>
        </w:rPr>
        <w:t>23</w:t>
      </w:r>
      <w:r>
        <w:rPr>
          <w:rFonts w:hint="eastAsia" w:ascii="仿宋" w:hAnsi="仿宋" w:eastAsia="仿宋" w:cs="黑体"/>
          <w:sz w:val="32"/>
          <w:szCs w:val="32"/>
          <w:highlight w:val="none"/>
        </w:rPr>
        <w:t>年底，我</w:t>
      </w:r>
      <w:r>
        <w:rPr>
          <w:rFonts w:hint="eastAsia" w:ascii="仿宋" w:hAnsi="仿宋" w:eastAsia="仿宋" w:cs="黑体"/>
          <w:sz w:val="32"/>
          <w:szCs w:val="32"/>
          <w:highlight w:val="none"/>
          <w:lang w:val="en-US" w:eastAsia="zh-CN"/>
        </w:rPr>
        <w:t>单位</w:t>
      </w:r>
      <w:r>
        <w:rPr>
          <w:rFonts w:hint="eastAsia" w:ascii="仿宋" w:hAnsi="仿宋" w:eastAsia="仿宋" w:cs="黑体"/>
          <w:sz w:val="32"/>
          <w:szCs w:val="32"/>
          <w:highlight w:val="none"/>
        </w:rPr>
        <w:t>固定资产总额</w:t>
      </w:r>
      <w:r>
        <w:rPr>
          <w:rFonts w:hint="eastAsia" w:ascii="仿宋" w:hAnsi="仿宋" w:eastAsia="仿宋" w:cs="黑体"/>
          <w:sz w:val="32"/>
          <w:szCs w:val="32"/>
          <w:highlight w:val="none"/>
          <w:lang w:val="en-US" w:eastAsia="zh-CN"/>
        </w:rPr>
        <w:t>17,782,121.91</w:t>
      </w:r>
      <w:r>
        <w:rPr>
          <w:rFonts w:hint="eastAsia" w:ascii="仿宋" w:hAnsi="仿宋" w:eastAsia="仿宋" w:cs="黑体"/>
          <w:sz w:val="32"/>
          <w:szCs w:val="32"/>
          <w:highlight w:val="none"/>
        </w:rPr>
        <w:t>元，其中：车辆</w:t>
      </w:r>
      <w:r>
        <w:rPr>
          <w:rFonts w:hint="eastAsia" w:ascii="仿宋" w:hAnsi="仿宋" w:eastAsia="仿宋" w:cs="黑体"/>
          <w:sz w:val="32"/>
          <w:szCs w:val="32"/>
          <w:highlight w:val="none"/>
          <w:lang w:val="en-US" w:eastAsia="zh-CN"/>
        </w:rPr>
        <w:t>1</w:t>
      </w:r>
      <w:r>
        <w:rPr>
          <w:rFonts w:hint="eastAsia" w:ascii="仿宋" w:hAnsi="仿宋" w:eastAsia="仿宋" w:cs="黑体"/>
          <w:sz w:val="32"/>
          <w:szCs w:val="32"/>
          <w:highlight w:val="none"/>
        </w:rPr>
        <w:t>台，</w:t>
      </w:r>
      <w:r>
        <w:rPr>
          <w:rFonts w:hint="eastAsia" w:ascii="仿宋" w:hAnsi="仿宋" w:eastAsia="仿宋" w:cs="黑体"/>
          <w:sz w:val="32"/>
          <w:szCs w:val="32"/>
          <w:highlight w:val="none"/>
          <w:lang w:val="en-US" w:eastAsia="zh-CN"/>
        </w:rPr>
        <w:t>162,603</w:t>
      </w:r>
      <w:r>
        <w:rPr>
          <w:rFonts w:hint="eastAsia" w:ascii="仿宋" w:hAnsi="仿宋" w:eastAsia="仿宋" w:cs="黑体"/>
          <w:sz w:val="32"/>
          <w:szCs w:val="32"/>
          <w:highlight w:val="none"/>
        </w:rPr>
        <w:t>元；单位价值50万元以上的通用设备</w:t>
      </w:r>
      <w:r>
        <w:rPr>
          <w:rFonts w:hint="eastAsia" w:ascii="仿宋" w:hAnsi="仿宋" w:eastAsia="仿宋" w:cs="黑体"/>
          <w:sz w:val="32"/>
          <w:szCs w:val="32"/>
          <w:highlight w:val="none"/>
          <w:lang w:val="en-US" w:eastAsia="zh-CN"/>
        </w:rPr>
        <w:t>1</w:t>
      </w:r>
      <w:r>
        <w:rPr>
          <w:rFonts w:hint="eastAsia" w:ascii="仿宋" w:hAnsi="仿宋" w:eastAsia="仿宋" w:cs="黑体"/>
          <w:sz w:val="32"/>
          <w:szCs w:val="32"/>
          <w:highlight w:val="none"/>
        </w:rPr>
        <w:t>台（套）、</w:t>
      </w:r>
      <w:r>
        <w:rPr>
          <w:rFonts w:hint="eastAsia" w:ascii="仿宋" w:hAnsi="仿宋" w:eastAsia="仿宋" w:cs="黑体"/>
          <w:color w:val="auto"/>
          <w:sz w:val="32"/>
          <w:szCs w:val="32"/>
          <w:highlight w:val="none"/>
          <w:lang w:val="en-US" w:eastAsia="zh-CN"/>
        </w:rPr>
        <w:t>2,472,718.00</w:t>
      </w:r>
      <w:r>
        <w:rPr>
          <w:rFonts w:hint="eastAsia" w:ascii="仿宋" w:hAnsi="仿宋" w:eastAsia="仿宋" w:cs="黑体"/>
          <w:color w:val="auto"/>
          <w:sz w:val="32"/>
          <w:szCs w:val="32"/>
          <w:highlight w:val="none"/>
        </w:rPr>
        <w:t>元，单位价值100万元以上的专用设备</w:t>
      </w:r>
      <w:r>
        <w:rPr>
          <w:rFonts w:hint="eastAsia" w:ascii="仿宋" w:hAnsi="仿宋" w:eastAsia="仿宋" w:cs="黑体"/>
          <w:color w:val="auto"/>
          <w:sz w:val="32"/>
          <w:szCs w:val="32"/>
          <w:highlight w:val="none"/>
          <w:lang w:val="en-US" w:eastAsia="zh-CN"/>
        </w:rPr>
        <w:t>2</w:t>
      </w:r>
      <w:r>
        <w:rPr>
          <w:rFonts w:hint="eastAsia" w:ascii="仿宋" w:hAnsi="仿宋" w:eastAsia="仿宋" w:cs="黑体"/>
          <w:color w:val="auto"/>
          <w:sz w:val="32"/>
          <w:szCs w:val="32"/>
          <w:highlight w:val="none"/>
        </w:rPr>
        <w:t>台（套）、</w:t>
      </w:r>
      <w:r>
        <w:rPr>
          <w:rFonts w:hint="eastAsia" w:ascii="仿宋" w:hAnsi="仿宋" w:eastAsia="仿宋" w:cs="黑体"/>
          <w:color w:val="auto"/>
          <w:sz w:val="32"/>
          <w:szCs w:val="32"/>
          <w:highlight w:val="none"/>
          <w:lang w:val="en-US" w:eastAsia="zh-CN"/>
        </w:rPr>
        <w:t>3,985,000.00</w:t>
      </w:r>
      <w:r>
        <w:rPr>
          <w:rFonts w:hint="eastAsia" w:ascii="仿宋" w:hAnsi="仿宋" w:eastAsia="仿宋" w:cs="黑体"/>
          <w:sz w:val="32"/>
          <w:szCs w:val="32"/>
          <w:highlight w:val="none"/>
        </w:rPr>
        <w:t>万元。</w:t>
      </w:r>
    </w:p>
    <w:p>
      <w:pPr>
        <w:spacing w:line="560" w:lineRule="exact"/>
        <w:ind w:firstLine="640" w:firstLineChars="200"/>
        <w:rPr>
          <w:rFonts w:ascii="仿宋" w:hAnsi="仿宋" w:eastAsia="仿宋"/>
          <w:color w:val="000000"/>
          <w:sz w:val="32"/>
          <w:szCs w:val="32"/>
          <w:highlight w:val="none"/>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部门财政预算：安排购置车辆</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rPr>
        <w:t>台</w:t>
      </w:r>
      <w:r>
        <w:rPr>
          <w:rFonts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0.00</w:t>
      </w:r>
      <w:r>
        <w:rPr>
          <w:rFonts w:hint="eastAsia" w:ascii="仿宋_GB2312" w:eastAsia="仿宋_GB2312"/>
          <w:color w:val="000000"/>
          <w:sz w:val="32"/>
          <w:szCs w:val="32"/>
          <w:highlight w:val="none"/>
        </w:rPr>
        <w:t>元；安排购置单位</w:t>
      </w:r>
      <w:r>
        <w:rPr>
          <w:rFonts w:ascii="仿宋_GB2312" w:eastAsia="仿宋_GB2312"/>
          <w:color w:val="000000"/>
          <w:sz w:val="32"/>
          <w:szCs w:val="32"/>
          <w:highlight w:val="none"/>
        </w:rPr>
        <w:t>价值</w:t>
      </w:r>
      <w:r>
        <w:rPr>
          <w:rFonts w:hint="eastAsia" w:ascii="仿宋_GB2312" w:eastAsia="仿宋_GB2312"/>
          <w:color w:val="000000"/>
          <w:sz w:val="32"/>
          <w:szCs w:val="32"/>
          <w:highlight w:val="none"/>
        </w:rPr>
        <w:t>50万元以上</w:t>
      </w:r>
      <w:r>
        <w:rPr>
          <w:rFonts w:ascii="仿宋_GB2312" w:eastAsia="仿宋_GB2312"/>
          <w:color w:val="000000"/>
          <w:sz w:val="32"/>
          <w:szCs w:val="32"/>
          <w:highlight w:val="none"/>
        </w:rPr>
        <w:t>的</w:t>
      </w:r>
      <w:r>
        <w:rPr>
          <w:rFonts w:hint="eastAsia" w:ascii="仿宋_GB2312" w:eastAsia="仿宋_GB2312"/>
          <w:color w:val="000000"/>
          <w:sz w:val="32"/>
          <w:szCs w:val="32"/>
          <w:highlight w:val="none"/>
        </w:rPr>
        <w:t>通用</w:t>
      </w:r>
      <w:r>
        <w:rPr>
          <w:rFonts w:ascii="仿宋_GB2312" w:eastAsia="仿宋_GB2312"/>
          <w:color w:val="000000"/>
          <w:sz w:val="32"/>
          <w:szCs w:val="32"/>
          <w:highlight w:val="none"/>
        </w:rPr>
        <w:t>设备</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rPr>
        <w:t>台（套）、</w:t>
      </w:r>
      <w:r>
        <w:rPr>
          <w:rFonts w:hint="eastAsia" w:ascii="仿宋_GB2312" w:eastAsia="仿宋_GB2312"/>
          <w:color w:val="000000"/>
          <w:sz w:val="32"/>
          <w:szCs w:val="32"/>
          <w:highlight w:val="none"/>
          <w:lang w:val="en-US" w:eastAsia="zh-CN"/>
        </w:rPr>
        <w:t>0.00</w:t>
      </w:r>
      <w:bookmarkStart w:id="0" w:name="_GoBack"/>
      <w:bookmarkEnd w:id="0"/>
      <w:r>
        <w:rPr>
          <w:rFonts w:hint="eastAsia" w:ascii="仿宋_GB2312" w:eastAsia="仿宋_GB2312"/>
          <w:color w:val="000000"/>
          <w:sz w:val="32"/>
          <w:szCs w:val="32"/>
          <w:highlight w:val="none"/>
        </w:rPr>
        <w:t>元，安排购置单位</w:t>
      </w:r>
      <w:r>
        <w:rPr>
          <w:rFonts w:ascii="仿宋_GB2312" w:eastAsia="仿宋_GB2312"/>
          <w:color w:val="000000"/>
          <w:sz w:val="32"/>
          <w:szCs w:val="32"/>
          <w:highlight w:val="none"/>
        </w:rPr>
        <w:t>价值100</w:t>
      </w:r>
      <w:r>
        <w:rPr>
          <w:rFonts w:hint="eastAsia" w:ascii="仿宋_GB2312" w:eastAsia="仿宋_GB2312"/>
          <w:color w:val="000000"/>
          <w:sz w:val="32"/>
          <w:szCs w:val="32"/>
          <w:highlight w:val="none"/>
        </w:rPr>
        <w:t>万元以上</w:t>
      </w:r>
      <w:r>
        <w:rPr>
          <w:rFonts w:ascii="仿宋_GB2312" w:eastAsia="仿宋_GB2312"/>
          <w:color w:val="000000"/>
          <w:sz w:val="32"/>
          <w:szCs w:val="32"/>
          <w:highlight w:val="none"/>
        </w:rPr>
        <w:t>的</w:t>
      </w:r>
      <w:r>
        <w:rPr>
          <w:rFonts w:hint="eastAsia" w:ascii="仿宋_GB2312" w:eastAsia="仿宋_GB2312"/>
          <w:color w:val="000000"/>
          <w:sz w:val="32"/>
          <w:szCs w:val="32"/>
          <w:highlight w:val="none"/>
        </w:rPr>
        <w:t>专用</w:t>
      </w:r>
      <w:r>
        <w:rPr>
          <w:rFonts w:ascii="仿宋_GB2312" w:eastAsia="仿宋_GB2312"/>
          <w:color w:val="000000"/>
          <w:sz w:val="32"/>
          <w:szCs w:val="32"/>
          <w:highlight w:val="none"/>
        </w:rPr>
        <w:t>设备</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rPr>
        <w:t>台（套）。</w:t>
      </w:r>
    </w:p>
    <w:p>
      <w:pPr>
        <w:spacing w:line="560" w:lineRule="exact"/>
        <w:ind w:firstLine="645"/>
        <w:rPr>
          <w:rFonts w:ascii="仿宋" w:hAnsi="仿宋" w:eastAsia="仿宋"/>
          <w:b/>
          <w:color w:val="000000"/>
          <w:sz w:val="32"/>
          <w:szCs w:val="32"/>
          <w:highlight w:val="none"/>
        </w:rPr>
      </w:pPr>
      <w:r>
        <w:rPr>
          <w:rFonts w:hint="eastAsia" w:ascii="仿宋" w:hAnsi="仿宋" w:eastAsia="仿宋"/>
          <w:b/>
          <w:color w:val="000000"/>
          <w:sz w:val="32"/>
          <w:szCs w:val="32"/>
          <w:highlight w:val="none"/>
        </w:rPr>
        <w:t>（七）重点行政事业性收费情况说明</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北京市西城区</w:t>
      </w:r>
      <w:r>
        <w:rPr>
          <w:rFonts w:hint="eastAsia" w:ascii="仿宋" w:hAnsi="仿宋" w:eastAsia="仿宋"/>
          <w:sz w:val="32"/>
          <w:szCs w:val="32"/>
          <w:highlight w:val="none"/>
          <w:lang w:val="en-US" w:eastAsia="zh-CN"/>
        </w:rPr>
        <w:t>椿树社区卫生服务中心</w:t>
      </w:r>
      <w:r>
        <w:rPr>
          <w:rFonts w:hint="eastAsia" w:ascii="仿宋" w:hAnsi="仿宋" w:eastAsia="仿宋"/>
          <w:sz w:val="32"/>
          <w:szCs w:val="32"/>
          <w:highlight w:val="none"/>
        </w:rPr>
        <w:t>无此类信息。</w:t>
      </w:r>
    </w:p>
    <w:p>
      <w:pPr>
        <w:spacing w:line="560" w:lineRule="exact"/>
        <w:ind w:firstLine="643" w:firstLineChars="200"/>
        <w:rPr>
          <w:rFonts w:ascii="仿宋" w:hAnsi="仿宋" w:eastAsia="仿宋" w:cs="黑体"/>
          <w:b/>
          <w:sz w:val="32"/>
          <w:szCs w:val="32"/>
          <w:highlight w:val="none"/>
        </w:rPr>
      </w:pPr>
      <w:r>
        <w:rPr>
          <w:rFonts w:hint="eastAsia" w:ascii="仿宋" w:hAnsi="仿宋" w:eastAsia="仿宋" w:cs="黑体"/>
          <w:b/>
          <w:sz w:val="32"/>
          <w:szCs w:val="32"/>
          <w:highlight w:val="none"/>
        </w:rPr>
        <w:t>（八）政府性基金预算财政拨款收入、支出全为零。</w:t>
      </w:r>
    </w:p>
    <w:p>
      <w:pPr>
        <w:spacing w:line="560" w:lineRule="exact"/>
        <w:ind w:firstLine="640" w:firstLineChars="200"/>
        <w:rPr>
          <w:rFonts w:ascii="仿宋" w:hAnsi="仿宋" w:eastAsia="仿宋" w:cs="黑体"/>
          <w:b/>
          <w:sz w:val="32"/>
          <w:szCs w:val="32"/>
          <w:highlight w:val="none"/>
        </w:rPr>
      </w:pPr>
      <w:r>
        <w:rPr>
          <w:rFonts w:hint="eastAsia" w:ascii="黑体" w:hAnsi="黑体" w:eastAsia="黑体"/>
          <w:color w:val="000000"/>
          <w:sz w:val="32"/>
          <w:szCs w:val="32"/>
          <w:highlight w:val="none"/>
        </w:rPr>
        <w:t>六</w:t>
      </w:r>
      <w:r>
        <w:rPr>
          <w:rFonts w:ascii="黑体" w:hAnsi="黑体" w:eastAsia="黑体"/>
          <w:color w:val="000000"/>
          <w:sz w:val="32"/>
          <w:szCs w:val="32"/>
          <w:highlight w:val="none"/>
        </w:rPr>
        <w:t>、名称</w:t>
      </w:r>
      <w:r>
        <w:rPr>
          <w:rFonts w:hint="eastAsia" w:ascii="黑体" w:hAnsi="黑体" w:eastAsia="黑体"/>
          <w:color w:val="000000"/>
          <w:sz w:val="32"/>
          <w:szCs w:val="32"/>
          <w:highlight w:val="none"/>
        </w:rPr>
        <w:t>解释</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1.财政拨款收入：指单位本年度从财政部门取得的财政拨款。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2.上级补助收入：指事业单位从主管部门和上级单位取得的非财政补助收入。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4.经营收入：指事业单位在专业业务活动及其辅助活动之外开展非独立核算经营活动取得的收入。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5.附属单位缴款：指事业单位附属独立核算单位按照有关规定上缴的收入。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5.其他收入：指单位取得的除上述“财政拨款收入”、“事业收入”、“经营收入”等以外的各项收入。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6.基本支出：指为保障机构正常运转、完成日常工作任务而发生的人员支出和公用支出。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7.项目支出：指在基本支出之外为完成特定的行政任务或事业发展目标所发生的支出。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8.上缴上级支出：指事业单位按照财政部门和主管部门的规定上缴上级单位的支出。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9.经营支出：指事业单位在专业业务活动及其辅助活动之外开展非独立核算经营活动发生的支出。 </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10.对附属单位补助支出：指事业单位用财政补助收入之外的收入对附属单位补助发生的支出。</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11.机</w:t>
      </w:r>
      <w:r>
        <w:rPr>
          <w:rFonts w:hint="eastAsia" w:ascii="仿宋" w:hAnsi="仿宋" w:eastAsia="仿宋"/>
          <w:sz w:val="32"/>
          <w:szCs w:val="32"/>
          <w:highlight w:val="none"/>
          <w:lang w:eastAsia="zh-CN"/>
        </w:rPr>
        <w:t>关</w:t>
      </w:r>
      <w:r>
        <w:rPr>
          <w:rFonts w:hint="eastAsia" w:ascii="仿宋" w:hAnsi="仿宋" w:eastAsia="仿宋"/>
          <w:sz w:val="32"/>
          <w:szCs w:val="32"/>
          <w:highlight w:val="none"/>
        </w:rPr>
        <w:t>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12.“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Pr>
        <w:spacing w:line="560" w:lineRule="exact"/>
        <w:ind w:firstLine="643" w:firstLineChars="200"/>
        <w:jc w:val="center"/>
        <w:rPr>
          <w:rFonts w:hint="eastAsia" w:asciiTheme="minorEastAsia" w:hAnsiTheme="minorEastAsia" w:eastAsiaTheme="minorEastAsia"/>
          <w:b/>
          <w:color w:val="000000"/>
          <w:sz w:val="32"/>
          <w:szCs w:val="32"/>
          <w:highlight w:val="none"/>
        </w:rPr>
      </w:pPr>
    </w:p>
    <w:p>
      <w:pPr>
        <w:spacing w:line="560" w:lineRule="exact"/>
        <w:ind w:firstLine="643" w:firstLineChars="200"/>
        <w:jc w:val="center"/>
        <w:rPr>
          <w:rFonts w:hint="eastAsia" w:asciiTheme="minorEastAsia" w:hAnsiTheme="minorEastAsia" w:eastAsiaTheme="minorEastAsia"/>
          <w:b/>
          <w:color w:val="000000"/>
          <w:sz w:val="32"/>
          <w:szCs w:val="32"/>
          <w:highlight w:val="none"/>
        </w:rPr>
      </w:pPr>
    </w:p>
    <w:p>
      <w:pPr>
        <w:spacing w:line="560" w:lineRule="exact"/>
        <w:ind w:firstLine="643" w:firstLineChars="200"/>
        <w:jc w:val="center"/>
        <w:rPr>
          <w:rFonts w:hint="eastAsia" w:asciiTheme="minorEastAsia" w:hAnsiTheme="minorEastAsia" w:eastAsiaTheme="minorEastAsia"/>
          <w:b/>
          <w:color w:val="000000"/>
          <w:sz w:val="32"/>
          <w:szCs w:val="32"/>
          <w:highlight w:val="none"/>
        </w:rPr>
      </w:pPr>
    </w:p>
    <w:p>
      <w:pPr>
        <w:spacing w:line="560" w:lineRule="exact"/>
        <w:ind w:firstLine="643" w:firstLineChars="200"/>
        <w:jc w:val="center"/>
        <w:rPr>
          <w:rFonts w:hint="eastAsia" w:asciiTheme="minorEastAsia" w:hAnsiTheme="minorEastAsia" w:eastAsiaTheme="minorEastAsia"/>
          <w:b/>
          <w:color w:val="000000"/>
          <w:sz w:val="32"/>
          <w:szCs w:val="32"/>
          <w:highlight w:val="none"/>
        </w:rPr>
      </w:pPr>
    </w:p>
    <w:sectPr>
      <w:footerReference r:id="rId3" w:type="default"/>
      <w:pgSz w:w="11907" w:h="16840"/>
      <w:pgMar w:top="1440" w:right="1440" w:bottom="1440" w:left="144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10601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071066"/>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FB9643"/>
    <w:multiLevelType w:val="singleLevel"/>
    <w:tmpl w:val="D5FB9643"/>
    <w:lvl w:ilvl="0" w:tentative="0">
      <w:start w:val="5"/>
      <w:numFmt w:val="decimal"/>
      <w:lvlText w:val="%1."/>
      <w:lvlJc w:val="left"/>
      <w:pPr>
        <w:tabs>
          <w:tab w:val="left" w:pos="312"/>
        </w:tabs>
      </w:pPr>
    </w:lvl>
  </w:abstractNum>
  <w:abstractNum w:abstractNumId="1">
    <w:nsid w:val="5E2370FA"/>
    <w:multiLevelType w:val="singleLevel"/>
    <w:tmpl w:val="5E2370FA"/>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FD3"/>
    <w:rsid w:val="000058B8"/>
    <w:rsid w:val="0001227E"/>
    <w:rsid w:val="00012C72"/>
    <w:rsid w:val="000167C3"/>
    <w:rsid w:val="0002050C"/>
    <w:rsid w:val="00026274"/>
    <w:rsid w:val="000353C0"/>
    <w:rsid w:val="0004262E"/>
    <w:rsid w:val="000511C6"/>
    <w:rsid w:val="00056670"/>
    <w:rsid w:val="00057EEC"/>
    <w:rsid w:val="00065B5B"/>
    <w:rsid w:val="000778A5"/>
    <w:rsid w:val="000809EA"/>
    <w:rsid w:val="00081EEB"/>
    <w:rsid w:val="00082375"/>
    <w:rsid w:val="00087113"/>
    <w:rsid w:val="000876D9"/>
    <w:rsid w:val="00090DC1"/>
    <w:rsid w:val="00094921"/>
    <w:rsid w:val="0009610F"/>
    <w:rsid w:val="000A2411"/>
    <w:rsid w:val="000A453A"/>
    <w:rsid w:val="000B39D6"/>
    <w:rsid w:val="000B5353"/>
    <w:rsid w:val="000B57D0"/>
    <w:rsid w:val="000C0890"/>
    <w:rsid w:val="000D1249"/>
    <w:rsid w:val="000D7965"/>
    <w:rsid w:val="000E02A7"/>
    <w:rsid w:val="000E785B"/>
    <w:rsid w:val="000F17C1"/>
    <w:rsid w:val="000F2B6A"/>
    <w:rsid w:val="000F3908"/>
    <w:rsid w:val="00103713"/>
    <w:rsid w:val="00104DA5"/>
    <w:rsid w:val="00115D37"/>
    <w:rsid w:val="0011744A"/>
    <w:rsid w:val="00120936"/>
    <w:rsid w:val="00121912"/>
    <w:rsid w:val="00121BDF"/>
    <w:rsid w:val="00122101"/>
    <w:rsid w:val="0012454A"/>
    <w:rsid w:val="001313D0"/>
    <w:rsid w:val="00131989"/>
    <w:rsid w:val="00134EEA"/>
    <w:rsid w:val="00137B00"/>
    <w:rsid w:val="001414DA"/>
    <w:rsid w:val="001453D3"/>
    <w:rsid w:val="00146DA2"/>
    <w:rsid w:val="00152C69"/>
    <w:rsid w:val="00154E9F"/>
    <w:rsid w:val="0016146C"/>
    <w:rsid w:val="00166BA6"/>
    <w:rsid w:val="00170AC8"/>
    <w:rsid w:val="001728B2"/>
    <w:rsid w:val="00175E20"/>
    <w:rsid w:val="00177F92"/>
    <w:rsid w:val="00190E69"/>
    <w:rsid w:val="001965E9"/>
    <w:rsid w:val="001A48FF"/>
    <w:rsid w:val="001A6A57"/>
    <w:rsid w:val="001B409E"/>
    <w:rsid w:val="001B44DE"/>
    <w:rsid w:val="001B4C49"/>
    <w:rsid w:val="001B55AB"/>
    <w:rsid w:val="001B5F99"/>
    <w:rsid w:val="001B7529"/>
    <w:rsid w:val="001D2B61"/>
    <w:rsid w:val="001E5233"/>
    <w:rsid w:val="001F1781"/>
    <w:rsid w:val="001F1FD3"/>
    <w:rsid w:val="002065E4"/>
    <w:rsid w:val="00211D0F"/>
    <w:rsid w:val="00217B15"/>
    <w:rsid w:val="00227281"/>
    <w:rsid w:val="00241441"/>
    <w:rsid w:val="00250786"/>
    <w:rsid w:val="00250FDF"/>
    <w:rsid w:val="00255063"/>
    <w:rsid w:val="002558E2"/>
    <w:rsid w:val="0026309F"/>
    <w:rsid w:val="00267491"/>
    <w:rsid w:val="00270632"/>
    <w:rsid w:val="002719F2"/>
    <w:rsid w:val="00275671"/>
    <w:rsid w:val="00280CF3"/>
    <w:rsid w:val="002811F4"/>
    <w:rsid w:val="00283D3A"/>
    <w:rsid w:val="0028413B"/>
    <w:rsid w:val="002A2B58"/>
    <w:rsid w:val="002B17F3"/>
    <w:rsid w:val="002B3338"/>
    <w:rsid w:val="002B4111"/>
    <w:rsid w:val="002C1F0C"/>
    <w:rsid w:val="002C588B"/>
    <w:rsid w:val="002C71A7"/>
    <w:rsid w:val="002E5154"/>
    <w:rsid w:val="002F6533"/>
    <w:rsid w:val="00311BB0"/>
    <w:rsid w:val="00314A03"/>
    <w:rsid w:val="00320F05"/>
    <w:rsid w:val="00322C9C"/>
    <w:rsid w:val="0033077C"/>
    <w:rsid w:val="00335EEA"/>
    <w:rsid w:val="00340FF6"/>
    <w:rsid w:val="00357824"/>
    <w:rsid w:val="00387203"/>
    <w:rsid w:val="00392B75"/>
    <w:rsid w:val="003A1916"/>
    <w:rsid w:val="003A2C49"/>
    <w:rsid w:val="003A3985"/>
    <w:rsid w:val="003A5284"/>
    <w:rsid w:val="003B1306"/>
    <w:rsid w:val="003B51BF"/>
    <w:rsid w:val="003B55BA"/>
    <w:rsid w:val="003C1EF9"/>
    <w:rsid w:val="003D2E89"/>
    <w:rsid w:val="003D3090"/>
    <w:rsid w:val="003D6133"/>
    <w:rsid w:val="003F367D"/>
    <w:rsid w:val="003F528B"/>
    <w:rsid w:val="003F62F3"/>
    <w:rsid w:val="00403A91"/>
    <w:rsid w:val="00404C28"/>
    <w:rsid w:val="0040628A"/>
    <w:rsid w:val="004147B2"/>
    <w:rsid w:val="004201B8"/>
    <w:rsid w:val="00426B0B"/>
    <w:rsid w:val="00426E83"/>
    <w:rsid w:val="00430972"/>
    <w:rsid w:val="004332AE"/>
    <w:rsid w:val="0043523D"/>
    <w:rsid w:val="00437D4D"/>
    <w:rsid w:val="00440481"/>
    <w:rsid w:val="00441893"/>
    <w:rsid w:val="00446E7D"/>
    <w:rsid w:val="00446EA6"/>
    <w:rsid w:val="004472C0"/>
    <w:rsid w:val="00453216"/>
    <w:rsid w:val="00454927"/>
    <w:rsid w:val="004614BC"/>
    <w:rsid w:val="004706A6"/>
    <w:rsid w:val="00470B46"/>
    <w:rsid w:val="00484501"/>
    <w:rsid w:val="00495D3A"/>
    <w:rsid w:val="004A0221"/>
    <w:rsid w:val="004B03D2"/>
    <w:rsid w:val="004B0C60"/>
    <w:rsid w:val="004B0F13"/>
    <w:rsid w:val="004B20A3"/>
    <w:rsid w:val="004B4EA7"/>
    <w:rsid w:val="004D05D9"/>
    <w:rsid w:val="004D0E98"/>
    <w:rsid w:val="004D684F"/>
    <w:rsid w:val="004E1935"/>
    <w:rsid w:val="004E1D04"/>
    <w:rsid w:val="004F18E7"/>
    <w:rsid w:val="004F44E3"/>
    <w:rsid w:val="004F643C"/>
    <w:rsid w:val="0050408E"/>
    <w:rsid w:val="00505AE6"/>
    <w:rsid w:val="00524C84"/>
    <w:rsid w:val="005268F4"/>
    <w:rsid w:val="00542ACC"/>
    <w:rsid w:val="005444AF"/>
    <w:rsid w:val="00553CB6"/>
    <w:rsid w:val="00556B66"/>
    <w:rsid w:val="00560208"/>
    <w:rsid w:val="00571A6A"/>
    <w:rsid w:val="00572C0C"/>
    <w:rsid w:val="00573B8C"/>
    <w:rsid w:val="00583737"/>
    <w:rsid w:val="00583BE3"/>
    <w:rsid w:val="0059014A"/>
    <w:rsid w:val="00592E9C"/>
    <w:rsid w:val="005B46BA"/>
    <w:rsid w:val="005C29DE"/>
    <w:rsid w:val="005C6925"/>
    <w:rsid w:val="005D1A38"/>
    <w:rsid w:val="005E0582"/>
    <w:rsid w:val="005E1A56"/>
    <w:rsid w:val="005F05C9"/>
    <w:rsid w:val="005F345C"/>
    <w:rsid w:val="005F57FE"/>
    <w:rsid w:val="005F7809"/>
    <w:rsid w:val="00605AF3"/>
    <w:rsid w:val="0061537D"/>
    <w:rsid w:val="00622F47"/>
    <w:rsid w:val="00623023"/>
    <w:rsid w:val="006406A8"/>
    <w:rsid w:val="00642CB2"/>
    <w:rsid w:val="00654E82"/>
    <w:rsid w:val="006620E8"/>
    <w:rsid w:val="00662A53"/>
    <w:rsid w:val="006703F3"/>
    <w:rsid w:val="006705B5"/>
    <w:rsid w:val="00674A58"/>
    <w:rsid w:val="006851D5"/>
    <w:rsid w:val="00686A35"/>
    <w:rsid w:val="00686F32"/>
    <w:rsid w:val="00690BF5"/>
    <w:rsid w:val="006914DE"/>
    <w:rsid w:val="006A097A"/>
    <w:rsid w:val="006A0B47"/>
    <w:rsid w:val="006A1951"/>
    <w:rsid w:val="006A57A9"/>
    <w:rsid w:val="006A6CA1"/>
    <w:rsid w:val="006A7D1D"/>
    <w:rsid w:val="006B6E4C"/>
    <w:rsid w:val="006C06AF"/>
    <w:rsid w:val="006C3177"/>
    <w:rsid w:val="006D1479"/>
    <w:rsid w:val="006D301F"/>
    <w:rsid w:val="006D4C1E"/>
    <w:rsid w:val="006D5B1A"/>
    <w:rsid w:val="006D6744"/>
    <w:rsid w:val="006E72A9"/>
    <w:rsid w:val="006E7E14"/>
    <w:rsid w:val="006F19AE"/>
    <w:rsid w:val="006F2626"/>
    <w:rsid w:val="006F5DA4"/>
    <w:rsid w:val="00701212"/>
    <w:rsid w:val="00704F09"/>
    <w:rsid w:val="00705995"/>
    <w:rsid w:val="00706CDF"/>
    <w:rsid w:val="007074E0"/>
    <w:rsid w:val="00713E17"/>
    <w:rsid w:val="007150ED"/>
    <w:rsid w:val="007157F1"/>
    <w:rsid w:val="00721692"/>
    <w:rsid w:val="00723DFF"/>
    <w:rsid w:val="00726FFC"/>
    <w:rsid w:val="00740AF3"/>
    <w:rsid w:val="00742ACB"/>
    <w:rsid w:val="00746DE9"/>
    <w:rsid w:val="0075349D"/>
    <w:rsid w:val="00767F1C"/>
    <w:rsid w:val="0077031A"/>
    <w:rsid w:val="00772045"/>
    <w:rsid w:val="0077607F"/>
    <w:rsid w:val="00776627"/>
    <w:rsid w:val="007805E4"/>
    <w:rsid w:val="0078564C"/>
    <w:rsid w:val="007911D4"/>
    <w:rsid w:val="00794C49"/>
    <w:rsid w:val="0079557D"/>
    <w:rsid w:val="007A57CD"/>
    <w:rsid w:val="007A5BAF"/>
    <w:rsid w:val="007B7D8D"/>
    <w:rsid w:val="007C490A"/>
    <w:rsid w:val="007C6F16"/>
    <w:rsid w:val="007C788F"/>
    <w:rsid w:val="007D2AEE"/>
    <w:rsid w:val="007E2DE5"/>
    <w:rsid w:val="007E5942"/>
    <w:rsid w:val="007F25A4"/>
    <w:rsid w:val="007F7DBE"/>
    <w:rsid w:val="00803229"/>
    <w:rsid w:val="00824432"/>
    <w:rsid w:val="00824DD4"/>
    <w:rsid w:val="0082638C"/>
    <w:rsid w:val="00842CA1"/>
    <w:rsid w:val="00850F8A"/>
    <w:rsid w:val="00854352"/>
    <w:rsid w:val="00856F07"/>
    <w:rsid w:val="008602F6"/>
    <w:rsid w:val="008646B2"/>
    <w:rsid w:val="00870DCC"/>
    <w:rsid w:val="008757EF"/>
    <w:rsid w:val="00876D5C"/>
    <w:rsid w:val="00892B9D"/>
    <w:rsid w:val="008941C1"/>
    <w:rsid w:val="008B7C31"/>
    <w:rsid w:val="008C6DDA"/>
    <w:rsid w:val="008C77B5"/>
    <w:rsid w:val="008D0CF9"/>
    <w:rsid w:val="008D1015"/>
    <w:rsid w:val="008E2133"/>
    <w:rsid w:val="008E2A75"/>
    <w:rsid w:val="008E6326"/>
    <w:rsid w:val="008F09B5"/>
    <w:rsid w:val="008F3353"/>
    <w:rsid w:val="008F5003"/>
    <w:rsid w:val="00901A35"/>
    <w:rsid w:val="0090699B"/>
    <w:rsid w:val="00906A6B"/>
    <w:rsid w:val="00906D3C"/>
    <w:rsid w:val="00907EBD"/>
    <w:rsid w:val="00924E63"/>
    <w:rsid w:val="009361BE"/>
    <w:rsid w:val="0093724A"/>
    <w:rsid w:val="00941E41"/>
    <w:rsid w:val="00941FA6"/>
    <w:rsid w:val="00943581"/>
    <w:rsid w:val="00946BE6"/>
    <w:rsid w:val="009541E7"/>
    <w:rsid w:val="00970D63"/>
    <w:rsid w:val="0098439F"/>
    <w:rsid w:val="0098659A"/>
    <w:rsid w:val="00987E28"/>
    <w:rsid w:val="0099582E"/>
    <w:rsid w:val="00997011"/>
    <w:rsid w:val="009A208E"/>
    <w:rsid w:val="009A3B80"/>
    <w:rsid w:val="009A6A9C"/>
    <w:rsid w:val="009B1394"/>
    <w:rsid w:val="009C173B"/>
    <w:rsid w:val="009C2105"/>
    <w:rsid w:val="009C3493"/>
    <w:rsid w:val="009C3609"/>
    <w:rsid w:val="009C6621"/>
    <w:rsid w:val="009D2591"/>
    <w:rsid w:val="009D32E4"/>
    <w:rsid w:val="009E1704"/>
    <w:rsid w:val="00A10CE4"/>
    <w:rsid w:val="00A1287F"/>
    <w:rsid w:val="00A169BB"/>
    <w:rsid w:val="00A263B3"/>
    <w:rsid w:val="00A41A73"/>
    <w:rsid w:val="00A44A0C"/>
    <w:rsid w:val="00A55A0A"/>
    <w:rsid w:val="00A55D1D"/>
    <w:rsid w:val="00A667AD"/>
    <w:rsid w:val="00A73DDE"/>
    <w:rsid w:val="00A73FDF"/>
    <w:rsid w:val="00A748AF"/>
    <w:rsid w:val="00A7518F"/>
    <w:rsid w:val="00A775AF"/>
    <w:rsid w:val="00A86F4D"/>
    <w:rsid w:val="00A87CAA"/>
    <w:rsid w:val="00A9228D"/>
    <w:rsid w:val="00A9513C"/>
    <w:rsid w:val="00A978D4"/>
    <w:rsid w:val="00AA1877"/>
    <w:rsid w:val="00AA3EC6"/>
    <w:rsid w:val="00AA6AE0"/>
    <w:rsid w:val="00AB23C4"/>
    <w:rsid w:val="00AB6716"/>
    <w:rsid w:val="00AB70A3"/>
    <w:rsid w:val="00AC669F"/>
    <w:rsid w:val="00AD1685"/>
    <w:rsid w:val="00AD55C4"/>
    <w:rsid w:val="00AE369B"/>
    <w:rsid w:val="00AE5441"/>
    <w:rsid w:val="00AE6582"/>
    <w:rsid w:val="00B050D2"/>
    <w:rsid w:val="00B067CA"/>
    <w:rsid w:val="00B1478E"/>
    <w:rsid w:val="00B17743"/>
    <w:rsid w:val="00B2133F"/>
    <w:rsid w:val="00B269F8"/>
    <w:rsid w:val="00B35E9F"/>
    <w:rsid w:val="00B40323"/>
    <w:rsid w:val="00B45CB5"/>
    <w:rsid w:val="00B46DB1"/>
    <w:rsid w:val="00B479A0"/>
    <w:rsid w:val="00B51D21"/>
    <w:rsid w:val="00B53157"/>
    <w:rsid w:val="00B55DBC"/>
    <w:rsid w:val="00B70C26"/>
    <w:rsid w:val="00B818F0"/>
    <w:rsid w:val="00B85BE8"/>
    <w:rsid w:val="00B974B2"/>
    <w:rsid w:val="00BB0599"/>
    <w:rsid w:val="00BB3915"/>
    <w:rsid w:val="00BB70A8"/>
    <w:rsid w:val="00BD30A6"/>
    <w:rsid w:val="00BD6D58"/>
    <w:rsid w:val="00BD729D"/>
    <w:rsid w:val="00BF0B19"/>
    <w:rsid w:val="00C028B5"/>
    <w:rsid w:val="00C06E41"/>
    <w:rsid w:val="00C11E39"/>
    <w:rsid w:val="00C12CF2"/>
    <w:rsid w:val="00C178B6"/>
    <w:rsid w:val="00C40498"/>
    <w:rsid w:val="00C4196E"/>
    <w:rsid w:val="00C43560"/>
    <w:rsid w:val="00C529B9"/>
    <w:rsid w:val="00C56596"/>
    <w:rsid w:val="00C56C3F"/>
    <w:rsid w:val="00C61A25"/>
    <w:rsid w:val="00C63D45"/>
    <w:rsid w:val="00C6561F"/>
    <w:rsid w:val="00C7066B"/>
    <w:rsid w:val="00C728F9"/>
    <w:rsid w:val="00C7321E"/>
    <w:rsid w:val="00C777D8"/>
    <w:rsid w:val="00C778CD"/>
    <w:rsid w:val="00C81A8A"/>
    <w:rsid w:val="00C8376D"/>
    <w:rsid w:val="00C947DE"/>
    <w:rsid w:val="00C949A4"/>
    <w:rsid w:val="00C96AF4"/>
    <w:rsid w:val="00CA7F9F"/>
    <w:rsid w:val="00CB108C"/>
    <w:rsid w:val="00CC0B5E"/>
    <w:rsid w:val="00CE0FF0"/>
    <w:rsid w:val="00CF1FAE"/>
    <w:rsid w:val="00CF26CF"/>
    <w:rsid w:val="00CF661E"/>
    <w:rsid w:val="00D007A3"/>
    <w:rsid w:val="00D01610"/>
    <w:rsid w:val="00D01EA4"/>
    <w:rsid w:val="00D143F0"/>
    <w:rsid w:val="00D21334"/>
    <w:rsid w:val="00D21359"/>
    <w:rsid w:val="00D21430"/>
    <w:rsid w:val="00D23F61"/>
    <w:rsid w:val="00D24FA7"/>
    <w:rsid w:val="00D3132D"/>
    <w:rsid w:val="00D44397"/>
    <w:rsid w:val="00D4607E"/>
    <w:rsid w:val="00D52ABA"/>
    <w:rsid w:val="00D61461"/>
    <w:rsid w:val="00D647AB"/>
    <w:rsid w:val="00D666A4"/>
    <w:rsid w:val="00D66A75"/>
    <w:rsid w:val="00D701F3"/>
    <w:rsid w:val="00D72B43"/>
    <w:rsid w:val="00D755D9"/>
    <w:rsid w:val="00D84F77"/>
    <w:rsid w:val="00D92894"/>
    <w:rsid w:val="00D92ACB"/>
    <w:rsid w:val="00D943B9"/>
    <w:rsid w:val="00D979D9"/>
    <w:rsid w:val="00DA0A4D"/>
    <w:rsid w:val="00DA3742"/>
    <w:rsid w:val="00DA5F1A"/>
    <w:rsid w:val="00DB0077"/>
    <w:rsid w:val="00DC023F"/>
    <w:rsid w:val="00DC268E"/>
    <w:rsid w:val="00DD13EF"/>
    <w:rsid w:val="00DD456D"/>
    <w:rsid w:val="00DD5AFB"/>
    <w:rsid w:val="00DD728D"/>
    <w:rsid w:val="00DD7D89"/>
    <w:rsid w:val="00DE1689"/>
    <w:rsid w:val="00DE6C95"/>
    <w:rsid w:val="00DF0FA8"/>
    <w:rsid w:val="00DF1461"/>
    <w:rsid w:val="00DF6808"/>
    <w:rsid w:val="00E026DE"/>
    <w:rsid w:val="00E06C7F"/>
    <w:rsid w:val="00E071A2"/>
    <w:rsid w:val="00E1594D"/>
    <w:rsid w:val="00E15CF9"/>
    <w:rsid w:val="00E16604"/>
    <w:rsid w:val="00E22AD4"/>
    <w:rsid w:val="00E244AC"/>
    <w:rsid w:val="00E24EA0"/>
    <w:rsid w:val="00E25A23"/>
    <w:rsid w:val="00E25E88"/>
    <w:rsid w:val="00E37887"/>
    <w:rsid w:val="00E528D8"/>
    <w:rsid w:val="00E542E0"/>
    <w:rsid w:val="00E54BAA"/>
    <w:rsid w:val="00E56223"/>
    <w:rsid w:val="00E655E1"/>
    <w:rsid w:val="00E65FAA"/>
    <w:rsid w:val="00E677CE"/>
    <w:rsid w:val="00E82710"/>
    <w:rsid w:val="00E8403E"/>
    <w:rsid w:val="00E92BDF"/>
    <w:rsid w:val="00E96444"/>
    <w:rsid w:val="00EB1182"/>
    <w:rsid w:val="00EB2080"/>
    <w:rsid w:val="00EC02CF"/>
    <w:rsid w:val="00ED39CA"/>
    <w:rsid w:val="00EF2A79"/>
    <w:rsid w:val="00F05D86"/>
    <w:rsid w:val="00F07A99"/>
    <w:rsid w:val="00F13515"/>
    <w:rsid w:val="00F14E3A"/>
    <w:rsid w:val="00F177C9"/>
    <w:rsid w:val="00F24A15"/>
    <w:rsid w:val="00F30FBC"/>
    <w:rsid w:val="00F336BF"/>
    <w:rsid w:val="00F342DC"/>
    <w:rsid w:val="00F34C68"/>
    <w:rsid w:val="00F40CB5"/>
    <w:rsid w:val="00F41815"/>
    <w:rsid w:val="00F41E6E"/>
    <w:rsid w:val="00F520FC"/>
    <w:rsid w:val="00F53A7A"/>
    <w:rsid w:val="00F53B23"/>
    <w:rsid w:val="00F55161"/>
    <w:rsid w:val="00F5768B"/>
    <w:rsid w:val="00F62A5C"/>
    <w:rsid w:val="00F632C6"/>
    <w:rsid w:val="00F63D2B"/>
    <w:rsid w:val="00F67F80"/>
    <w:rsid w:val="00F751EE"/>
    <w:rsid w:val="00F767AA"/>
    <w:rsid w:val="00F93FCE"/>
    <w:rsid w:val="00FA0D3E"/>
    <w:rsid w:val="00FA3558"/>
    <w:rsid w:val="00FB2360"/>
    <w:rsid w:val="00FC4F66"/>
    <w:rsid w:val="00FC5601"/>
    <w:rsid w:val="00FC7EF6"/>
    <w:rsid w:val="00FD1ED4"/>
    <w:rsid w:val="00FD480F"/>
    <w:rsid w:val="00FE22D6"/>
    <w:rsid w:val="00FE6E43"/>
    <w:rsid w:val="00FF1162"/>
    <w:rsid w:val="00FF224E"/>
    <w:rsid w:val="00FF2326"/>
    <w:rsid w:val="032F3656"/>
    <w:rsid w:val="0336419C"/>
    <w:rsid w:val="03D8775E"/>
    <w:rsid w:val="03DB0463"/>
    <w:rsid w:val="043A3F7F"/>
    <w:rsid w:val="04A36380"/>
    <w:rsid w:val="051E41C8"/>
    <w:rsid w:val="054A3CED"/>
    <w:rsid w:val="05F46158"/>
    <w:rsid w:val="05FD7607"/>
    <w:rsid w:val="062D1FFC"/>
    <w:rsid w:val="06893A80"/>
    <w:rsid w:val="0889420E"/>
    <w:rsid w:val="09361521"/>
    <w:rsid w:val="0AC62950"/>
    <w:rsid w:val="0B136570"/>
    <w:rsid w:val="0B762ECE"/>
    <w:rsid w:val="0BF572E8"/>
    <w:rsid w:val="0C177D52"/>
    <w:rsid w:val="0C181CAE"/>
    <w:rsid w:val="0D344BB7"/>
    <w:rsid w:val="0E2D1097"/>
    <w:rsid w:val="0ECC68CE"/>
    <w:rsid w:val="0FF71138"/>
    <w:rsid w:val="104C33A3"/>
    <w:rsid w:val="12572530"/>
    <w:rsid w:val="12943D8A"/>
    <w:rsid w:val="13157DC8"/>
    <w:rsid w:val="13641DE6"/>
    <w:rsid w:val="13857FFC"/>
    <w:rsid w:val="13D80B3D"/>
    <w:rsid w:val="13E939B7"/>
    <w:rsid w:val="143C6C8C"/>
    <w:rsid w:val="14CC6EAC"/>
    <w:rsid w:val="153F6CB5"/>
    <w:rsid w:val="15F3690F"/>
    <w:rsid w:val="15FF7757"/>
    <w:rsid w:val="1677276B"/>
    <w:rsid w:val="17041FCF"/>
    <w:rsid w:val="1716576D"/>
    <w:rsid w:val="17DA12D2"/>
    <w:rsid w:val="19B91048"/>
    <w:rsid w:val="1BAE58EF"/>
    <w:rsid w:val="1CE47F87"/>
    <w:rsid w:val="1EA30D6A"/>
    <w:rsid w:val="1F021959"/>
    <w:rsid w:val="1FA2709F"/>
    <w:rsid w:val="1FF743D5"/>
    <w:rsid w:val="201C74F7"/>
    <w:rsid w:val="20951E81"/>
    <w:rsid w:val="20E626F0"/>
    <w:rsid w:val="216D72AA"/>
    <w:rsid w:val="21ED44F8"/>
    <w:rsid w:val="23A32647"/>
    <w:rsid w:val="23C154A1"/>
    <w:rsid w:val="246C633F"/>
    <w:rsid w:val="2537321F"/>
    <w:rsid w:val="25F435D2"/>
    <w:rsid w:val="26552372"/>
    <w:rsid w:val="26FF4D89"/>
    <w:rsid w:val="270E2549"/>
    <w:rsid w:val="27AC1FAB"/>
    <w:rsid w:val="28A111F5"/>
    <w:rsid w:val="299E5232"/>
    <w:rsid w:val="29BF7FAB"/>
    <w:rsid w:val="29FF3178"/>
    <w:rsid w:val="2A457CD4"/>
    <w:rsid w:val="2B9B099A"/>
    <w:rsid w:val="2BEE523D"/>
    <w:rsid w:val="2D122CD5"/>
    <w:rsid w:val="2DCA590E"/>
    <w:rsid w:val="2DD34C69"/>
    <w:rsid w:val="2FEF1151"/>
    <w:rsid w:val="303F6434"/>
    <w:rsid w:val="312D679A"/>
    <w:rsid w:val="336D43AB"/>
    <w:rsid w:val="33885281"/>
    <w:rsid w:val="33C71E7E"/>
    <w:rsid w:val="35047143"/>
    <w:rsid w:val="355D09B0"/>
    <w:rsid w:val="36203311"/>
    <w:rsid w:val="36310E6F"/>
    <w:rsid w:val="36524E89"/>
    <w:rsid w:val="372A49A2"/>
    <w:rsid w:val="373302DC"/>
    <w:rsid w:val="37BE7C45"/>
    <w:rsid w:val="38025DDF"/>
    <w:rsid w:val="38627A4E"/>
    <w:rsid w:val="38652FB2"/>
    <w:rsid w:val="38C26778"/>
    <w:rsid w:val="38C72BA7"/>
    <w:rsid w:val="393F1F7B"/>
    <w:rsid w:val="3AC10893"/>
    <w:rsid w:val="3B3E3C3F"/>
    <w:rsid w:val="3B954A17"/>
    <w:rsid w:val="3B9C3807"/>
    <w:rsid w:val="3C501F8B"/>
    <w:rsid w:val="3C6B6C2F"/>
    <w:rsid w:val="3F2708C8"/>
    <w:rsid w:val="3F5D30F0"/>
    <w:rsid w:val="401D1919"/>
    <w:rsid w:val="40F22E51"/>
    <w:rsid w:val="42534A61"/>
    <w:rsid w:val="435B4529"/>
    <w:rsid w:val="43B53DED"/>
    <w:rsid w:val="43CB2898"/>
    <w:rsid w:val="445E2DD1"/>
    <w:rsid w:val="44A76BC9"/>
    <w:rsid w:val="45D6630B"/>
    <w:rsid w:val="4650656B"/>
    <w:rsid w:val="46EF5711"/>
    <w:rsid w:val="47234087"/>
    <w:rsid w:val="47A95455"/>
    <w:rsid w:val="47CC34D9"/>
    <w:rsid w:val="47E0378B"/>
    <w:rsid w:val="48485290"/>
    <w:rsid w:val="49154775"/>
    <w:rsid w:val="49494E88"/>
    <w:rsid w:val="49F516A4"/>
    <w:rsid w:val="4A8E5D83"/>
    <w:rsid w:val="4AC9232A"/>
    <w:rsid w:val="4BA25C08"/>
    <w:rsid w:val="4C176054"/>
    <w:rsid w:val="4C7A5FBF"/>
    <w:rsid w:val="4D137CE0"/>
    <w:rsid w:val="4D4F17B0"/>
    <w:rsid w:val="4D8678A0"/>
    <w:rsid w:val="4DC32DB8"/>
    <w:rsid w:val="4E236C1E"/>
    <w:rsid w:val="4EC933D2"/>
    <w:rsid w:val="4F3215E7"/>
    <w:rsid w:val="4F7A5D7F"/>
    <w:rsid w:val="4FD7322D"/>
    <w:rsid w:val="4FDB6712"/>
    <w:rsid w:val="50751D45"/>
    <w:rsid w:val="509D57A7"/>
    <w:rsid w:val="51526BF5"/>
    <w:rsid w:val="5185587F"/>
    <w:rsid w:val="519651A1"/>
    <w:rsid w:val="51DE6463"/>
    <w:rsid w:val="52A126CF"/>
    <w:rsid w:val="52EC7319"/>
    <w:rsid w:val="531407D4"/>
    <w:rsid w:val="53502E58"/>
    <w:rsid w:val="538E37FF"/>
    <w:rsid w:val="53A478D6"/>
    <w:rsid w:val="53AF459F"/>
    <w:rsid w:val="53EB143A"/>
    <w:rsid w:val="54675BD6"/>
    <w:rsid w:val="54AB6D6F"/>
    <w:rsid w:val="55314491"/>
    <w:rsid w:val="55911595"/>
    <w:rsid w:val="56014104"/>
    <w:rsid w:val="56FD4D37"/>
    <w:rsid w:val="57295110"/>
    <w:rsid w:val="575E1D67"/>
    <w:rsid w:val="5894199A"/>
    <w:rsid w:val="5997587E"/>
    <w:rsid w:val="5A8F59B4"/>
    <w:rsid w:val="5A9E21B8"/>
    <w:rsid w:val="5C432811"/>
    <w:rsid w:val="5C4D63ED"/>
    <w:rsid w:val="5D071DE2"/>
    <w:rsid w:val="5D9A78E2"/>
    <w:rsid w:val="5DA23792"/>
    <w:rsid w:val="5DEB5410"/>
    <w:rsid w:val="5E9843FC"/>
    <w:rsid w:val="5F3D30EA"/>
    <w:rsid w:val="6003626B"/>
    <w:rsid w:val="603E1C05"/>
    <w:rsid w:val="609A4218"/>
    <w:rsid w:val="60C76D86"/>
    <w:rsid w:val="60D6106E"/>
    <w:rsid w:val="610C0E9C"/>
    <w:rsid w:val="616F46F9"/>
    <w:rsid w:val="629800FB"/>
    <w:rsid w:val="62B24B93"/>
    <w:rsid w:val="62DF3642"/>
    <w:rsid w:val="63031C13"/>
    <w:rsid w:val="64D96797"/>
    <w:rsid w:val="650844D2"/>
    <w:rsid w:val="65297EDF"/>
    <w:rsid w:val="65470896"/>
    <w:rsid w:val="65A27595"/>
    <w:rsid w:val="6622661B"/>
    <w:rsid w:val="665C5C08"/>
    <w:rsid w:val="67F03937"/>
    <w:rsid w:val="6A797494"/>
    <w:rsid w:val="6B107F5A"/>
    <w:rsid w:val="6B2570B3"/>
    <w:rsid w:val="6BC260C9"/>
    <w:rsid w:val="6C2C6016"/>
    <w:rsid w:val="6D117926"/>
    <w:rsid w:val="6DD93C26"/>
    <w:rsid w:val="6DE85500"/>
    <w:rsid w:val="6F1261C5"/>
    <w:rsid w:val="6FF23135"/>
    <w:rsid w:val="71F91D6A"/>
    <w:rsid w:val="72BD65BB"/>
    <w:rsid w:val="72EA021F"/>
    <w:rsid w:val="74406F8E"/>
    <w:rsid w:val="74A679AF"/>
    <w:rsid w:val="74CE291F"/>
    <w:rsid w:val="75446B1D"/>
    <w:rsid w:val="75E038A7"/>
    <w:rsid w:val="78E30574"/>
    <w:rsid w:val="78E87210"/>
    <w:rsid w:val="79547495"/>
    <w:rsid w:val="7A44431E"/>
    <w:rsid w:val="7A6842F0"/>
    <w:rsid w:val="7AA13860"/>
    <w:rsid w:val="7AD82479"/>
    <w:rsid w:val="7BBC6913"/>
    <w:rsid w:val="7BD712BD"/>
    <w:rsid w:val="7C7C58CA"/>
    <w:rsid w:val="7D3D0956"/>
    <w:rsid w:val="7DDE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2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FollowedHyperlink"/>
    <w:basedOn w:val="5"/>
    <w:semiHidden/>
    <w:unhideWhenUsed/>
    <w:qFormat/>
    <w:uiPriority w:val="99"/>
    <w:rPr>
      <w:color w:val="800080"/>
      <w:u w:val="single"/>
    </w:rPr>
  </w:style>
  <w:style w:type="character" w:styleId="7">
    <w:name w:val="Hyperlink"/>
    <w:basedOn w:val="5"/>
    <w:semiHidden/>
    <w:unhideWhenUsed/>
    <w:qFormat/>
    <w:uiPriority w:val="99"/>
    <w:rPr>
      <w:color w:val="0000FF"/>
      <w:u w:val="singl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5"/>
    <w:link w:val="4"/>
    <w:qFormat/>
    <w:uiPriority w:val="99"/>
    <w:rPr>
      <w:sz w:val="18"/>
      <w:szCs w:val="18"/>
    </w:rPr>
  </w:style>
  <w:style w:type="character" w:customStyle="1" w:styleId="11">
    <w:name w:val="页脚 Char"/>
    <w:basedOn w:val="5"/>
    <w:link w:val="3"/>
    <w:qFormat/>
    <w:uiPriority w:val="99"/>
    <w:rPr>
      <w:sz w:val="18"/>
      <w:szCs w:val="18"/>
    </w:rPr>
  </w:style>
  <w:style w:type="paragraph" w:customStyle="1" w:styleId="1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9">
    <w:name w:val="xl7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character" w:customStyle="1" w:styleId="23">
    <w:name w:val="批注框文本 Char"/>
    <w:basedOn w:val="5"/>
    <w:link w:val="2"/>
    <w:semiHidden/>
    <w:qFormat/>
    <w:uiPriority w:val="99"/>
    <w:rPr>
      <w:rFonts w:ascii="Times New Roman" w:hAnsi="Times New Roman" w:eastAsia="宋体" w:cs="Times New Roman"/>
      <w:sz w:val="18"/>
      <w:szCs w:val="18"/>
    </w:rPr>
  </w:style>
  <w:style w:type="paragraph" w:customStyle="1" w:styleId="24">
    <w:name w:val="xl69"/>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color w:val="000000"/>
      <w:kern w:val="0"/>
      <w:sz w:val="24"/>
      <w:szCs w:val="24"/>
    </w:rPr>
  </w:style>
  <w:style w:type="paragraph" w:customStyle="1" w:styleId="25">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kern w:val="0"/>
      <w:sz w:val="18"/>
      <w:szCs w:val="18"/>
    </w:rPr>
  </w:style>
  <w:style w:type="paragraph" w:customStyle="1" w:styleId="26">
    <w:name w:val="xl7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0">
    <w:name w:val="xl81"/>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color w:val="000000"/>
      <w:kern w:val="0"/>
      <w:sz w:val="18"/>
      <w:szCs w:val="18"/>
    </w:rPr>
  </w:style>
  <w:style w:type="character" w:customStyle="1" w:styleId="31">
    <w:name w:val="font1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28DF9-CCB5-4AFF-9781-E01FCA779A44}">
  <ds:schemaRefs/>
</ds:datastoreItem>
</file>

<file path=docProps/app.xml><?xml version="1.0" encoding="utf-8"?>
<Properties xmlns="http://schemas.openxmlformats.org/officeDocument/2006/extended-properties" xmlns:vt="http://schemas.openxmlformats.org/officeDocument/2006/docPropsVTypes">
  <Template>Normal</Template>
  <Company>CXN.oem</Company>
  <Pages>119</Pages>
  <Words>14802</Words>
  <Characters>84372</Characters>
  <Lines>703</Lines>
  <Paragraphs>197</Paragraphs>
  <TotalTime>9</TotalTime>
  <ScaleCrop>false</ScaleCrop>
  <LinksUpToDate>false</LinksUpToDate>
  <CharactersWithSpaces>98977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2019-02-03T00:56:00Z</dcterms:created>
  <dc:creator>OEM</dc:creator>
  <cp:lastModifiedBy>财务科</cp:lastModifiedBy>
  <cp:lastPrinted>2021-02-01T01:43:00Z</cp:lastPrinted>
  <dcterms:modified xsi:type="dcterms:W3CDTF">2024-02-02T06:08:29Z</dcterms:modified>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9AC2C55C442441FFA1D0F5F541969261</vt:lpwstr>
  </property>
</Properties>
</file>