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32C" w:rsidRDefault="00943E3B">
      <w:pPr>
        <w:spacing w:line="360" w:lineRule="auto"/>
        <w:jc w:val="center"/>
        <w:rPr>
          <w:rFonts w:ascii="宋体" w:eastAsia="宋体" w:hAnsi="宋体" w:cs="Times New Roman"/>
          <w:b/>
          <w:sz w:val="32"/>
          <w:szCs w:val="32"/>
        </w:rPr>
      </w:pPr>
      <w:r>
        <w:rPr>
          <w:rFonts w:ascii="宋体" w:eastAsia="宋体" w:hAnsi="宋体" w:cs="Times New Roman" w:hint="eastAsia"/>
          <w:b/>
          <w:sz w:val="32"/>
          <w:szCs w:val="32"/>
        </w:rPr>
        <w:t>北京市西城区人民政府金融街街道办事处</w:t>
      </w:r>
    </w:p>
    <w:p w:rsidR="0015532C" w:rsidRDefault="00943E3B">
      <w:pPr>
        <w:spacing w:line="360" w:lineRule="auto"/>
        <w:jc w:val="center"/>
        <w:rPr>
          <w:rFonts w:ascii="宋体" w:eastAsia="宋体" w:hAnsi="宋体" w:cs="Times New Roman"/>
          <w:b/>
          <w:sz w:val="32"/>
          <w:szCs w:val="32"/>
        </w:rPr>
      </w:pPr>
      <w:r>
        <w:rPr>
          <w:rFonts w:ascii="宋体" w:eastAsia="宋体" w:hAnsi="宋体" w:cs="Times New Roman" w:hint="eastAsia"/>
          <w:b/>
          <w:sz w:val="32"/>
          <w:szCs w:val="32"/>
        </w:rPr>
        <w:t>“</w:t>
      </w:r>
      <w:r>
        <w:rPr>
          <w:rFonts w:ascii="宋体" w:eastAsia="宋体" w:hAnsi="宋体" w:cs="Times New Roman" w:hint="eastAsia"/>
          <w:b/>
          <w:sz w:val="32"/>
          <w:szCs w:val="32"/>
        </w:rPr>
        <w:t>北京市双创中心西城区分中心场馆租赁</w:t>
      </w:r>
      <w:r>
        <w:rPr>
          <w:rFonts w:ascii="宋体" w:eastAsia="宋体" w:hAnsi="宋体" w:cs="Times New Roman" w:hint="eastAsia"/>
          <w:b/>
          <w:sz w:val="32"/>
          <w:szCs w:val="32"/>
        </w:rPr>
        <w:t>”</w:t>
      </w:r>
    </w:p>
    <w:p w:rsidR="0015532C" w:rsidRDefault="00943E3B">
      <w:pPr>
        <w:spacing w:line="360" w:lineRule="auto"/>
        <w:jc w:val="center"/>
        <w:rPr>
          <w:rFonts w:ascii="宋体" w:eastAsia="宋体" w:hAnsi="宋体" w:cs="Times New Roman"/>
          <w:b/>
          <w:sz w:val="32"/>
          <w:szCs w:val="32"/>
        </w:rPr>
      </w:pPr>
      <w:r>
        <w:rPr>
          <w:rFonts w:ascii="宋体" w:eastAsia="宋体" w:hAnsi="宋体" w:cs="Times New Roman" w:hint="eastAsia"/>
          <w:b/>
          <w:sz w:val="32"/>
          <w:szCs w:val="32"/>
        </w:rPr>
        <w:t>绩效评价报告</w:t>
      </w:r>
      <w:bookmarkStart w:id="0" w:name="_GoBack"/>
      <w:bookmarkEnd w:id="0"/>
    </w:p>
    <w:p w:rsidR="0015532C" w:rsidRDefault="0015532C">
      <w:pPr>
        <w:ind w:firstLineChars="200" w:firstLine="560"/>
        <w:rPr>
          <w:rFonts w:ascii="Times New Roman" w:eastAsia="仿宋_GB2312" w:hAnsi="Times New Roman" w:cs="Times New Roman"/>
          <w:sz w:val="28"/>
        </w:rPr>
      </w:pPr>
    </w:p>
    <w:p w:rsidR="0015532C" w:rsidRDefault="00943E3B">
      <w:pPr>
        <w:pStyle w:val="1"/>
        <w:adjustRightInd w:val="0"/>
        <w:snapToGrid w:val="0"/>
        <w:rPr>
          <w:rFonts w:ascii="宋体" w:eastAsia="宋体" w:hAnsi="宋体" w:cs="宋体"/>
          <w:szCs w:val="32"/>
        </w:rPr>
      </w:pPr>
      <w:bookmarkStart w:id="1" w:name="_Toc419815214"/>
      <w:r>
        <w:rPr>
          <w:rFonts w:ascii="宋体" w:eastAsia="宋体" w:hAnsi="宋体" w:cs="宋体" w:hint="eastAsia"/>
          <w:szCs w:val="32"/>
        </w:rPr>
        <w:t>一、项目概述</w:t>
      </w:r>
      <w:bookmarkEnd w:id="1"/>
    </w:p>
    <w:p w:rsidR="0015532C" w:rsidRDefault="00943E3B">
      <w:pPr>
        <w:pStyle w:val="1"/>
        <w:adjustRightInd w:val="0"/>
        <w:snapToGrid w:val="0"/>
        <w:ind w:firstLine="640"/>
        <w:rPr>
          <w:rFonts w:asciiTheme="minorEastAsia" w:hAnsiTheme="minorEastAsia" w:cstheme="minorEastAsia"/>
          <w:b w:val="0"/>
          <w:bCs w:val="0"/>
          <w:snapToGrid/>
          <w:kern w:val="44"/>
          <w:szCs w:val="32"/>
        </w:rPr>
      </w:pPr>
      <w:bookmarkStart w:id="2" w:name="_Toc419815215"/>
      <w:r>
        <w:rPr>
          <w:rFonts w:asciiTheme="minorEastAsia" w:hAnsiTheme="minorEastAsia" w:cstheme="minorEastAsia" w:hint="eastAsia"/>
          <w:b w:val="0"/>
          <w:bCs w:val="0"/>
          <w:snapToGrid/>
          <w:kern w:val="44"/>
          <w:szCs w:val="32"/>
        </w:rPr>
        <w:t>（一）项目概况</w:t>
      </w:r>
      <w:bookmarkEnd w:id="2"/>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年北京市扶贫协作和支援合作工作领导小组办公室、北京市商务局联合印发了《北京市受援地区消费扶贫产业双创中心市、区联动方案》（京援合办发〔</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号），方案中明确提出“各区确立牵头主体单位，至少建立</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处面积不小于</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平米的消费扶贫分中心”。西城区为落实市级任务要求，成立了北京市消费帮扶双创中心西城分中心（以下简称“西城分中心”），西城分中心位于丰盛胡同宏英园小区</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号楼</w:t>
      </w:r>
      <w:r>
        <w:rPr>
          <w:rFonts w:ascii="仿宋_GB2312" w:eastAsia="仿宋_GB2312" w:hAnsi="仿宋_GB2312" w:cs="仿宋_GB2312" w:hint="eastAsia"/>
          <w:sz w:val="32"/>
          <w:szCs w:val="32"/>
        </w:rPr>
        <w:t>B101</w:t>
      </w:r>
      <w:r>
        <w:rPr>
          <w:rFonts w:ascii="仿宋_GB2312" w:eastAsia="仿宋_GB2312" w:hAnsi="仿宋_GB2312" w:cs="仿宋_GB2312" w:hint="eastAsia"/>
          <w:sz w:val="32"/>
          <w:szCs w:val="32"/>
        </w:rPr>
        <w:t>，属于金融街街道办事处区域范围内，由金融街街道办事处履行扶贫协作任务，牵头做好西城分中心建设，负责西城分中心租赁租金支出。</w:t>
      </w:r>
      <w:r>
        <w:rPr>
          <w:rFonts w:ascii="仿宋_GB2312" w:eastAsia="仿宋_GB2312" w:hAnsi="仿宋_GB2312" w:cs="仿宋_GB2312" w:hint="eastAsia"/>
          <w:sz w:val="32"/>
          <w:szCs w:val="32"/>
        </w:rPr>
        <w:t>西城分中心房屋租赁面积</w:t>
      </w:r>
      <w:r>
        <w:rPr>
          <w:rFonts w:ascii="仿宋_GB2312" w:eastAsia="仿宋_GB2312" w:hAnsi="仿宋_GB2312" w:cs="仿宋_GB2312" w:hint="eastAsia"/>
          <w:sz w:val="32"/>
          <w:szCs w:val="32"/>
        </w:rPr>
        <w:t>1037.77</w:t>
      </w:r>
      <w:r>
        <w:rPr>
          <w:rFonts w:ascii="仿宋_GB2312" w:eastAsia="仿宋_GB2312" w:hAnsi="仿宋_GB2312" w:cs="仿宋_GB2312" w:hint="eastAsia"/>
          <w:sz w:val="32"/>
          <w:szCs w:val="32"/>
        </w:rPr>
        <w:t>平方米，租赁时间为</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日至</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w:t>
      </w:r>
    </w:p>
    <w:p w:rsidR="0015532C" w:rsidRDefault="00943E3B">
      <w:pPr>
        <w:pStyle w:val="1"/>
        <w:adjustRightInd w:val="0"/>
        <w:snapToGrid w:val="0"/>
        <w:ind w:firstLine="640"/>
        <w:rPr>
          <w:rFonts w:asciiTheme="minorEastAsia" w:hAnsiTheme="minorEastAsia" w:cstheme="minorEastAsia"/>
          <w:b w:val="0"/>
          <w:bCs w:val="0"/>
          <w:snapToGrid/>
          <w:kern w:val="44"/>
          <w:szCs w:val="32"/>
        </w:rPr>
      </w:pPr>
      <w:bookmarkStart w:id="3" w:name="_Toc419815216"/>
      <w:r>
        <w:rPr>
          <w:rFonts w:asciiTheme="minorEastAsia" w:hAnsiTheme="minorEastAsia" w:cstheme="minorEastAsia" w:hint="eastAsia"/>
          <w:b w:val="0"/>
          <w:bCs w:val="0"/>
          <w:snapToGrid/>
          <w:kern w:val="44"/>
          <w:szCs w:val="32"/>
        </w:rPr>
        <w:t>（</w:t>
      </w:r>
      <w:r>
        <w:rPr>
          <w:rFonts w:asciiTheme="minorEastAsia" w:hAnsiTheme="minorEastAsia" w:cstheme="minorEastAsia" w:hint="eastAsia"/>
          <w:b w:val="0"/>
          <w:bCs w:val="0"/>
          <w:snapToGrid/>
          <w:kern w:val="44"/>
          <w:szCs w:val="32"/>
        </w:rPr>
        <w:t>二</w:t>
      </w:r>
      <w:r>
        <w:rPr>
          <w:rFonts w:asciiTheme="minorEastAsia" w:hAnsiTheme="minorEastAsia" w:cstheme="minorEastAsia" w:hint="eastAsia"/>
          <w:b w:val="0"/>
          <w:bCs w:val="0"/>
          <w:snapToGrid/>
          <w:kern w:val="44"/>
          <w:szCs w:val="32"/>
        </w:rPr>
        <w:t>）</w:t>
      </w:r>
      <w:r>
        <w:rPr>
          <w:rFonts w:asciiTheme="minorEastAsia" w:hAnsiTheme="minorEastAsia" w:cstheme="minorEastAsia" w:hint="eastAsia"/>
          <w:b w:val="0"/>
          <w:bCs w:val="0"/>
          <w:snapToGrid/>
          <w:kern w:val="44"/>
          <w:szCs w:val="32"/>
        </w:rPr>
        <w:t>项目资金情况</w:t>
      </w:r>
      <w:bookmarkEnd w:id="3"/>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年该项目财政预算批复资金</w:t>
      </w:r>
      <w:r>
        <w:rPr>
          <w:rFonts w:ascii="仿宋_GB2312" w:eastAsia="仿宋_GB2312" w:hAnsi="仿宋_GB2312" w:cs="仿宋_GB2312" w:hint="eastAsia"/>
          <w:sz w:val="32"/>
          <w:szCs w:val="32"/>
        </w:rPr>
        <w:t>850,000.00</w:t>
      </w:r>
      <w:r>
        <w:rPr>
          <w:rFonts w:ascii="仿宋_GB2312" w:eastAsia="仿宋_GB2312" w:hAnsi="仿宋_GB2312" w:cs="仿宋_GB2312" w:hint="eastAsia"/>
          <w:sz w:val="32"/>
          <w:szCs w:val="32"/>
        </w:rPr>
        <w:t>元，资金来源为一般公共预算，用于支出</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月房屋租金。截至</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日，实际支出资金</w:t>
      </w:r>
      <w:r>
        <w:rPr>
          <w:rFonts w:ascii="仿宋_GB2312" w:eastAsia="仿宋_GB2312" w:hAnsi="仿宋_GB2312" w:cs="仿宋_GB2312" w:hint="eastAsia"/>
          <w:sz w:val="32"/>
          <w:szCs w:val="32"/>
        </w:rPr>
        <w:t>850,000.00</w:t>
      </w:r>
      <w:r>
        <w:rPr>
          <w:rFonts w:ascii="仿宋_GB2312" w:eastAsia="仿宋_GB2312" w:hAnsi="仿宋_GB2312" w:cs="仿宋_GB2312" w:hint="eastAsia"/>
          <w:sz w:val="32"/>
          <w:szCs w:val="32"/>
        </w:rPr>
        <w:t>元，预</w:t>
      </w:r>
      <w:r>
        <w:rPr>
          <w:rFonts w:ascii="仿宋_GB2312" w:eastAsia="仿宋_GB2312" w:hAnsi="仿宋_GB2312" w:cs="仿宋_GB2312" w:hint="eastAsia"/>
          <w:sz w:val="32"/>
          <w:szCs w:val="32"/>
        </w:rPr>
        <w:lastRenderedPageBreak/>
        <w:t>算执行率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15532C" w:rsidRDefault="00943E3B">
      <w:pPr>
        <w:pStyle w:val="1"/>
        <w:adjustRightInd w:val="0"/>
        <w:snapToGrid w:val="0"/>
        <w:ind w:firstLine="640"/>
        <w:rPr>
          <w:rFonts w:asciiTheme="minorEastAsia" w:hAnsiTheme="minorEastAsia" w:cstheme="minorEastAsia"/>
          <w:b w:val="0"/>
          <w:bCs w:val="0"/>
          <w:snapToGrid/>
          <w:kern w:val="44"/>
          <w:szCs w:val="32"/>
        </w:rPr>
      </w:pPr>
      <w:bookmarkStart w:id="4" w:name="_Toc419815217"/>
      <w:r>
        <w:rPr>
          <w:rFonts w:asciiTheme="minorEastAsia" w:hAnsiTheme="minorEastAsia" w:cstheme="minorEastAsia" w:hint="eastAsia"/>
          <w:b w:val="0"/>
          <w:bCs w:val="0"/>
          <w:snapToGrid/>
          <w:kern w:val="44"/>
          <w:szCs w:val="32"/>
        </w:rPr>
        <w:t>（</w:t>
      </w:r>
      <w:r>
        <w:rPr>
          <w:rFonts w:asciiTheme="minorEastAsia" w:hAnsiTheme="minorEastAsia" w:cstheme="minorEastAsia" w:hint="eastAsia"/>
          <w:b w:val="0"/>
          <w:bCs w:val="0"/>
          <w:snapToGrid/>
          <w:kern w:val="44"/>
          <w:szCs w:val="32"/>
        </w:rPr>
        <w:t>三</w:t>
      </w:r>
      <w:r>
        <w:rPr>
          <w:rFonts w:asciiTheme="minorEastAsia" w:hAnsiTheme="minorEastAsia" w:cstheme="minorEastAsia" w:hint="eastAsia"/>
          <w:b w:val="0"/>
          <w:bCs w:val="0"/>
          <w:snapToGrid/>
          <w:kern w:val="44"/>
          <w:szCs w:val="32"/>
        </w:rPr>
        <w:t>）绩效目标</w:t>
      </w:r>
      <w:bookmarkEnd w:id="4"/>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加强项目经费的监督和管理，严格落实经费使用制度，专人负责，按时缴纳租赁经费，充分保证消费扶贫双创中心西城区分中心的高效运转，圆满完成金融街街道办事处支持消费扶贫中心建设，落实扶贫协作任务，实施精准扶贫；加强辖区便民服务设施建设，提升地区居民生活满意度；直观展示西城区在消费扶贫领域的工作成果，推动更多社会力量参与消费扶贫，提升政府的亲民形象。</w:t>
      </w:r>
    </w:p>
    <w:p w:rsidR="0015532C" w:rsidRDefault="00943E3B">
      <w:pPr>
        <w:pStyle w:val="1"/>
        <w:adjustRightInd w:val="0"/>
        <w:snapToGrid w:val="0"/>
        <w:rPr>
          <w:rFonts w:ascii="宋体" w:eastAsia="宋体" w:hAnsi="宋体" w:cs="宋体"/>
          <w:szCs w:val="32"/>
        </w:rPr>
      </w:pPr>
      <w:r>
        <w:rPr>
          <w:rFonts w:ascii="宋体" w:eastAsia="宋体" w:hAnsi="宋体" w:cs="宋体" w:hint="eastAsia"/>
          <w:szCs w:val="32"/>
        </w:rPr>
        <w:t>二、</w:t>
      </w:r>
      <w:r>
        <w:rPr>
          <w:rFonts w:ascii="宋体" w:eastAsia="宋体" w:hAnsi="宋体" w:cs="宋体" w:hint="eastAsia"/>
          <w:szCs w:val="32"/>
        </w:rPr>
        <w:t>综合评价情况及评价结论</w:t>
      </w:r>
    </w:p>
    <w:p w:rsidR="0015532C" w:rsidRDefault="00943E3B">
      <w:pPr>
        <w:pStyle w:val="1"/>
        <w:adjustRightInd w:val="0"/>
        <w:snapToGrid w:val="0"/>
        <w:ind w:firstLine="640"/>
        <w:rPr>
          <w:rFonts w:asciiTheme="minorEastAsia" w:hAnsiTheme="minorEastAsia" w:cstheme="minorEastAsia"/>
          <w:b w:val="0"/>
          <w:bCs w:val="0"/>
          <w:snapToGrid/>
          <w:kern w:val="44"/>
          <w:szCs w:val="32"/>
        </w:rPr>
      </w:pPr>
      <w:bookmarkStart w:id="5" w:name="_Toc13023"/>
      <w:bookmarkStart w:id="6" w:name="_Toc22927"/>
      <w:r>
        <w:rPr>
          <w:rFonts w:asciiTheme="minorEastAsia" w:hAnsiTheme="minorEastAsia" w:cstheme="minorEastAsia" w:hint="eastAsia"/>
          <w:b w:val="0"/>
          <w:bCs w:val="0"/>
          <w:snapToGrid/>
          <w:kern w:val="44"/>
          <w:szCs w:val="32"/>
        </w:rPr>
        <w:t>（一）综合评价情况</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bookmarkStart w:id="7" w:name="_Toc24113"/>
      <w:r>
        <w:rPr>
          <w:rFonts w:ascii="仿宋_GB2312" w:eastAsia="仿宋_GB2312" w:hAnsi="仿宋_GB2312" w:cs="仿宋_GB2312" w:hint="eastAsia"/>
          <w:sz w:val="32"/>
          <w:szCs w:val="32"/>
        </w:rPr>
        <w:t>通过项目实施，保障了北京市消费帮扶双创中心西城分中心正常运转，为周边居民提供了便民超市服务，为受援地提供了扶贫产品销售平</w:t>
      </w:r>
      <w:r>
        <w:rPr>
          <w:rFonts w:ascii="仿宋_GB2312" w:eastAsia="仿宋_GB2312" w:hAnsi="仿宋_GB2312" w:cs="仿宋_GB2312" w:hint="eastAsia"/>
          <w:sz w:val="32"/>
          <w:szCs w:val="32"/>
        </w:rPr>
        <w:t>台，直观展示了西城区在消费扶贫领域的工作成果。但在绩效目标设定、资金投入论证、制度建设及满意度调查等方面仍有待加强。</w:t>
      </w:r>
      <w:bookmarkEnd w:id="7"/>
    </w:p>
    <w:p w:rsidR="0015532C" w:rsidRDefault="00943E3B">
      <w:pPr>
        <w:pStyle w:val="1"/>
        <w:adjustRightInd w:val="0"/>
        <w:snapToGrid w:val="0"/>
        <w:ind w:firstLine="640"/>
        <w:rPr>
          <w:rFonts w:asciiTheme="minorEastAsia" w:hAnsiTheme="minorEastAsia" w:cstheme="minorEastAsia"/>
          <w:b w:val="0"/>
          <w:bCs w:val="0"/>
          <w:snapToGrid/>
          <w:kern w:val="44"/>
          <w:szCs w:val="32"/>
        </w:rPr>
      </w:pPr>
      <w:r>
        <w:rPr>
          <w:rFonts w:asciiTheme="minorEastAsia" w:hAnsiTheme="minorEastAsia" w:cstheme="minorEastAsia" w:hint="eastAsia"/>
          <w:b w:val="0"/>
          <w:bCs w:val="0"/>
          <w:snapToGrid/>
          <w:kern w:val="44"/>
          <w:szCs w:val="32"/>
        </w:rPr>
        <w:t>（二）评价结论</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北京市西城区人民政府金融街街道办事处“北京市双创中心西城区分中心场馆租赁”项目被评价金额</w:t>
      </w:r>
      <w:r>
        <w:rPr>
          <w:rFonts w:ascii="仿宋_GB2312" w:eastAsia="仿宋_GB2312" w:hAnsi="仿宋_GB2312" w:cs="仿宋_GB2312" w:hint="eastAsia"/>
          <w:sz w:val="32"/>
          <w:szCs w:val="32"/>
        </w:rPr>
        <w:t>850,000.00</w:t>
      </w:r>
      <w:r>
        <w:rPr>
          <w:rFonts w:ascii="仿宋_GB2312" w:eastAsia="仿宋_GB2312" w:hAnsi="仿宋_GB2312" w:cs="仿宋_GB2312" w:hint="eastAsia"/>
          <w:sz w:val="32"/>
          <w:szCs w:val="32"/>
        </w:rPr>
        <w:t>元，经专家组综合评议，该项目绩效评价综合得分</w:t>
      </w:r>
      <w:r>
        <w:rPr>
          <w:rFonts w:ascii="仿宋_GB2312" w:eastAsia="仿宋_GB2312" w:hAnsi="仿宋_GB2312" w:cs="仿宋_GB2312" w:hint="eastAsia"/>
          <w:sz w:val="32"/>
          <w:szCs w:val="32"/>
        </w:rPr>
        <w:t>90.05</w:t>
      </w:r>
      <w:r>
        <w:rPr>
          <w:rFonts w:ascii="仿宋_GB2312" w:eastAsia="仿宋_GB2312" w:hAnsi="仿宋_GB2312" w:cs="仿宋_GB2312" w:hint="eastAsia"/>
          <w:sz w:val="32"/>
          <w:szCs w:val="32"/>
        </w:rPr>
        <w:t>分，其中项目决策</w:t>
      </w:r>
      <w:r>
        <w:rPr>
          <w:rFonts w:ascii="仿宋_GB2312" w:eastAsia="仿宋_GB2312" w:hAnsi="仿宋_GB2312" w:cs="仿宋_GB2312" w:hint="eastAsia"/>
          <w:sz w:val="32"/>
          <w:szCs w:val="32"/>
        </w:rPr>
        <w:t>8.79</w:t>
      </w:r>
      <w:r>
        <w:rPr>
          <w:rFonts w:ascii="仿宋_GB2312" w:eastAsia="仿宋_GB2312" w:hAnsi="仿宋_GB2312" w:cs="仿宋_GB2312" w:hint="eastAsia"/>
          <w:sz w:val="32"/>
          <w:szCs w:val="32"/>
        </w:rPr>
        <w:t>分，项目过程</w:t>
      </w:r>
      <w:r>
        <w:rPr>
          <w:rFonts w:ascii="仿宋_GB2312" w:eastAsia="仿宋_GB2312" w:hAnsi="仿宋_GB2312" w:cs="仿宋_GB2312" w:hint="eastAsia"/>
          <w:sz w:val="32"/>
          <w:szCs w:val="32"/>
        </w:rPr>
        <w:t>19.06</w:t>
      </w:r>
      <w:r>
        <w:rPr>
          <w:rFonts w:ascii="仿宋_GB2312" w:eastAsia="仿宋_GB2312" w:hAnsi="仿宋_GB2312" w:cs="仿宋_GB2312" w:hint="eastAsia"/>
          <w:sz w:val="32"/>
          <w:szCs w:val="32"/>
        </w:rPr>
        <w:t>分，项目产出</w:t>
      </w:r>
      <w:r>
        <w:rPr>
          <w:rFonts w:ascii="仿宋_GB2312" w:eastAsia="仿宋_GB2312" w:hAnsi="仿宋_GB2312" w:cs="仿宋_GB2312" w:hint="eastAsia"/>
          <w:sz w:val="32"/>
          <w:szCs w:val="32"/>
        </w:rPr>
        <w:t>36.60</w:t>
      </w:r>
      <w:r>
        <w:rPr>
          <w:rFonts w:ascii="仿宋_GB2312" w:eastAsia="仿宋_GB2312" w:hAnsi="仿宋_GB2312" w:cs="仿宋_GB2312" w:hint="eastAsia"/>
          <w:sz w:val="32"/>
          <w:szCs w:val="32"/>
        </w:rPr>
        <w:t>分，项目效益</w:t>
      </w:r>
      <w:r>
        <w:rPr>
          <w:rFonts w:ascii="仿宋_GB2312" w:eastAsia="仿宋_GB2312" w:hAnsi="仿宋_GB2312" w:cs="仿宋_GB2312" w:hint="eastAsia"/>
          <w:sz w:val="32"/>
          <w:szCs w:val="32"/>
        </w:rPr>
        <w:t>25.60</w:t>
      </w:r>
      <w:r>
        <w:rPr>
          <w:rFonts w:ascii="仿宋_GB2312" w:eastAsia="仿宋_GB2312" w:hAnsi="仿宋_GB2312" w:cs="仿宋_GB2312" w:hint="eastAsia"/>
          <w:sz w:val="32"/>
          <w:szCs w:val="32"/>
        </w:rPr>
        <w:t>分，绩效评价级别评定为“优”。</w:t>
      </w:r>
      <w:bookmarkEnd w:id="5"/>
      <w:bookmarkEnd w:id="6"/>
    </w:p>
    <w:p w:rsidR="0015532C" w:rsidRDefault="00943E3B">
      <w:pPr>
        <w:pStyle w:val="1"/>
        <w:adjustRightInd w:val="0"/>
        <w:snapToGrid w:val="0"/>
        <w:rPr>
          <w:rFonts w:ascii="宋体" w:eastAsia="宋体" w:hAnsi="宋体" w:cs="宋体"/>
          <w:szCs w:val="32"/>
        </w:rPr>
      </w:pPr>
      <w:r>
        <w:rPr>
          <w:rFonts w:ascii="宋体" w:eastAsia="宋体" w:hAnsi="宋体" w:cs="宋体" w:hint="eastAsia"/>
          <w:szCs w:val="32"/>
        </w:rPr>
        <w:lastRenderedPageBreak/>
        <w:t>三、</w:t>
      </w:r>
      <w:r>
        <w:rPr>
          <w:rFonts w:ascii="宋体" w:eastAsia="宋体" w:hAnsi="宋体" w:cs="宋体" w:hint="eastAsia"/>
          <w:szCs w:val="32"/>
        </w:rPr>
        <w:t>绩效评价指标分析</w:t>
      </w:r>
    </w:p>
    <w:p w:rsidR="0015532C" w:rsidRDefault="00943E3B">
      <w:pPr>
        <w:pStyle w:val="1"/>
        <w:adjustRightInd w:val="0"/>
        <w:snapToGrid w:val="0"/>
        <w:ind w:firstLine="640"/>
        <w:rPr>
          <w:rFonts w:asciiTheme="minorEastAsia" w:hAnsiTheme="minorEastAsia" w:cstheme="minorEastAsia"/>
          <w:b w:val="0"/>
          <w:bCs w:val="0"/>
          <w:snapToGrid/>
          <w:kern w:val="44"/>
          <w:szCs w:val="32"/>
        </w:rPr>
      </w:pPr>
      <w:bookmarkStart w:id="8" w:name="_Toc19007"/>
      <w:bookmarkStart w:id="9" w:name="_Toc7049"/>
      <w:bookmarkStart w:id="10" w:name="_Toc20282"/>
      <w:r>
        <w:rPr>
          <w:rFonts w:asciiTheme="minorEastAsia" w:hAnsiTheme="minorEastAsia" w:cstheme="minorEastAsia" w:hint="eastAsia"/>
          <w:b w:val="0"/>
          <w:bCs w:val="0"/>
          <w:snapToGrid/>
          <w:kern w:val="44"/>
          <w:szCs w:val="32"/>
        </w:rPr>
        <w:t>（一）项目决策情况</w:t>
      </w:r>
      <w:bookmarkEnd w:id="8"/>
      <w:bookmarkEnd w:id="9"/>
      <w:bookmarkEnd w:id="10"/>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项目立项情况</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西城分中心依据《北京市受援地区消费</w:t>
      </w:r>
      <w:r>
        <w:rPr>
          <w:rFonts w:ascii="仿宋_GB2312" w:eastAsia="仿宋_GB2312" w:hAnsi="仿宋_GB2312" w:cs="仿宋_GB2312" w:hint="eastAsia"/>
          <w:sz w:val="32"/>
          <w:szCs w:val="32"/>
        </w:rPr>
        <w:t>扶贫产业双创中心市、区联动方案》中的要求予以成立，经西城区东西部支援合作区级帮扶项目审议小组会审议及区政府专题会研究，由金融街街道办事处通过开展“北京市双创中心西城区分中心场馆租赁”项目的方式，支出西城分中心场馆租金。项目立项依据较充分、程序履行较规范，但在项目立项初期阶段对运营模式缺少可行性研究论证。</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项目绩效目标情况</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目围绕扶贫任务、西城分中心场馆租赁及经营情况设定绩效目标及各绩效指标，但存在不足，总体目标设定内容与西城分中心经营方向不够匹配，绩效指标设定的明确性、量化程度存在不足，数量指标设定未体现计划扶贫的受援地数量；质量指标设定未能体现消费扶贫的目标要求。</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项目资金投入情况</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金融街街道办事处根据租赁合同签订情况，申请整个场馆</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年租金</w:t>
      </w:r>
      <w:r>
        <w:rPr>
          <w:rFonts w:ascii="仿宋_GB2312" w:eastAsia="仿宋_GB2312" w:hAnsi="仿宋_GB2312" w:cs="仿宋_GB2312" w:hint="eastAsia"/>
          <w:sz w:val="32"/>
          <w:szCs w:val="32"/>
        </w:rPr>
        <w:t>850,000.00</w:t>
      </w:r>
      <w:r>
        <w:rPr>
          <w:rFonts w:ascii="仿宋_GB2312" w:eastAsia="仿宋_GB2312" w:hAnsi="仿宋_GB2312" w:cs="仿宋_GB2312" w:hint="eastAsia"/>
          <w:sz w:val="32"/>
          <w:szCs w:val="32"/>
        </w:rPr>
        <w:t>元，项目预算申请额度确定的依据充分，但合理性不足，</w:t>
      </w:r>
      <w:r>
        <w:rPr>
          <w:rFonts w:ascii="仿宋_GB2312" w:eastAsia="仿宋_GB2312" w:hAnsi="仿宋_GB2312" w:cs="仿宋_GB2312" w:hint="eastAsia"/>
          <w:sz w:val="32"/>
          <w:szCs w:val="32"/>
        </w:rPr>
        <w:t>850,000.00</w:t>
      </w:r>
      <w:r>
        <w:rPr>
          <w:rFonts w:ascii="仿宋_GB2312" w:eastAsia="仿宋_GB2312" w:hAnsi="仿宋_GB2312" w:cs="仿宋_GB2312" w:hint="eastAsia"/>
          <w:sz w:val="32"/>
          <w:szCs w:val="32"/>
        </w:rPr>
        <w:t>元租赁涉及的租赁面积与扶贫产品占用面积不匹配，专项资金对应的支持范围边界不够清晰。</w:t>
      </w:r>
    </w:p>
    <w:p w:rsidR="0015532C" w:rsidRDefault="00943E3B">
      <w:pPr>
        <w:pStyle w:val="1"/>
        <w:adjustRightInd w:val="0"/>
        <w:snapToGrid w:val="0"/>
        <w:ind w:firstLine="640"/>
        <w:rPr>
          <w:rFonts w:asciiTheme="minorEastAsia" w:hAnsiTheme="minorEastAsia" w:cstheme="minorEastAsia"/>
          <w:b w:val="0"/>
          <w:bCs w:val="0"/>
          <w:snapToGrid/>
          <w:kern w:val="44"/>
          <w:szCs w:val="32"/>
        </w:rPr>
      </w:pPr>
      <w:bookmarkStart w:id="11" w:name="_Toc23335"/>
      <w:bookmarkStart w:id="12" w:name="_Toc6679"/>
      <w:bookmarkStart w:id="13" w:name="_Toc647"/>
      <w:r>
        <w:rPr>
          <w:rFonts w:asciiTheme="minorEastAsia" w:hAnsiTheme="minorEastAsia" w:cstheme="minorEastAsia" w:hint="eastAsia"/>
          <w:b w:val="0"/>
          <w:bCs w:val="0"/>
          <w:snapToGrid/>
          <w:kern w:val="44"/>
          <w:szCs w:val="32"/>
        </w:rPr>
        <w:lastRenderedPageBreak/>
        <w:t>（二）项目过程情况</w:t>
      </w:r>
      <w:bookmarkEnd w:id="11"/>
      <w:bookmarkEnd w:id="12"/>
      <w:bookmarkEnd w:id="13"/>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项目资金管理情况</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项目年初批复资金</w:t>
      </w:r>
      <w:r>
        <w:rPr>
          <w:rFonts w:ascii="仿宋_GB2312" w:eastAsia="仿宋_GB2312" w:hAnsi="仿宋_GB2312" w:cs="仿宋_GB2312" w:hint="eastAsia"/>
          <w:sz w:val="32"/>
          <w:szCs w:val="32"/>
        </w:rPr>
        <w:t>850,000.00</w:t>
      </w:r>
      <w:r>
        <w:rPr>
          <w:rFonts w:ascii="仿宋_GB2312" w:eastAsia="仿宋_GB2312" w:hAnsi="仿宋_GB2312" w:cs="仿宋_GB2312" w:hint="eastAsia"/>
          <w:sz w:val="32"/>
          <w:szCs w:val="32"/>
        </w:rPr>
        <w:t>元，实际到位资金</w:t>
      </w:r>
      <w:r>
        <w:rPr>
          <w:rFonts w:ascii="仿宋_GB2312" w:eastAsia="仿宋_GB2312" w:hAnsi="仿宋_GB2312" w:cs="仿宋_GB2312" w:hint="eastAsia"/>
          <w:sz w:val="32"/>
          <w:szCs w:val="32"/>
        </w:rPr>
        <w:t>850,000.00</w:t>
      </w:r>
      <w:r>
        <w:rPr>
          <w:rFonts w:ascii="仿宋_GB2312" w:eastAsia="仿宋_GB2312" w:hAnsi="仿宋_GB2312" w:cs="仿宋_GB2312" w:hint="eastAsia"/>
          <w:sz w:val="32"/>
          <w:szCs w:val="32"/>
        </w:rPr>
        <w:t>元，截至</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日，项目资金实际支出</w:t>
      </w:r>
      <w:r>
        <w:rPr>
          <w:rFonts w:ascii="仿宋_GB2312" w:eastAsia="仿宋_GB2312" w:hAnsi="仿宋_GB2312" w:cs="仿宋_GB2312" w:hint="eastAsia"/>
          <w:sz w:val="32"/>
          <w:szCs w:val="32"/>
        </w:rPr>
        <w:t>850,000.00</w:t>
      </w:r>
      <w:r>
        <w:rPr>
          <w:rFonts w:ascii="仿宋_GB2312" w:eastAsia="仿宋_GB2312" w:hAnsi="仿宋_GB2312" w:cs="仿宋_GB2312" w:hint="eastAsia"/>
          <w:sz w:val="32"/>
          <w:szCs w:val="32"/>
        </w:rPr>
        <w:t>元。针对该项目资金的使用管理，金融街街道办事处根据单位财务内控制度管理要求，在资金支出前履行了资金审批程序，经业务领导、财务领导审批同意后予以执行。资金支出严格执行项目财务管理相关制度，专款专用，规范使用项目资金。</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项目组织实施情况</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bookmarkStart w:id="14" w:name="_Toc2485"/>
      <w:r>
        <w:rPr>
          <w:rFonts w:ascii="仿宋_GB2312" w:eastAsia="仿宋_GB2312" w:hAnsi="仿宋_GB2312" w:cs="仿宋_GB2312" w:hint="eastAsia"/>
          <w:sz w:val="32"/>
          <w:szCs w:val="32"/>
        </w:rPr>
        <w:t>西城分中心由金融街街道办事处负责房屋租金的支付、华远三农负责场馆的运营、万方达隆负责物业管理，金融街街道办事处按照项目管理要求，制定了《金融街街道消费扶贫双创中心西城分中心场馆租赁项目工作实施方案》，明确了项目实施目标、计划及项目所涉及各方职责分工。金融街街道办事处根据单位在该项目中的职责定位，根据预算资金批复到位时间及房屋租赁合同要求，于</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月向万方达隆支付了</w:t>
      </w:r>
      <w:r>
        <w:rPr>
          <w:rFonts w:ascii="仿宋_GB2312" w:eastAsia="仿宋_GB2312" w:hAnsi="仿宋_GB2312" w:cs="仿宋_GB2312" w:hint="eastAsia"/>
          <w:sz w:val="32"/>
          <w:szCs w:val="32"/>
        </w:rPr>
        <w:t>850,000.00</w:t>
      </w:r>
      <w:r>
        <w:rPr>
          <w:rFonts w:ascii="仿宋_GB2312" w:eastAsia="仿宋_GB2312" w:hAnsi="仿宋_GB2312" w:cs="仿宋_GB2312" w:hint="eastAsia"/>
          <w:sz w:val="32"/>
          <w:szCs w:val="32"/>
        </w:rPr>
        <w:t>元房租。</w:t>
      </w:r>
    </w:p>
    <w:p w:rsidR="0015532C" w:rsidRDefault="00943E3B">
      <w:pPr>
        <w:pStyle w:val="1"/>
        <w:adjustRightInd w:val="0"/>
        <w:snapToGrid w:val="0"/>
        <w:ind w:firstLine="640"/>
        <w:rPr>
          <w:rFonts w:asciiTheme="minorEastAsia" w:hAnsiTheme="minorEastAsia" w:cstheme="minorEastAsia"/>
          <w:b w:val="0"/>
          <w:bCs w:val="0"/>
          <w:snapToGrid/>
          <w:kern w:val="44"/>
          <w:szCs w:val="32"/>
        </w:rPr>
      </w:pPr>
      <w:bookmarkStart w:id="15" w:name="_Toc10652"/>
      <w:bookmarkStart w:id="16" w:name="_Toc16382"/>
      <w:r>
        <w:rPr>
          <w:rFonts w:asciiTheme="minorEastAsia" w:hAnsiTheme="minorEastAsia" w:cstheme="minorEastAsia" w:hint="eastAsia"/>
          <w:b w:val="0"/>
          <w:bCs w:val="0"/>
          <w:snapToGrid/>
          <w:kern w:val="44"/>
          <w:szCs w:val="32"/>
        </w:rPr>
        <w:t>（三）项目产出情况</w:t>
      </w:r>
      <w:bookmarkEnd w:id="14"/>
      <w:bookmarkEnd w:id="15"/>
      <w:bookmarkEnd w:id="16"/>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项目产出数量分析</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日，金融街街道办事处按照合同约定支付万方达隆</w:t>
      </w:r>
      <w:r>
        <w:rPr>
          <w:rFonts w:ascii="仿宋_GB2312" w:eastAsia="仿宋_GB2312" w:hAnsi="仿宋_GB2312" w:cs="仿宋_GB2312" w:hint="eastAsia"/>
          <w:sz w:val="32"/>
          <w:szCs w:val="32"/>
        </w:rPr>
        <w:t>场馆租赁费用</w:t>
      </w:r>
      <w:r>
        <w:rPr>
          <w:rFonts w:ascii="仿宋_GB2312" w:eastAsia="仿宋_GB2312" w:hAnsi="仿宋_GB2312" w:cs="仿宋_GB2312" w:hint="eastAsia"/>
          <w:sz w:val="32"/>
          <w:szCs w:val="32"/>
        </w:rPr>
        <w:t>850,000.00</w:t>
      </w:r>
      <w:r>
        <w:rPr>
          <w:rFonts w:ascii="仿宋_GB2312" w:eastAsia="仿宋_GB2312" w:hAnsi="仿宋_GB2312" w:cs="仿宋_GB2312" w:hint="eastAsia"/>
          <w:sz w:val="32"/>
          <w:szCs w:val="32"/>
        </w:rPr>
        <w:t>元，房屋租赁</w:t>
      </w:r>
      <w:r>
        <w:rPr>
          <w:rFonts w:ascii="仿宋_GB2312" w:eastAsia="仿宋_GB2312" w:hAnsi="仿宋_GB2312" w:cs="仿宋_GB2312" w:hint="eastAsia"/>
          <w:sz w:val="32"/>
          <w:szCs w:val="32"/>
        </w:rPr>
        <w:lastRenderedPageBreak/>
        <w:t>面积</w:t>
      </w:r>
      <w:r>
        <w:rPr>
          <w:rFonts w:ascii="仿宋_GB2312" w:eastAsia="仿宋_GB2312" w:hAnsi="仿宋_GB2312" w:cs="仿宋_GB2312" w:hint="eastAsia"/>
          <w:sz w:val="32"/>
          <w:szCs w:val="32"/>
        </w:rPr>
        <w:t>1037.77</w:t>
      </w:r>
      <w:r>
        <w:rPr>
          <w:rFonts w:ascii="仿宋_GB2312" w:eastAsia="仿宋_GB2312" w:hAnsi="仿宋_GB2312" w:cs="仿宋_GB2312" w:hint="eastAsia"/>
          <w:sz w:val="32"/>
          <w:szCs w:val="32"/>
        </w:rPr>
        <w:t>平方米，其中用于销售扶贫产品的面积约</w:t>
      </w:r>
      <w:r>
        <w:rPr>
          <w:rFonts w:ascii="仿宋_GB2312" w:eastAsia="仿宋_GB2312" w:hAnsi="仿宋_GB2312" w:cs="仿宋_GB2312" w:hint="eastAsia"/>
          <w:sz w:val="32"/>
          <w:szCs w:val="32"/>
        </w:rPr>
        <w:t>518</w:t>
      </w:r>
      <w:r>
        <w:rPr>
          <w:rFonts w:ascii="仿宋_GB2312" w:eastAsia="仿宋_GB2312" w:hAnsi="仿宋_GB2312" w:cs="仿宋_GB2312" w:hint="eastAsia"/>
          <w:sz w:val="32"/>
          <w:szCs w:val="32"/>
        </w:rPr>
        <w:t>平方米。</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项目产出质量分析</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西城分中心发挥生活便利超市兼有扶贫产品消费的定位，</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年场馆经营中为周边居民提供日常生活用品，为受援地区提供扶贫产品销售平台。</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项目产出时效分析</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项目实施有效保障了场馆</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日期间的正常经营，为西城分中心提供了全年经营场所。</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项目产出成本分析</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金融街街道办事处</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年根据合同约定向万方达隆支付了场馆租赁费用</w:t>
      </w:r>
      <w:r>
        <w:rPr>
          <w:rFonts w:ascii="仿宋_GB2312" w:eastAsia="仿宋_GB2312" w:hAnsi="仿宋_GB2312" w:cs="仿宋_GB2312" w:hint="eastAsia"/>
          <w:sz w:val="32"/>
          <w:szCs w:val="32"/>
        </w:rPr>
        <w:t>850,000.00</w:t>
      </w:r>
      <w:r>
        <w:rPr>
          <w:rFonts w:ascii="仿宋_GB2312" w:eastAsia="仿宋_GB2312" w:hAnsi="仿宋_GB2312" w:cs="仿宋_GB2312" w:hint="eastAsia"/>
          <w:sz w:val="32"/>
          <w:szCs w:val="32"/>
        </w:rPr>
        <w:t>元，预算支出内容符合要求。但从财政投入经济性上来看，项目预算资金保障的场馆租赁面积与扶贫产品经营所占面积不匹配，投入经济性上存在不足。</w:t>
      </w:r>
    </w:p>
    <w:p w:rsidR="0015532C" w:rsidRDefault="00943E3B">
      <w:pPr>
        <w:pStyle w:val="1"/>
        <w:adjustRightInd w:val="0"/>
        <w:snapToGrid w:val="0"/>
        <w:ind w:firstLine="640"/>
        <w:rPr>
          <w:rFonts w:asciiTheme="minorEastAsia" w:hAnsiTheme="minorEastAsia" w:cstheme="minorEastAsia"/>
          <w:b w:val="0"/>
          <w:bCs w:val="0"/>
          <w:snapToGrid/>
          <w:kern w:val="44"/>
          <w:szCs w:val="32"/>
        </w:rPr>
      </w:pPr>
      <w:bookmarkStart w:id="17" w:name="_Toc16007"/>
      <w:bookmarkStart w:id="18" w:name="_Toc23854"/>
      <w:bookmarkStart w:id="19" w:name="_Toc3524"/>
      <w:r>
        <w:rPr>
          <w:rFonts w:asciiTheme="minorEastAsia" w:hAnsiTheme="minorEastAsia" w:cstheme="minorEastAsia" w:hint="eastAsia"/>
          <w:b w:val="0"/>
          <w:bCs w:val="0"/>
          <w:snapToGrid/>
          <w:kern w:val="44"/>
          <w:szCs w:val="32"/>
        </w:rPr>
        <w:t>（四）项目效益情况</w:t>
      </w:r>
      <w:bookmarkEnd w:id="17"/>
      <w:bookmarkEnd w:id="18"/>
      <w:bookmarkEnd w:id="19"/>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项目实施效益分析</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年华远三农与市区各级客户签订消费帮扶合同金额</w:t>
      </w:r>
      <w:r>
        <w:rPr>
          <w:rFonts w:ascii="仿宋_GB2312" w:eastAsia="仿宋_GB2312" w:hAnsi="仿宋_GB2312" w:cs="仿宋_GB2312" w:hint="eastAsia"/>
          <w:sz w:val="32"/>
          <w:szCs w:val="32"/>
        </w:rPr>
        <w:t>1385</w:t>
      </w:r>
      <w:r>
        <w:rPr>
          <w:rFonts w:ascii="仿宋_GB2312" w:eastAsia="仿宋_GB2312" w:hAnsi="仿宋_GB2312" w:cs="仿宋_GB2312" w:hint="eastAsia"/>
          <w:sz w:val="32"/>
          <w:szCs w:val="32"/>
        </w:rPr>
        <w:t>万元，新增来自</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个脱贫地区的</w:t>
      </w:r>
      <w:r>
        <w:rPr>
          <w:rFonts w:ascii="仿宋_GB2312" w:eastAsia="仿宋_GB2312" w:hAnsi="仿宋_GB2312" w:cs="仿宋_GB2312" w:hint="eastAsia"/>
          <w:sz w:val="32"/>
          <w:szCs w:val="32"/>
        </w:rPr>
        <w:t>196</w:t>
      </w:r>
      <w:r>
        <w:rPr>
          <w:rFonts w:ascii="仿宋_GB2312" w:eastAsia="仿宋_GB2312" w:hAnsi="仿宋_GB2312" w:cs="仿宋_GB2312" w:hint="eastAsia"/>
          <w:sz w:val="32"/>
          <w:szCs w:val="32"/>
        </w:rPr>
        <w:t>种预包装及</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种生鲜类产品，惠及脱贫人口增至</w:t>
      </w:r>
      <w:r>
        <w:rPr>
          <w:rFonts w:ascii="仿宋_GB2312" w:eastAsia="仿宋_GB2312" w:hAnsi="仿宋_GB2312" w:cs="仿宋_GB2312" w:hint="eastAsia"/>
          <w:sz w:val="32"/>
          <w:szCs w:val="32"/>
        </w:rPr>
        <w:t>1793</w:t>
      </w:r>
      <w:r>
        <w:rPr>
          <w:rFonts w:ascii="仿宋_GB2312" w:eastAsia="仿宋_GB2312" w:hAnsi="仿宋_GB2312" w:cs="仿宋_GB2312" w:hint="eastAsia"/>
          <w:sz w:val="32"/>
          <w:szCs w:val="32"/>
        </w:rPr>
        <w:t>人，形成涵盖</w:t>
      </w:r>
      <w:r>
        <w:rPr>
          <w:rFonts w:ascii="仿宋_GB2312" w:eastAsia="仿宋_GB2312" w:hAnsi="仿宋_GB2312" w:cs="仿宋_GB2312" w:hint="eastAsia"/>
          <w:sz w:val="32"/>
          <w:szCs w:val="32"/>
        </w:rPr>
        <w:t>213</w:t>
      </w:r>
      <w:r>
        <w:rPr>
          <w:rFonts w:ascii="仿宋_GB2312" w:eastAsia="仿宋_GB2312" w:hAnsi="仿宋_GB2312" w:cs="仿宋_GB2312" w:hint="eastAsia"/>
          <w:sz w:val="32"/>
          <w:szCs w:val="32"/>
        </w:rPr>
        <w:t>种帮扶产品、</w:t>
      </w:r>
      <w:r>
        <w:rPr>
          <w:rFonts w:ascii="仿宋_GB2312" w:eastAsia="仿宋_GB2312" w:hAnsi="仿宋_GB2312" w:cs="仿宋_GB2312" w:hint="eastAsia"/>
          <w:sz w:val="32"/>
          <w:szCs w:val="32"/>
        </w:rPr>
        <w:t>1566</w:t>
      </w:r>
      <w:r>
        <w:rPr>
          <w:rFonts w:ascii="仿宋_GB2312" w:eastAsia="仿宋_GB2312" w:hAnsi="仿宋_GB2312" w:cs="仿宋_GB2312" w:hint="eastAsia"/>
          <w:sz w:val="32"/>
          <w:szCs w:val="32"/>
        </w:rPr>
        <w:t>种生鲜产品、</w:t>
      </w:r>
      <w:r>
        <w:rPr>
          <w:rFonts w:ascii="仿宋_GB2312" w:eastAsia="仿宋_GB2312" w:hAnsi="仿宋_GB2312" w:cs="仿宋_GB2312" w:hint="eastAsia"/>
          <w:sz w:val="32"/>
          <w:szCs w:val="32"/>
        </w:rPr>
        <w:t>4481</w:t>
      </w:r>
      <w:r>
        <w:rPr>
          <w:rFonts w:ascii="仿宋_GB2312" w:eastAsia="仿宋_GB2312" w:hAnsi="仿宋_GB2312" w:cs="仿宋_GB2312" w:hint="eastAsia"/>
          <w:sz w:val="32"/>
          <w:szCs w:val="32"/>
        </w:rPr>
        <w:t>种预包装食品以及</w:t>
      </w:r>
      <w:r>
        <w:rPr>
          <w:rFonts w:ascii="仿宋_GB2312" w:eastAsia="仿宋_GB2312" w:hAnsi="仿宋_GB2312" w:cs="仿宋_GB2312" w:hint="eastAsia"/>
          <w:sz w:val="32"/>
          <w:szCs w:val="32"/>
        </w:rPr>
        <w:t>716</w:t>
      </w:r>
      <w:r>
        <w:rPr>
          <w:rFonts w:ascii="仿宋_GB2312" w:eastAsia="仿宋_GB2312" w:hAnsi="仿宋_GB2312" w:cs="仿宋_GB2312" w:hint="eastAsia"/>
          <w:sz w:val="32"/>
          <w:szCs w:val="32"/>
        </w:rPr>
        <w:lastRenderedPageBreak/>
        <w:t>种日化产品等</w:t>
      </w: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大类共计</w:t>
      </w:r>
      <w:r>
        <w:rPr>
          <w:rFonts w:ascii="仿宋_GB2312" w:eastAsia="仿宋_GB2312" w:hAnsi="仿宋_GB2312" w:cs="仿宋_GB2312" w:hint="eastAsia"/>
          <w:sz w:val="32"/>
          <w:szCs w:val="32"/>
        </w:rPr>
        <w:t>6976</w:t>
      </w:r>
      <w:r>
        <w:rPr>
          <w:rFonts w:ascii="仿宋_GB2312" w:eastAsia="仿宋_GB2312" w:hAnsi="仿宋_GB2312" w:cs="仿宋_GB2312" w:hint="eastAsia"/>
          <w:sz w:val="32"/>
          <w:szCs w:val="32"/>
        </w:rPr>
        <w:t>种商品的销售格局。疫情期间，与长城物业、世茂物业等多家公司合作，为居民提供</w:t>
      </w:r>
      <w:r>
        <w:rPr>
          <w:rFonts w:ascii="仿宋_GB2312" w:eastAsia="仿宋_GB2312" w:hAnsi="仿宋_GB2312" w:cs="仿宋_GB2312" w:hint="eastAsia"/>
          <w:sz w:val="32"/>
          <w:szCs w:val="32"/>
        </w:rPr>
        <w:t>了生活必需品。</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保证西城分中心场馆的有序运营的同时，西城分中心还搭建了西城区消费扶贫大数据展示中心，将帮扶产品销售数据与区、市系统直联直报，直观展示西城区在消费扶贫领域的工作成果，推动更多社会力量参与消费扶贫，确实把扶贫工作落到实处，提升政府亲民形象。</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项目满意度分析</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为充分了解西城分中心所涉及供应商、群众的满意度情况，金融街街道办事处对</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家供应商、部分周边居民及</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个受援地区进行了满意度调查。通过调查问卷显示，项目实施所涉及各方满意度基本达到预期目标，但需做好调查统计分析，居民满意度调查样本量存在不</w:t>
      </w:r>
      <w:r>
        <w:rPr>
          <w:rFonts w:ascii="仿宋_GB2312" w:eastAsia="仿宋_GB2312" w:hAnsi="仿宋_GB2312" w:cs="仿宋_GB2312" w:hint="eastAsia"/>
          <w:sz w:val="32"/>
          <w:szCs w:val="32"/>
        </w:rPr>
        <w:t>足，且未进行满意度调查分析。</w:t>
      </w:r>
    </w:p>
    <w:p w:rsidR="0015532C" w:rsidRDefault="00943E3B">
      <w:pPr>
        <w:pStyle w:val="1"/>
        <w:adjustRightInd w:val="0"/>
        <w:snapToGrid w:val="0"/>
        <w:rPr>
          <w:rFonts w:ascii="宋体" w:eastAsia="宋体" w:hAnsi="宋体" w:cs="宋体"/>
          <w:szCs w:val="32"/>
        </w:rPr>
      </w:pPr>
      <w:bookmarkStart w:id="20" w:name="_Toc419815225"/>
      <w:r>
        <w:rPr>
          <w:rFonts w:ascii="宋体" w:eastAsia="宋体" w:hAnsi="宋体" w:cs="宋体" w:hint="eastAsia"/>
          <w:szCs w:val="32"/>
        </w:rPr>
        <w:t>四、</w:t>
      </w:r>
      <w:r>
        <w:rPr>
          <w:rFonts w:ascii="宋体" w:eastAsia="宋体" w:hAnsi="宋体" w:cs="宋体" w:hint="eastAsia"/>
          <w:szCs w:val="32"/>
        </w:rPr>
        <w:t>主要问题及相关建议</w:t>
      </w:r>
      <w:bookmarkEnd w:id="20"/>
    </w:p>
    <w:p w:rsidR="0015532C" w:rsidRDefault="00943E3B">
      <w:pPr>
        <w:pStyle w:val="1"/>
        <w:adjustRightInd w:val="0"/>
        <w:snapToGrid w:val="0"/>
        <w:ind w:firstLine="640"/>
        <w:rPr>
          <w:rFonts w:asciiTheme="minorEastAsia" w:hAnsiTheme="minorEastAsia" w:cstheme="minorEastAsia"/>
          <w:b w:val="0"/>
          <w:bCs w:val="0"/>
          <w:snapToGrid/>
          <w:kern w:val="44"/>
          <w:szCs w:val="32"/>
        </w:rPr>
      </w:pPr>
      <w:r>
        <w:rPr>
          <w:rFonts w:asciiTheme="minorEastAsia" w:hAnsiTheme="minorEastAsia" w:cstheme="minorEastAsia" w:hint="eastAsia"/>
          <w:b w:val="0"/>
          <w:bCs w:val="0"/>
          <w:snapToGrid/>
          <w:kern w:val="44"/>
          <w:szCs w:val="32"/>
        </w:rPr>
        <w:t>（</w:t>
      </w:r>
      <w:r>
        <w:rPr>
          <w:rFonts w:asciiTheme="minorEastAsia" w:hAnsiTheme="minorEastAsia" w:cstheme="minorEastAsia" w:hint="eastAsia"/>
          <w:b w:val="0"/>
          <w:bCs w:val="0"/>
          <w:snapToGrid/>
          <w:kern w:val="44"/>
          <w:szCs w:val="32"/>
        </w:rPr>
        <w:t>一</w:t>
      </w:r>
      <w:r>
        <w:rPr>
          <w:rFonts w:asciiTheme="minorEastAsia" w:hAnsiTheme="minorEastAsia" w:cstheme="minorEastAsia" w:hint="eastAsia"/>
          <w:b w:val="0"/>
          <w:bCs w:val="0"/>
          <w:snapToGrid/>
          <w:kern w:val="44"/>
          <w:szCs w:val="32"/>
        </w:rPr>
        <w:t>）</w:t>
      </w:r>
      <w:r>
        <w:rPr>
          <w:rFonts w:asciiTheme="minorEastAsia" w:hAnsiTheme="minorEastAsia" w:cstheme="minorEastAsia" w:hint="eastAsia"/>
          <w:b w:val="0"/>
          <w:bCs w:val="0"/>
          <w:snapToGrid/>
          <w:kern w:val="44"/>
          <w:szCs w:val="32"/>
        </w:rPr>
        <w:t>主要问题</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绩效目标设定有待完善，一是总体绩效目标设定未体现西城分中心日常生活便利超市和扶贫产品销售的双功能定位；二是绩效指标设定未突出扶贫产品的数量、扶贫要求等内容。</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管理制度的健全性和有效性有待提高。合同管理制度</w:t>
      </w:r>
      <w:r>
        <w:rPr>
          <w:rFonts w:ascii="仿宋_GB2312" w:eastAsia="仿宋_GB2312" w:hAnsi="仿宋_GB2312" w:cs="仿宋_GB2312" w:hint="eastAsia"/>
          <w:sz w:val="32"/>
          <w:szCs w:val="32"/>
        </w:rPr>
        <w:lastRenderedPageBreak/>
        <w:t>未根据民法典的出台而进行及时修订。</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项目投入经济性有待提高。西城分中心租赁总面积</w:t>
      </w:r>
      <w:r>
        <w:rPr>
          <w:rFonts w:ascii="仿宋_GB2312" w:eastAsia="仿宋_GB2312" w:hAnsi="仿宋_GB2312" w:cs="仿宋_GB2312" w:hint="eastAsia"/>
          <w:sz w:val="32"/>
          <w:szCs w:val="32"/>
        </w:rPr>
        <w:t>1037.77</w:t>
      </w:r>
      <w:r>
        <w:rPr>
          <w:rFonts w:ascii="仿宋_GB2312" w:eastAsia="仿宋_GB2312" w:hAnsi="仿宋_GB2312" w:cs="仿宋_GB2312" w:hint="eastAsia"/>
          <w:sz w:val="32"/>
          <w:szCs w:val="32"/>
        </w:rPr>
        <w:t>平方米，全部由京蒙援助合作专项资金予以支持，但西城分中心对于销售扶贫产品的面积仅约</w:t>
      </w:r>
      <w:r>
        <w:rPr>
          <w:rFonts w:ascii="仿宋_GB2312" w:eastAsia="仿宋_GB2312" w:hAnsi="仿宋_GB2312" w:cs="仿宋_GB2312" w:hint="eastAsia"/>
          <w:sz w:val="32"/>
          <w:szCs w:val="32"/>
        </w:rPr>
        <w:t>518</w:t>
      </w:r>
      <w:r>
        <w:rPr>
          <w:rFonts w:ascii="仿宋_GB2312" w:eastAsia="仿宋_GB2312" w:hAnsi="仿宋_GB2312" w:cs="仿宋_GB2312" w:hint="eastAsia"/>
          <w:sz w:val="32"/>
          <w:szCs w:val="32"/>
        </w:rPr>
        <w:t>平方米，资金投入金额与销售扶贫产品产出面积比例不够匹配。</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项目满意度调查机制有待完善。该项目实施效益较明显，但该项目满意度调查存在不足，周边居民调查样本量不够，未进行满意度调查分析。</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项目运作模式需进一步梳理。本项目运营模式与《北京市受援地区消费扶贫产业双创中心市、区联动的方案》中的相关规定相符性不够清晰，与商务部门的生活服务类项目资金的边界不清晰，区国资委对国企监管衔接情况不明确，现由金融街街道办事处落实属地责任，申请支付场馆的所有租金，存在职责、管理及协调不顺畅的问题，在项目立项初期阶段对运营模式缺少可行性研究论证。</w:t>
      </w:r>
    </w:p>
    <w:p w:rsidR="0015532C" w:rsidRDefault="00943E3B">
      <w:pPr>
        <w:pStyle w:val="1"/>
        <w:adjustRightInd w:val="0"/>
        <w:snapToGrid w:val="0"/>
        <w:ind w:firstLine="640"/>
        <w:rPr>
          <w:rFonts w:asciiTheme="minorEastAsia" w:hAnsiTheme="minorEastAsia" w:cstheme="minorEastAsia"/>
          <w:b w:val="0"/>
          <w:bCs w:val="0"/>
          <w:snapToGrid/>
          <w:kern w:val="44"/>
          <w:szCs w:val="32"/>
        </w:rPr>
      </w:pPr>
      <w:r>
        <w:rPr>
          <w:rFonts w:asciiTheme="minorEastAsia" w:hAnsiTheme="minorEastAsia" w:cstheme="minorEastAsia" w:hint="eastAsia"/>
          <w:b w:val="0"/>
          <w:bCs w:val="0"/>
          <w:snapToGrid/>
          <w:kern w:val="44"/>
          <w:szCs w:val="32"/>
        </w:rPr>
        <w:t>（</w:t>
      </w:r>
      <w:r>
        <w:rPr>
          <w:rFonts w:asciiTheme="minorEastAsia" w:hAnsiTheme="minorEastAsia" w:cstheme="minorEastAsia" w:hint="eastAsia"/>
          <w:b w:val="0"/>
          <w:bCs w:val="0"/>
          <w:snapToGrid/>
          <w:kern w:val="44"/>
          <w:szCs w:val="32"/>
        </w:rPr>
        <w:t>二</w:t>
      </w:r>
      <w:r>
        <w:rPr>
          <w:rFonts w:asciiTheme="minorEastAsia" w:hAnsiTheme="minorEastAsia" w:cstheme="minorEastAsia" w:hint="eastAsia"/>
          <w:b w:val="0"/>
          <w:bCs w:val="0"/>
          <w:snapToGrid/>
          <w:kern w:val="44"/>
          <w:szCs w:val="32"/>
        </w:rPr>
        <w:t>）</w:t>
      </w:r>
      <w:r>
        <w:rPr>
          <w:rFonts w:asciiTheme="minorEastAsia" w:hAnsiTheme="minorEastAsia" w:cstheme="minorEastAsia" w:hint="eastAsia"/>
          <w:b w:val="0"/>
          <w:bCs w:val="0"/>
          <w:snapToGrid/>
          <w:kern w:val="44"/>
          <w:szCs w:val="32"/>
        </w:rPr>
        <w:t>相关建议</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完善项目绩效目标。结合西城分中心场馆功能定位，全面设定完善的项目绩效目标，在体现生活便民服务的同时，要结合扶贫质量要求设定绩效指标，数量指标要突</w:t>
      </w:r>
      <w:r>
        <w:rPr>
          <w:rFonts w:ascii="仿宋_GB2312" w:eastAsia="仿宋_GB2312" w:hAnsi="仿宋_GB2312" w:cs="仿宋_GB2312" w:hint="eastAsia"/>
          <w:sz w:val="32"/>
          <w:szCs w:val="32"/>
        </w:rPr>
        <w:t>出扶贫受援地数量、扶贫产品展示面积比例，质量指标要突出体现消费扶贫的目标要求，满意度指标要合理论证居民满意度指标值。</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w:t>
      </w:r>
      <w:r>
        <w:rPr>
          <w:rFonts w:ascii="仿宋_GB2312" w:eastAsia="仿宋_GB2312" w:hAnsi="仿宋_GB2312" w:cs="仿宋_GB2312" w:hint="eastAsia"/>
          <w:sz w:val="32"/>
          <w:szCs w:val="32"/>
        </w:rPr>
        <w:t>修订完善内部控制管理制度。合同管理制度需要依据《中华人民共和国民法典》进行修订完善，并对服务类、货物类、工程类、劳务类的各类型合同特点明确不同的验收措施和要求，提高合同签订的严谨性。</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作为场馆租金项目，需合理论证资金投入比例，特别是对扶贫产品展示区的面积占比情况，注重资金投入规模与产出面积的匹配性。</w:t>
      </w:r>
    </w:p>
    <w:p w:rsidR="0015532C" w:rsidRDefault="00943E3B">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适当扩大满意度调查范围，增加调查对象样本数量，以进一步提升满意度调查结果的可信度</w:t>
      </w:r>
      <w:r>
        <w:rPr>
          <w:rFonts w:ascii="仿宋_GB2312" w:eastAsia="仿宋_GB2312" w:hAnsi="仿宋_GB2312" w:cs="仿宋_GB2312" w:hint="eastAsia"/>
          <w:sz w:val="32"/>
          <w:szCs w:val="32"/>
        </w:rPr>
        <w:t>。</w:t>
      </w:r>
    </w:p>
    <w:p w:rsidR="0015532C" w:rsidRDefault="00943E3B">
      <w:pPr>
        <w:adjustRightInd w:val="0"/>
        <w:snapToGrid w:val="0"/>
        <w:spacing w:line="360" w:lineRule="auto"/>
        <w:ind w:firstLineChars="200" w:firstLine="640"/>
        <w:rPr>
          <w:rFonts w:ascii="宋体" w:eastAsia="宋体" w:hAnsi="宋体" w:cs="宋体"/>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建议西城区政府、区外联办及金融街街道办事处在本租赁合同执行结束后，梳理项目工作机制和各个责任单位各自的职责，按照事权与支出责任统一性原则，重新确定项目责任主体。在房屋租金承担机制上，明确企业和政府职责边界、成本分担机制，研究制定运营合作方案，建立责权事权分工明确、协作顺畅、成本分担的运营模式和工作机制。</w:t>
      </w:r>
    </w:p>
    <w:sectPr w:rsidR="001553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ZmE2MjkwOWY5OTFjM2IxMWU4ZmE0NjJkM2YxZWIifQ=="/>
  </w:docVars>
  <w:rsids>
    <w:rsidRoot w:val="009825FF"/>
    <w:rsid w:val="0015532C"/>
    <w:rsid w:val="00943E3B"/>
    <w:rsid w:val="009825FF"/>
    <w:rsid w:val="009B5136"/>
    <w:rsid w:val="00D70C77"/>
    <w:rsid w:val="00EC0F6C"/>
    <w:rsid w:val="03807974"/>
    <w:rsid w:val="0B5F7701"/>
    <w:rsid w:val="119A2CE1"/>
    <w:rsid w:val="1F6452F5"/>
    <w:rsid w:val="1FC009DE"/>
    <w:rsid w:val="2A6755A1"/>
    <w:rsid w:val="2F1F0CBB"/>
    <w:rsid w:val="36052262"/>
    <w:rsid w:val="391C307B"/>
    <w:rsid w:val="43741014"/>
    <w:rsid w:val="492E3415"/>
    <w:rsid w:val="55085A60"/>
    <w:rsid w:val="70B82875"/>
    <w:rsid w:val="76556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line="360" w:lineRule="auto"/>
      <w:ind w:firstLineChars="200" w:firstLine="643"/>
      <w:outlineLvl w:val="0"/>
    </w:pPr>
    <w:rPr>
      <w:b/>
      <w:bCs/>
      <w:snapToGrid w:val="0"/>
      <w:kern w:val="0"/>
      <w:sz w:val="32"/>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a4">
    <w:name w:val="Body Text"/>
    <w:basedOn w:val="a"/>
    <w:qFormat/>
    <w:pPr>
      <w:spacing w:after="120"/>
    </w:pPr>
  </w:style>
  <w:style w:type="paragraph" w:styleId="2">
    <w:name w:val="Body Text Indent 2"/>
    <w:basedOn w:val="a"/>
    <w:qFormat/>
    <w:pPr>
      <w:spacing w:after="120" w:line="480" w:lineRule="auto"/>
      <w:ind w:leftChars="200" w:left="420"/>
    </w:p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Cs w:val="24"/>
    </w:rPr>
  </w:style>
  <w:style w:type="character" w:customStyle="1" w:styleId="Char0">
    <w:name w:val="页眉 Char"/>
    <w:basedOn w:val="a1"/>
    <w:link w:val="a6"/>
    <w:uiPriority w:val="99"/>
    <w:rPr>
      <w:sz w:val="18"/>
      <w:szCs w:val="18"/>
    </w:rPr>
  </w:style>
  <w:style w:type="character" w:customStyle="1" w:styleId="Char">
    <w:name w:val="页脚 Char"/>
    <w:basedOn w:val="a1"/>
    <w:link w:val="a5"/>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line="360" w:lineRule="auto"/>
      <w:ind w:firstLineChars="200" w:firstLine="643"/>
      <w:outlineLvl w:val="0"/>
    </w:pPr>
    <w:rPr>
      <w:b/>
      <w:bCs/>
      <w:snapToGrid w:val="0"/>
      <w:kern w:val="0"/>
      <w:sz w:val="32"/>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a4">
    <w:name w:val="Body Text"/>
    <w:basedOn w:val="a"/>
    <w:qFormat/>
    <w:pPr>
      <w:spacing w:after="120"/>
    </w:pPr>
  </w:style>
  <w:style w:type="paragraph" w:styleId="2">
    <w:name w:val="Body Text Indent 2"/>
    <w:basedOn w:val="a"/>
    <w:qFormat/>
    <w:pPr>
      <w:spacing w:after="120" w:line="480" w:lineRule="auto"/>
      <w:ind w:leftChars="200" w:left="420"/>
    </w:p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Cs w:val="24"/>
    </w:rPr>
  </w:style>
  <w:style w:type="character" w:customStyle="1" w:styleId="Char0">
    <w:name w:val="页眉 Char"/>
    <w:basedOn w:val="a1"/>
    <w:link w:val="a6"/>
    <w:uiPriority w:val="99"/>
    <w:rPr>
      <w:sz w:val="18"/>
      <w:szCs w:val="18"/>
    </w:rPr>
  </w:style>
  <w:style w:type="character" w:customStyle="1" w:styleId="Char">
    <w:name w:val="页脚 Char"/>
    <w:basedOn w:val="a1"/>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545</Words>
  <Characters>3108</Characters>
  <Application>Microsoft Office Word</Application>
  <DocSecurity>0</DocSecurity>
  <Lines>25</Lines>
  <Paragraphs>7</Paragraphs>
  <ScaleCrop>false</ScaleCrop>
  <Company/>
  <LinksUpToDate>false</LinksUpToDate>
  <CharactersWithSpaces>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沈东华</dc:creator>
  <cp:lastModifiedBy>方祥麟</cp:lastModifiedBy>
  <cp:revision>3</cp:revision>
  <dcterms:created xsi:type="dcterms:W3CDTF">2022-10-09T06:34:00Z</dcterms:created>
  <dcterms:modified xsi:type="dcterms:W3CDTF">2024-06-21T09:28:00Z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A8FFB748E13F4E71A7710CD7D6F9A9DA_12</vt:lpwstr>
  </property>
</Properties>
</file>