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黑体" w:eastAsia="方正小标宋简体"/>
          <w:bCs/>
          <w:color w:val="000000" w:themeColor="text1"/>
          <w:sz w:val="44"/>
          <w:szCs w:val="44"/>
        </w:rPr>
      </w:pPr>
      <w:r>
        <w:rPr>
          <w:rFonts w:ascii="方正小标宋简体" w:hAnsi="黑体" w:eastAsia="方正小标宋简体"/>
          <w:bCs/>
          <w:color w:val="000000" w:themeColor="text1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一、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抽检依据是《食品安全国家标准 消毒餐(饮)具》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 GB 14934-2016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）、 《食品安全国家标准 食品中污染物限量》（GB 2762-2022）、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《食品安全国家标准 食品添加剂使用标准》（GB 2760-2014）等标准的要求。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餐饮食品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抽检项目包括阴离子合成洗涤剂(以十二烷基苯磺酸钠计)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大肠菌群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糖精钠(以糖精计)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铅(以Pb计)镉(以Cd计)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铬(以Cr计)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总砷(以As计)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等7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《食品安全国家标准 食品中污染物限量》（GB 2762-2022）、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《食品安全国家标准 食品添加剂使用标准》（GB 2760-2014）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《食品安全国家标准 食用淀粉》(GB 31637)等标准及产品明示标准和指标的要求。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淀粉及淀粉制品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抽检项目包括铅(以Pb计)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苯甲酸及其钠盐(以苯甲酸计)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山梨酸及其钾盐(以山梨酸计)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铝的残留量(干样品,以Al计)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二氧化硫残留量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、脱氢乙酸及其钠盐(以脱氢乙酸计)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等6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酱油》(GB 2717)《食品安全国家标准 食品中污染物限量》( GB 2762)、《食品安全国家标准 食品添加剂使用标准》(GB 2760)、《食品安全国家标准 食醋》(GB 2719)、《食品中可能违法添加的非食用物质和易滥用的食品添加剂品种名单(第五批)(整顿办函[2011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]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1号)、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抽检依据是《食品安全国家标准 食用盐》（GB 2721-2015）、《食品安全国家标准 食品添加剂使用标准》（GB 2760-2014）、《食用盐》（GB/T 5461-2016）、《食品安全国家标准 食品中污染物限量》（GB 2762-2017）、《食品安全国家标准 食用盐碘含量》（GB 26878-2011）、《雪花盐》（Q/JTB 0001S-2016）、《深井岩盐》（Q/DYZ 0030S-2016）（备案号：37090146S-2016）、《海盐》（Q/HBAE0005S）、《精制食用盐》（Q/JSYY 0001S-2018）（备案号：322059S-2018）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、GB/T 8967-2007《谷氨酸钠(味精)》、GB 2720-2015《食品安全国家标准 味精》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调味品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抽检项目包括氯化钠(以干基计)、氨基酸态氮(以氮计)、总酸、谷氨酸钠、钡(以Ba计)、全氮(以氮计)、不挥发酸(以乳酸计)、铅(以Pb计)、碘(以I计)、铵盐(以占氨基酸态氮的百分比计)、苯甲酸及其钠盐(以苯甲酸计)、山梨酸及其钾盐(以山梨酸计)、脱氢乙酸及其钠盐(以脱氢乙酸计)、糖精钠(以糖精计)、三氯蔗糖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铅(以Pb计)、苏丹红Ⅰ、苏丹红Ⅱ、苏丹红Ⅲ、苏丹红Ⅳ、罂粟碱、吗啡、可待因、那可丁、苯甲酸及其钠盐(以苯甲酸计)、山梨酸及其钾盐(以山梨酸计)、脱氢乙酸及其钠盐(以脱氢乙酸计)、糖精钠(以糖精计)、甜蜜素(以环己基氨基磺酸计)、阿斯巴甜、二氧化硫残留量、安赛蜜等32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抽检依据是《食品安全国家标准 食品中真菌毒素限量》(GB 2761)、《食品安全国家标准 食品中污染物限量》(GB 2762)、《食品安全国家标准 食品添加剂使用标准》(GB 2760)等标准及产品明示标准和指标的要求。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粮食加工品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抽检项目包括铅(以Pb计)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镉(以Cd计)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无机砷(以As计)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苯并[a]芘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二氧化硫残留量、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山梨酸、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苯甲酸及其钠盐(以苯甲酸计)、脱氢乙酸及其钠盐(以脱氢乙酸计)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黄曲霉毒素 B、玉米赤霉烯酮、偶氮甲酰胺、赭曲霉毒素 A、脱氧雪腐镰刀菌烯醇、过氧化苯甲酰等14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《食品安全国家标准 食品中污染物限量》（GB 2762-2022）、《菜籽油》（GB/T 1536-2021）、《芝麻油》（GB/T 8233-2018）、《食品安全国家标准 植物油》（GB 2716-2018）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食用油、油脂及其制品抽检项目包括酸价(以KOH计)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过氧化值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苯并[a]芘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溶剂残留量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等4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《食品安全国家标准 食品中污染物限量》（GB 2762-2022）、《食品安全国家标准 速冻面米与调制食品》（GB 19295-2021）、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《食品安全国家标准 食品添加剂使用标准》（GB 2760-2014）等标准及产品明示标准和指标的要求。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速冻食品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抽检项目包括过氧化值(以脂肪计)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铅(以Pb计)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糖精钠(以糖精计)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等3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Times New Roman"/>
          <w:bCs/>
          <w:sz w:val="32"/>
          <w:szCs w:val="32"/>
          <w:lang w:val="en-US" w:eastAsia="zh-CN"/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GB 2763-2021《食品安全国家标准 食品中农药最大残留限量》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ascii="楷体" w:hAnsi="楷体" w:eastAsia="楷体" w:cs="Times New Roman"/>
          <w:bCs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食用农产品抽检项目包括毒死蜱、杀扑磷、苯醚甲环唑、狄氏剂、2,4-滴和2,4-滴钠盐、甲拌磷、氯氟氰菊酯和高效氯氟氰菊酯、氧乐果、水胺硫磷、三唑磷、氯唑磷、联苯菊酯、克百威、丙溴磷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14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个指标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抽检依据是《食品安全国家标准 豆制品》(GB 2712)、《食品安全国家标准 食品添加剂使用标准》(GB 2760)等标准及产品明示标准和指标的要求。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豆制品抽检项目包括铅(以Pb计)、苯甲酸及其钠盐(以苯甲酸计)、山梨酸及其钾盐(以山梨酸计)、脱氢乙酸及其钠盐(以脱氢乙酸计)、丙酸及其钠盐、钙盐(以丙酸计)、铝的残留量(干样品,以Al计)、柠檬黄、日落黄蛋白质、碱性嫩黄、脱氢乙酸及其钠盐(以脱氢乙酸计)、二氧化硫残留量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个指标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抽检依据是《GB 2762-2022《食品安全国家标准 食品中污染物限量》、《食品安全国家标准 食品添加剂使用标准》(GB 2760)、GB 7099-2015《食品安全国家标准 糕点、面包》、GB 29921-2021《食品安全国家标准 预包装食品中致病菌限量》等标准及产品明示标准和指标的要求。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糕点抽检项目包括铅(以Pb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三氯蔗糖、菌落总数、大肠菌群、金黄色葡萄球菌、沙门氏菌、霉菌、柠檬黄、日落黄、胭脂红、苋菜红、亮蓝、新红、赤藓红、靛蓝、诱惑红、酸性红(又名偶氮玉红)、喹啉黄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27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个指标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</w:pP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抽检依据是GB 2762-2022《食品安全国家标准 食品中污染物限量》、GB 25190-2010《食品安全国家标准 灭菌乳》、食品安全国家标准 食品添加剂使用标准》(GB 2760)、卫生部、工业和信息化部、农业部、工商总局、质检总局公告2011年第10号《关于三聚氰胺在食品中的限量值的公告》、GB 19302-2010《食品安全国家标准 发酵乳》等标准及产品明示标准和指标的要求。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乳制品抽检项目包括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铅(以Pb计)、商业无菌、丙二醇、酸度、脂肪、非脂乳固体、蛋白质、三聚氰胺、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乳酸菌数、山梨酸及其钾盐(以山梨酸计)、金黄色葡萄球菌、沙门氏菌、大肠菌群、酵母、霉菌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</w:rPr>
        <w:t>15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</w:rPr>
        <w:t>个指标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oto Sans Anatolian Hieroglyphs">
    <w:panose1 w:val="020B0502040504020204"/>
    <w:charset w:val="00"/>
    <w:family w:val="auto"/>
    <w:pitch w:val="default"/>
    <w:sig w:usb0="80000003" w:usb1="02000000" w:usb2="00000000" w:usb3="00000000" w:csb0="00000001" w:csb1="00000000"/>
  </w:font>
  <w:font w:name="Noto Sans Bengali">
    <w:panose1 w:val="020B0502040504020204"/>
    <w:charset w:val="00"/>
    <w:family w:val="auto"/>
    <w:pitch w:val="default"/>
    <w:sig w:usb0="80018023" w:usb1="00002042" w:usb2="00000000" w:usb3="00000000" w:csb0="0000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Cham">
    <w:panose1 w:val="020B0502040504020204"/>
    <w:charset w:val="00"/>
    <w:family w:val="auto"/>
    <w:pitch w:val="default"/>
    <w:sig w:usb0="80000003" w:usb1="00002000" w:usb2="00000000" w:usb3="00400000" w:csb0="00000001" w:csb1="00000000"/>
  </w:font>
  <w:font w:name="Noto Sans Deseret">
    <w:panose1 w:val="020B0502040504020204"/>
    <w:charset w:val="00"/>
    <w:family w:val="auto"/>
    <w:pitch w:val="default"/>
    <w:sig w:usb0="00000003" w:usb1="02000000" w:usb2="00800000" w:usb3="00000000" w:csb0="00000001" w:csb1="00000000"/>
  </w:font>
  <w:font w:name="Noto Sans Gothic">
    <w:panose1 w:val="020B0502040504020204"/>
    <w:charset w:val="00"/>
    <w:family w:val="auto"/>
    <w:pitch w:val="default"/>
    <w:sig w:usb0="00000043" w:usb1="02000000" w:usb2="00400000" w:usb3="00000000" w:csb0="00000001" w:csb1="00000000"/>
  </w:font>
  <w:font w:name="Noto Sans Hanunoo">
    <w:panose1 w:val="020B0502040504020204"/>
    <w:charset w:val="00"/>
    <w:family w:val="auto"/>
    <w:pitch w:val="default"/>
    <w:sig w:usb0="80000003" w:usb1="00002000" w:usb2="00100000" w:usb3="00000000" w:csb0="00000001" w:csb1="00000000"/>
  </w:font>
  <w:font w:name="Noto Sans Kannada">
    <w:panose1 w:val="020B0502040504020204"/>
    <w:charset w:val="00"/>
    <w:family w:val="auto"/>
    <w:pitch w:val="default"/>
    <w:sig w:usb0="80408003" w:usb1="00002042" w:usb2="00000000" w:usb3="00000000" w:csb0="00000001" w:csb1="00000000"/>
  </w:font>
  <w:font w:name="Noto Sans Lao">
    <w:panose1 w:val="020B0502040504020204"/>
    <w:charset w:val="00"/>
    <w:family w:val="auto"/>
    <w:pitch w:val="default"/>
    <w:sig w:usb0="82000003" w:usb1="00002002" w:usb2="00000000" w:usb3="00000000" w:csb0="00000001" w:csb1="00000000"/>
  </w:font>
  <w:font w:name="Noto Sans Limbu">
    <w:panose1 w:val="020B0502040504020204"/>
    <w:charset w:val="00"/>
    <w:family w:val="auto"/>
    <w:pitch w:val="default"/>
    <w:sig w:usb0="80008003" w:usb1="00002000" w:usb2="2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01E"/>
    <w:rsid w:val="00281629"/>
    <w:rsid w:val="0068107E"/>
    <w:rsid w:val="00CE101E"/>
    <w:rsid w:val="7BDFC8BF"/>
    <w:rsid w:val="7F4BF099"/>
    <w:rsid w:val="7FCB913D"/>
    <w:rsid w:val="7FEFC9D1"/>
    <w:rsid w:val="BEFD0B91"/>
    <w:rsid w:val="DE2FDAEA"/>
    <w:rsid w:val="F78C1A3B"/>
    <w:rsid w:val="FDCD1779"/>
    <w:rsid w:val="FFDFB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3</TotalTime>
  <ScaleCrop>false</ScaleCrop>
  <LinksUpToDate>false</LinksUpToDate>
  <CharactersWithSpaces>484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2019-10-15T02:26:00Z</dcterms:created>
  <dc:creator>user</dc:creator>
  <cp:lastModifiedBy>user</cp:lastModifiedBy>
  <dcterms:modified xsi:type="dcterms:W3CDTF">2024-04-26T15:36:14Z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EA37EA34CF5CE79C0C002B66BCA61B3F</vt:lpwstr>
  </property>
</Properties>
</file>