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504F3">
      <w:pPr>
        <w:rPr>
          <w:rFonts w:hint="eastAsia" w:ascii="仿宋" w:hAnsi="仿宋" w:eastAsia="仿宋"/>
          <w:sz w:val="28"/>
        </w:rPr>
      </w:pPr>
    </w:p>
    <w:p w14:paraId="1248BCDC">
      <w:pPr>
        <w:jc w:val="center"/>
        <w:rPr>
          <w:rFonts w:hint="eastAsia" w:ascii="仿宋" w:hAnsi="仿宋" w:eastAsia="仿宋"/>
          <w:sz w:val="28"/>
        </w:rPr>
      </w:pPr>
    </w:p>
    <w:p w14:paraId="22F2E7F6">
      <w:pPr>
        <w:jc w:val="center"/>
        <w:rPr>
          <w:rFonts w:hint="eastAsia" w:ascii="仿宋" w:hAnsi="仿宋" w:eastAsia="仿宋"/>
          <w:sz w:val="28"/>
          <w:bdr w:val="single" w:color="auto" w:sz="4" w:space="0"/>
        </w:rPr>
      </w:pPr>
    </w:p>
    <w:p w14:paraId="257645C1">
      <w:pPr>
        <w:jc w:val="center"/>
        <w:rPr>
          <w:rFonts w:hint="eastAsia" w:ascii="仿宋" w:hAnsi="仿宋" w:eastAsia="仿宋"/>
          <w:sz w:val="28"/>
          <w:bdr w:val="single" w:color="auto" w:sz="4" w:space="0"/>
        </w:rPr>
      </w:pPr>
    </w:p>
    <w:p w14:paraId="40D4016C">
      <w:pPr>
        <w:jc w:val="center"/>
        <w:rPr>
          <w:rFonts w:hint="eastAsia" w:ascii="仿宋" w:hAnsi="仿宋" w:eastAsia="仿宋"/>
          <w:sz w:val="28"/>
          <w:bdr w:val="single" w:color="auto" w:sz="4" w:space="0"/>
        </w:rPr>
      </w:pPr>
    </w:p>
    <w:p w14:paraId="6459A30C">
      <w:pPr>
        <w:jc w:val="center"/>
        <w:rPr>
          <w:rFonts w:hint="eastAsia" w:ascii="黑体" w:hAnsi="黑体" w:eastAsia="黑体" w:cs="Arial Unicode MS"/>
          <w:b/>
          <w:sz w:val="52"/>
          <w:szCs w:val="52"/>
        </w:rPr>
      </w:pPr>
      <w:r>
        <w:rPr>
          <w:rFonts w:hint="eastAsia" w:ascii="黑体" w:hAnsi="黑体" w:eastAsia="黑体" w:cs="Arial Unicode MS"/>
          <w:b/>
          <w:sz w:val="52"/>
          <w:szCs w:val="52"/>
        </w:rPr>
        <w:t>西城区区级财政支出</w:t>
      </w:r>
    </w:p>
    <w:p w14:paraId="4698C20E">
      <w:pPr>
        <w:jc w:val="center"/>
        <w:rPr>
          <w:rFonts w:hint="eastAsia" w:ascii="黑体" w:hAnsi="黑体" w:eastAsia="黑体" w:cs="Arial Unicode MS"/>
          <w:b/>
          <w:sz w:val="52"/>
          <w:szCs w:val="52"/>
        </w:rPr>
      </w:pPr>
      <w:r>
        <w:rPr>
          <w:rFonts w:hint="eastAsia" w:ascii="黑体" w:hAnsi="黑体" w:eastAsia="黑体" w:cs="Arial Unicode MS"/>
          <w:b/>
          <w:sz w:val="52"/>
          <w:szCs w:val="52"/>
        </w:rPr>
        <w:t>绩效跟踪报告</w:t>
      </w:r>
    </w:p>
    <w:p w14:paraId="48B4E3C7">
      <w:pPr>
        <w:jc w:val="center"/>
        <w:rPr>
          <w:rFonts w:hint="eastAsia" w:ascii="仿宋" w:hAnsi="仿宋" w:eastAsia="仿宋"/>
          <w:sz w:val="44"/>
        </w:rPr>
      </w:pPr>
    </w:p>
    <w:p w14:paraId="64BF96CA">
      <w:pPr>
        <w:jc w:val="center"/>
        <w:rPr>
          <w:rFonts w:hint="eastAsia" w:ascii="仿宋" w:hAnsi="仿宋" w:eastAsia="仿宋"/>
          <w:sz w:val="30"/>
        </w:rPr>
      </w:pPr>
    </w:p>
    <w:p w14:paraId="0C2622BC">
      <w:pPr>
        <w:jc w:val="center"/>
        <w:rPr>
          <w:rFonts w:hint="eastAsia" w:ascii="仿宋" w:hAnsi="仿宋" w:eastAsia="仿宋"/>
          <w:sz w:val="30"/>
        </w:rPr>
      </w:pPr>
    </w:p>
    <w:p w14:paraId="76B23F32">
      <w:pPr>
        <w:jc w:val="center"/>
        <w:rPr>
          <w:rFonts w:hint="eastAsia" w:ascii="仿宋" w:hAnsi="仿宋" w:eastAsia="仿宋"/>
          <w:sz w:val="30"/>
        </w:rPr>
      </w:pPr>
    </w:p>
    <w:p w14:paraId="04F9A9F4">
      <w:pPr>
        <w:jc w:val="center"/>
        <w:rPr>
          <w:rFonts w:hint="eastAsia" w:ascii="仿宋" w:hAnsi="仿宋" w:eastAsia="仿宋"/>
          <w:sz w:val="30"/>
        </w:rPr>
      </w:pPr>
    </w:p>
    <w:p w14:paraId="3FDDD347">
      <w:pPr>
        <w:jc w:val="center"/>
        <w:rPr>
          <w:rFonts w:hint="eastAsia" w:ascii="仿宋" w:hAnsi="仿宋" w:eastAsia="仿宋"/>
          <w:sz w:val="30"/>
        </w:rPr>
      </w:pPr>
    </w:p>
    <w:p w14:paraId="5EFB50F5">
      <w:pPr>
        <w:jc w:val="center"/>
        <w:rPr>
          <w:rFonts w:hint="eastAsia" w:ascii="仿宋" w:hAnsi="仿宋" w:eastAsia="仿宋"/>
          <w:sz w:val="30"/>
        </w:rPr>
      </w:pPr>
    </w:p>
    <w:p w14:paraId="6A373956">
      <w:pPr>
        <w:rPr>
          <w:rFonts w:hint="eastAsia" w:ascii="仿宋" w:hAnsi="仿宋" w:eastAsia="仿宋"/>
          <w:sz w:val="30"/>
        </w:rPr>
      </w:pPr>
    </w:p>
    <w:p w14:paraId="56C4FC31">
      <w:pPr>
        <w:rPr>
          <w:rFonts w:hint="eastAsia" w:ascii="仿宋" w:hAnsi="仿宋" w:eastAsia="仿宋"/>
          <w:b/>
          <w:sz w:val="32"/>
          <w:szCs w:val="32"/>
          <w:u w:val="single"/>
        </w:rPr>
      </w:pPr>
      <w:r>
        <w:rPr>
          <w:rFonts w:hint="eastAsia" w:ascii="仿宋" w:hAnsi="仿宋" w:eastAsia="仿宋"/>
          <w:sz w:val="32"/>
        </w:rPr>
        <w:t xml:space="preserve">   </w:t>
      </w:r>
      <w:r>
        <w:rPr>
          <w:rFonts w:hint="eastAsia" w:ascii="仿宋" w:hAnsi="仿宋" w:eastAsia="仿宋"/>
          <w:sz w:val="32"/>
          <w:szCs w:val="32"/>
        </w:rPr>
        <w:t xml:space="preserve"> </w:t>
      </w:r>
      <w:r>
        <w:rPr>
          <w:rFonts w:hint="eastAsia" w:ascii="仿宋" w:hAnsi="仿宋" w:eastAsia="仿宋"/>
          <w:b/>
          <w:sz w:val="32"/>
          <w:szCs w:val="32"/>
        </w:rPr>
        <w:t xml:space="preserve">  部门名称：</w:t>
      </w:r>
      <w:r>
        <w:rPr>
          <w:rFonts w:hint="eastAsia" w:ascii="仿宋" w:hAnsi="仿宋" w:eastAsia="仿宋"/>
          <w:b/>
          <w:sz w:val="32"/>
          <w:szCs w:val="32"/>
          <w:u w:val="single"/>
        </w:rPr>
        <w:t xml:space="preserve">  北京市西城区人民政府月坛街道办事处 </w:t>
      </w:r>
    </w:p>
    <w:p w14:paraId="7B5AFB37">
      <w:pPr>
        <w:rPr>
          <w:rFonts w:hint="eastAsia" w:ascii="仿宋" w:hAnsi="仿宋" w:eastAsia="仿宋"/>
          <w:b/>
          <w:sz w:val="32"/>
          <w:szCs w:val="32"/>
          <w:u w:val="single"/>
        </w:rPr>
      </w:pPr>
    </w:p>
    <w:p w14:paraId="065AA430">
      <w:pPr>
        <w:rPr>
          <w:rFonts w:hint="eastAsia" w:ascii="仿宋" w:hAnsi="仿宋" w:eastAsia="仿宋"/>
          <w:b/>
          <w:sz w:val="32"/>
          <w:szCs w:val="32"/>
          <w:u w:val="single"/>
        </w:rPr>
      </w:pPr>
      <w:r>
        <w:rPr>
          <w:rFonts w:hint="eastAsia" w:ascii="仿宋" w:hAnsi="仿宋" w:eastAsia="仿宋"/>
          <w:b/>
          <w:sz w:val="32"/>
          <w:szCs w:val="32"/>
        </w:rPr>
        <w:t xml:space="preserve">      填报日期：</w:t>
      </w:r>
      <w:r>
        <w:rPr>
          <w:rFonts w:hint="eastAsia" w:ascii="仿宋" w:hAnsi="仿宋" w:eastAsia="仿宋"/>
          <w:b/>
          <w:sz w:val="32"/>
          <w:szCs w:val="32"/>
          <w:u w:val="single"/>
        </w:rPr>
        <w:t xml:space="preserve">         2019年</w:t>
      </w:r>
      <w:r>
        <w:rPr>
          <w:rFonts w:ascii="仿宋" w:hAnsi="仿宋" w:eastAsia="仿宋"/>
          <w:b/>
          <w:sz w:val="32"/>
          <w:szCs w:val="32"/>
          <w:u w:val="single"/>
        </w:rPr>
        <w:t>1</w:t>
      </w:r>
      <w:r>
        <w:rPr>
          <w:rFonts w:hint="eastAsia" w:ascii="仿宋" w:hAnsi="仿宋" w:eastAsia="仿宋"/>
          <w:b/>
          <w:sz w:val="32"/>
          <w:szCs w:val="32"/>
          <w:u w:val="single"/>
        </w:rPr>
        <w:t xml:space="preserve">月18日             </w:t>
      </w:r>
    </w:p>
    <w:p w14:paraId="02FB4F3D">
      <w:pPr>
        <w:rPr>
          <w:rFonts w:hint="eastAsia" w:ascii="仿宋" w:hAnsi="仿宋" w:eastAsia="仿宋"/>
          <w:b/>
          <w:sz w:val="32"/>
          <w:szCs w:val="32"/>
          <w:u w:val="single"/>
        </w:rPr>
      </w:pPr>
    </w:p>
    <w:p w14:paraId="3B13EFEA">
      <w:pPr>
        <w:ind w:firstLine="964" w:firstLineChars="300"/>
        <w:rPr>
          <w:rFonts w:hint="eastAsia" w:ascii="仿宋" w:hAnsi="仿宋" w:eastAsia="仿宋"/>
          <w:b/>
          <w:sz w:val="32"/>
          <w:szCs w:val="32"/>
          <w:u w:val="single"/>
        </w:rPr>
        <w:sectPr>
          <w:headerReference r:id="rId3" w:type="default"/>
          <w:pgSz w:w="11906" w:h="16838"/>
          <w:pgMar w:top="1440" w:right="1304" w:bottom="1440" w:left="1304" w:header="851" w:footer="992" w:gutter="0"/>
          <w:cols w:space="720" w:num="1"/>
          <w:docGrid w:type="lines" w:linePitch="312" w:charSpace="0"/>
        </w:sectPr>
      </w:pPr>
      <w:r>
        <w:rPr>
          <w:rFonts w:hint="eastAsia" w:ascii="仿宋" w:hAnsi="仿宋" w:eastAsia="仿宋"/>
          <w:b/>
          <w:sz w:val="32"/>
        </w:rPr>
        <w:t>负 责 人：</w:t>
      </w:r>
      <w:r>
        <w:rPr>
          <w:rFonts w:hint="eastAsia" w:ascii="仿宋" w:hAnsi="仿宋" w:eastAsia="仿宋"/>
          <w:b/>
          <w:sz w:val="32"/>
          <w:u w:val="single"/>
        </w:rPr>
        <w:t xml:space="preserve">            李 </w:t>
      </w:r>
      <w:r>
        <w:rPr>
          <w:rFonts w:ascii="仿宋" w:hAnsi="仿宋" w:eastAsia="仿宋"/>
          <w:b/>
          <w:sz w:val="32"/>
          <w:u w:val="single"/>
        </w:rPr>
        <w:t xml:space="preserve"> </w:t>
      </w:r>
      <w:r>
        <w:rPr>
          <w:rFonts w:hint="eastAsia" w:ascii="仿宋" w:hAnsi="仿宋" w:eastAsia="仿宋"/>
          <w:b/>
          <w:sz w:val="32"/>
          <w:u w:val="single"/>
        </w:rPr>
        <w:t xml:space="preserve">瑞 </w:t>
      </w:r>
      <w:r>
        <w:rPr>
          <w:rFonts w:ascii="仿宋" w:hAnsi="仿宋" w:eastAsia="仿宋"/>
          <w:b/>
          <w:sz w:val="32"/>
          <w:u w:val="single"/>
        </w:rPr>
        <w:t xml:space="preserve"> </w:t>
      </w:r>
      <w:r>
        <w:rPr>
          <w:rFonts w:hint="eastAsia" w:ascii="仿宋" w:hAnsi="仿宋" w:eastAsia="仿宋"/>
          <w:b/>
          <w:sz w:val="32"/>
          <w:u w:val="single"/>
        </w:rPr>
        <w:t xml:space="preserve">华            </w:t>
      </w:r>
      <w:r>
        <w:rPr>
          <w:rFonts w:ascii="仿宋" w:hAnsi="仿宋" w:eastAsia="仿宋"/>
          <w:b/>
          <w:sz w:val="32"/>
          <w:u w:val="single"/>
        </w:rPr>
        <w:t xml:space="preserve">    </w:t>
      </w:r>
    </w:p>
    <w:p w14:paraId="64A21161">
      <w:pPr>
        <w:spacing w:line="480" w:lineRule="auto"/>
        <w:ind w:firstLine="1800" w:firstLineChars="500"/>
        <w:rPr>
          <w:rFonts w:hint="eastAsia" w:ascii="黑体" w:hAnsi="黑体" w:eastAsia="黑体"/>
          <w:sz w:val="36"/>
          <w:szCs w:val="36"/>
        </w:rPr>
      </w:pPr>
      <w:r>
        <w:rPr>
          <w:rFonts w:hint="eastAsia" w:ascii="仿宋" w:hAnsi="仿宋" w:eastAsia="仿宋"/>
          <w:sz w:val="36"/>
          <w:szCs w:val="36"/>
        </w:rPr>
        <w:t xml:space="preserve">            </w:t>
      </w:r>
      <w:r>
        <w:rPr>
          <w:rFonts w:hint="eastAsia" w:ascii="黑体" w:hAnsi="黑体" w:eastAsia="黑体"/>
          <w:sz w:val="36"/>
          <w:szCs w:val="36"/>
        </w:rPr>
        <w:t>目  录</w:t>
      </w:r>
    </w:p>
    <w:p w14:paraId="09888771">
      <w:pPr>
        <w:spacing w:line="480" w:lineRule="auto"/>
        <w:ind w:firstLine="1800" w:firstLineChars="500"/>
        <w:rPr>
          <w:rFonts w:hint="eastAsia" w:ascii="黑体" w:hAnsi="黑体" w:eastAsia="黑体"/>
          <w:sz w:val="36"/>
          <w:szCs w:val="36"/>
        </w:rPr>
      </w:pPr>
    </w:p>
    <w:p w14:paraId="79CDC501">
      <w:pPr>
        <w:pStyle w:val="4"/>
        <w:tabs>
          <w:tab w:val="right" w:leader="dot" w:pos="9298"/>
        </w:tabs>
        <w:rPr>
          <w:rFonts w:hint="eastAsia" w:ascii="仿宋" w:hAnsi="仿宋" w:eastAsia="仿宋" w:cs="仿宋"/>
          <w:sz w:val="32"/>
          <w:szCs w:val="32"/>
        </w:rPr>
      </w:pPr>
      <w:r>
        <w:rPr>
          <w:rFonts w:hint="eastAsia" w:ascii="仿宋" w:hAnsi="仿宋" w:eastAsia="仿宋"/>
          <w:sz w:val="30"/>
          <w:szCs w:val="30"/>
        </w:rPr>
        <w:fldChar w:fldCharType="begin"/>
      </w:r>
      <w:r>
        <w:rPr>
          <w:rFonts w:hint="eastAsia" w:ascii="仿宋" w:hAnsi="仿宋" w:eastAsia="仿宋"/>
          <w:sz w:val="30"/>
          <w:szCs w:val="30"/>
        </w:rPr>
        <w:instrText xml:space="preserve">TOC \o "1-3" \h \u </w:instrText>
      </w:r>
      <w:r>
        <w:rPr>
          <w:rFonts w:hint="eastAsia" w:ascii="仿宋" w:hAnsi="仿宋" w:eastAsia="仿宋"/>
          <w:sz w:val="30"/>
          <w:szCs w:val="30"/>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_Toc24058 </w:instrText>
      </w:r>
      <w:r>
        <w:rPr>
          <w:rFonts w:hint="eastAsia" w:ascii="仿宋" w:hAnsi="仿宋" w:eastAsia="仿宋" w:cs="仿宋"/>
          <w:sz w:val="32"/>
          <w:szCs w:val="32"/>
        </w:rPr>
        <w:fldChar w:fldCharType="separate"/>
      </w:r>
      <w:r>
        <w:rPr>
          <w:rFonts w:hint="eastAsia" w:ascii="仿宋" w:hAnsi="仿宋" w:eastAsia="仿宋" w:cs="仿宋"/>
          <w:sz w:val="32"/>
          <w:szCs w:val="32"/>
        </w:rPr>
        <w:t>一、绩效跟踪工作组织实施情况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_Toc24058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D3B1FEC">
      <w:pPr>
        <w:pStyle w:val="4"/>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_Toc4292 </w:instrText>
      </w:r>
      <w:r>
        <w:rPr>
          <w:rFonts w:hint="eastAsia" w:ascii="仿宋" w:hAnsi="仿宋" w:eastAsia="仿宋" w:cs="仿宋"/>
          <w:sz w:val="32"/>
          <w:szCs w:val="32"/>
        </w:rPr>
        <w:fldChar w:fldCharType="separate"/>
      </w:r>
      <w:r>
        <w:rPr>
          <w:rFonts w:hint="eastAsia" w:ascii="仿宋" w:hAnsi="仿宋" w:eastAsia="仿宋" w:cs="仿宋"/>
          <w:sz w:val="32"/>
          <w:szCs w:val="32"/>
        </w:rPr>
        <w:t>二、年度预算执行情况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_Toc4292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38420E9">
      <w:pPr>
        <w:pStyle w:val="6"/>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_Toc15395 </w:instrText>
      </w:r>
      <w:r>
        <w:rPr>
          <w:rFonts w:hint="eastAsia" w:ascii="仿宋" w:hAnsi="仿宋" w:eastAsia="仿宋" w:cs="仿宋"/>
          <w:sz w:val="32"/>
          <w:szCs w:val="32"/>
        </w:rPr>
        <w:fldChar w:fldCharType="separate"/>
      </w:r>
      <w:r>
        <w:rPr>
          <w:rFonts w:hint="eastAsia" w:ascii="仿宋" w:hAnsi="仿宋" w:eastAsia="仿宋" w:cs="仿宋"/>
          <w:sz w:val="32"/>
          <w:szCs w:val="32"/>
        </w:rPr>
        <w:t>（一）预算批复情况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_Toc15395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129E79F">
      <w:pPr>
        <w:pStyle w:val="6"/>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_Toc6912 </w:instrText>
      </w:r>
      <w:r>
        <w:rPr>
          <w:rFonts w:hint="eastAsia" w:ascii="仿宋" w:hAnsi="仿宋" w:eastAsia="仿宋" w:cs="仿宋"/>
          <w:sz w:val="32"/>
          <w:szCs w:val="32"/>
        </w:rPr>
        <w:fldChar w:fldCharType="separate"/>
      </w:r>
      <w:r>
        <w:rPr>
          <w:rFonts w:hint="eastAsia" w:ascii="仿宋" w:hAnsi="仿宋" w:eastAsia="仿宋" w:cs="仿宋"/>
          <w:sz w:val="32"/>
          <w:szCs w:val="32"/>
        </w:rPr>
        <w:t>（二）预算调整情况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_Toc6912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674BFBC">
      <w:pPr>
        <w:pStyle w:val="6"/>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_Toc5872 </w:instrText>
      </w:r>
      <w:r>
        <w:rPr>
          <w:rFonts w:hint="eastAsia" w:ascii="仿宋" w:hAnsi="仿宋" w:eastAsia="仿宋" w:cs="仿宋"/>
          <w:sz w:val="32"/>
          <w:szCs w:val="32"/>
        </w:rPr>
        <w:fldChar w:fldCharType="separate"/>
      </w:r>
      <w:r>
        <w:rPr>
          <w:rFonts w:hint="eastAsia" w:ascii="仿宋" w:hAnsi="仿宋" w:eastAsia="仿宋" w:cs="仿宋"/>
          <w:sz w:val="32"/>
          <w:szCs w:val="32"/>
        </w:rPr>
        <w:t>（三）预算执行情况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_Toc5872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92A1FA1">
      <w:pPr>
        <w:pStyle w:val="4"/>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_Toc26425 </w:instrText>
      </w:r>
      <w:r>
        <w:rPr>
          <w:rFonts w:hint="eastAsia" w:ascii="仿宋" w:hAnsi="仿宋" w:eastAsia="仿宋" w:cs="仿宋"/>
          <w:sz w:val="32"/>
          <w:szCs w:val="32"/>
        </w:rPr>
        <w:fldChar w:fldCharType="separate"/>
      </w:r>
      <w:r>
        <w:rPr>
          <w:rFonts w:hint="eastAsia" w:ascii="仿宋" w:hAnsi="仿宋" w:eastAsia="仿宋" w:cs="仿宋"/>
          <w:sz w:val="32"/>
          <w:szCs w:val="32"/>
        </w:rPr>
        <w:t>三、绩效目标完成情况及分析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_Toc26425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249B734">
      <w:pPr>
        <w:pStyle w:val="6"/>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_Toc16642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（一）部门整体绩效目标完成情况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_Toc16642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2091B79">
      <w:pPr>
        <w:pStyle w:val="6"/>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_Toc20201 </w:instrText>
      </w:r>
      <w:r>
        <w:rPr>
          <w:rFonts w:hint="eastAsia" w:ascii="仿宋" w:hAnsi="仿宋" w:eastAsia="仿宋" w:cs="仿宋"/>
          <w:sz w:val="32"/>
          <w:szCs w:val="32"/>
        </w:rPr>
        <w:fldChar w:fldCharType="separate"/>
      </w:r>
      <w:r>
        <w:rPr>
          <w:rFonts w:hint="eastAsia" w:ascii="仿宋" w:hAnsi="仿宋" w:eastAsia="仿宋" w:cs="仿宋"/>
          <w:sz w:val="32"/>
          <w:szCs w:val="32"/>
        </w:rPr>
        <w:t>（二）项目绩效目标完成情况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_Toc20201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62DAD01">
      <w:pPr>
        <w:pStyle w:val="6"/>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_Toc8674 </w:instrText>
      </w:r>
      <w:r>
        <w:rPr>
          <w:rFonts w:hint="eastAsia" w:ascii="仿宋" w:hAnsi="仿宋" w:eastAsia="仿宋" w:cs="仿宋"/>
          <w:sz w:val="32"/>
          <w:szCs w:val="32"/>
        </w:rPr>
        <w:fldChar w:fldCharType="separate"/>
      </w:r>
      <w:r>
        <w:rPr>
          <w:rFonts w:hint="eastAsia" w:ascii="仿宋" w:hAnsi="仿宋" w:eastAsia="仿宋" w:cs="仿宋"/>
          <w:sz w:val="32"/>
          <w:szCs w:val="32"/>
        </w:rPr>
        <w:t>（三）各项目绩效目标完成情况及原因分析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_Toc8674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103F33A">
      <w:pPr>
        <w:pStyle w:val="4"/>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_Toc1949 </w:instrText>
      </w:r>
      <w:r>
        <w:rPr>
          <w:rFonts w:hint="eastAsia" w:ascii="仿宋" w:hAnsi="仿宋" w:eastAsia="仿宋" w:cs="仿宋"/>
          <w:sz w:val="32"/>
          <w:szCs w:val="32"/>
        </w:rPr>
        <w:fldChar w:fldCharType="separate"/>
      </w:r>
      <w:r>
        <w:rPr>
          <w:rFonts w:hint="eastAsia" w:ascii="仿宋" w:hAnsi="仿宋" w:eastAsia="仿宋" w:cs="仿宋"/>
          <w:sz w:val="32"/>
          <w:szCs w:val="32"/>
        </w:rPr>
        <w:t>四、</w:t>
      </w:r>
      <w:r>
        <w:rPr>
          <w:rFonts w:hint="eastAsia" w:ascii="仿宋" w:hAnsi="仿宋" w:eastAsia="仿宋" w:cs="仿宋"/>
          <w:bCs/>
          <w:sz w:val="32"/>
          <w:szCs w:val="32"/>
        </w:rPr>
        <w:t>存在的问题及原因分析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_Toc1949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9761BF9">
      <w:pPr>
        <w:pStyle w:val="4"/>
        <w:tabs>
          <w:tab w:val="right" w:leader="dot" w:pos="9298"/>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_Toc31846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w:t>
      </w:r>
      <w:r>
        <w:rPr>
          <w:rFonts w:hint="eastAsia" w:ascii="仿宋" w:hAnsi="仿宋" w:eastAsia="仿宋" w:cs="仿宋"/>
          <w:sz w:val="32"/>
          <w:szCs w:val="32"/>
        </w:rPr>
        <w:t>下一步工作计划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_Toc31846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6686EF9">
      <w:pPr>
        <w:pStyle w:val="4"/>
        <w:tabs>
          <w:tab w:val="right" w:leader="dot" w:pos="9298"/>
        </w:tabs>
      </w:pPr>
    </w:p>
    <w:p w14:paraId="5B9D66AC">
      <w:pPr>
        <w:spacing w:line="480" w:lineRule="auto"/>
        <w:ind w:firstLine="1050" w:firstLineChars="500"/>
        <w:rPr>
          <w:rFonts w:ascii="仿宋" w:hAnsi="仿宋" w:eastAsia="仿宋"/>
          <w:sz w:val="30"/>
          <w:szCs w:val="30"/>
        </w:rPr>
      </w:pPr>
      <w:r>
        <w:rPr>
          <w:rFonts w:hint="eastAsia" w:ascii="仿宋" w:hAnsi="仿宋" w:eastAsia="仿宋"/>
          <w:szCs w:val="30"/>
        </w:rPr>
        <w:fldChar w:fldCharType="end"/>
      </w:r>
    </w:p>
    <w:p w14:paraId="113B25E5">
      <w:pPr>
        <w:ind w:firstLine="1500" w:firstLineChars="500"/>
        <w:rPr>
          <w:rFonts w:hint="eastAsia" w:ascii="仿宋" w:hAnsi="仿宋" w:eastAsia="仿宋"/>
          <w:sz w:val="30"/>
        </w:rPr>
      </w:pPr>
    </w:p>
    <w:p w14:paraId="68B4F530">
      <w:pPr>
        <w:ind w:firstLine="1500" w:firstLineChars="500"/>
        <w:rPr>
          <w:rFonts w:hint="eastAsia" w:ascii="仿宋" w:hAnsi="仿宋" w:eastAsia="仿宋"/>
          <w:sz w:val="30"/>
        </w:rPr>
        <w:sectPr>
          <w:footerReference r:id="rId4" w:type="default"/>
          <w:pgSz w:w="11906" w:h="16838"/>
          <w:pgMar w:top="1440" w:right="1304" w:bottom="1440" w:left="1304" w:header="851" w:footer="992" w:gutter="0"/>
          <w:cols w:space="720" w:num="1"/>
          <w:docGrid w:type="lines" w:linePitch="312" w:charSpace="0"/>
        </w:sectPr>
      </w:pPr>
    </w:p>
    <w:p w14:paraId="5F27D538">
      <w:pPr>
        <w:jc w:val="center"/>
        <w:rPr>
          <w:rFonts w:hint="eastAsia" w:ascii="仿宋" w:hAnsi="仿宋" w:eastAsia="仿宋"/>
          <w:b/>
          <w:bCs/>
          <w:sz w:val="44"/>
          <w:szCs w:val="44"/>
        </w:rPr>
      </w:pPr>
      <w:r>
        <w:rPr>
          <w:rFonts w:hint="eastAsia" w:ascii="仿宋" w:hAnsi="仿宋" w:eastAsia="仿宋"/>
          <w:b/>
          <w:bCs/>
          <w:sz w:val="44"/>
          <w:szCs w:val="44"/>
        </w:rPr>
        <w:t>北京市西城区人民政府月坛街道办事处</w:t>
      </w:r>
    </w:p>
    <w:p w14:paraId="32A24DBE">
      <w:pPr>
        <w:jc w:val="center"/>
        <w:rPr>
          <w:rFonts w:hint="eastAsia" w:ascii="仿宋" w:hAnsi="仿宋" w:eastAsia="仿宋"/>
          <w:b/>
          <w:bCs/>
          <w:sz w:val="44"/>
          <w:szCs w:val="44"/>
        </w:rPr>
      </w:pPr>
      <w:bookmarkStart w:id="25" w:name="_GoBack"/>
      <w:r>
        <w:rPr>
          <w:rFonts w:hint="eastAsia" w:ascii="仿宋" w:hAnsi="仿宋" w:eastAsia="仿宋"/>
          <w:b/>
          <w:bCs/>
          <w:sz w:val="44"/>
          <w:szCs w:val="44"/>
        </w:rPr>
        <w:t>2018年全年西城区区级财政支出</w:t>
      </w:r>
    </w:p>
    <w:p w14:paraId="2A19751C">
      <w:pPr>
        <w:jc w:val="center"/>
        <w:rPr>
          <w:rFonts w:hint="eastAsia" w:ascii="仿宋" w:hAnsi="仿宋" w:eastAsia="仿宋"/>
          <w:b/>
          <w:bCs/>
          <w:sz w:val="44"/>
          <w:szCs w:val="44"/>
        </w:rPr>
      </w:pPr>
      <w:r>
        <w:rPr>
          <w:rFonts w:hint="eastAsia" w:ascii="仿宋" w:hAnsi="仿宋" w:eastAsia="仿宋"/>
          <w:b/>
          <w:bCs/>
          <w:sz w:val="44"/>
          <w:szCs w:val="44"/>
        </w:rPr>
        <w:t>绩效跟踪报告</w:t>
      </w:r>
    </w:p>
    <w:bookmarkEnd w:id="25"/>
    <w:p w14:paraId="4E6A8726">
      <w:pPr>
        <w:spacing w:before="312" w:beforeLines="100"/>
        <w:jc w:val="center"/>
        <w:rPr>
          <w:rFonts w:hint="eastAsia" w:ascii="仿宋" w:hAnsi="仿宋" w:eastAsia="仿宋"/>
          <w:b/>
          <w:bCs/>
          <w:sz w:val="36"/>
        </w:rPr>
      </w:pPr>
      <w:r>
        <w:rPr>
          <w:rFonts w:hint="eastAsia" w:ascii="仿宋" w:hAnsi="仿宋" w:eastAsia="仿宋"/>
          <w:b/>
          <w:bCs/>
          <w:sz w:val="36"/>
        </w:rPr>
        <w:t xml:space="preserve">                                  </w:t>
      </w:r>
      <w:bookmarkStart w:id="0" w:name="_Toc25250"/>
    </w:p>
    <w:p w14:paraId="2C0EE763">
      <w:pPr>
        <w:spacing w:before="156" w:beforeLines="50" w:line="560" w:lineRule="exact"/>
        <w:ind w:firstLine="640" w:firstLineChars="200"/>
        <w:rPr>
          <w:rFonts w:hint="eastAsia" w:ascii="仿宋" w:hAnsi="仿宋" w:eastAsia="仿宋"/>
          <w:bCs/>
          <w:sz w:val="32"/>
          <w:szCs w:val="32"/>
        </w:rPr>
      </w:pPr>
      <w:r>
        <w:rPr>
          <w:rFonts w:hint="eastAsia" w:ascii="仿宋" w:hAnsi="仿宋" w:eastAsia="仿宋"/>
          <w:sz w:val="32"/>
          <w:szCs w:val="32"/>
        </w:rPr>
        <w:t>为加强预算绩效管理，强化支出责任，建立科学、合理的财政支出绩效跟踪机制，提高财政资金使用效益，根据《北京市人民政府办公厅关于推进本市预算绩效管理的意见》、《北京市预算绩效管理办法（实行）》、《北京市市级财政支出绩效跟踪管理办法》、《西城区区级财政支出绩效跟踪管理办法》（西财预</w:t>
      </w:r>
      <w:r>
        <w:rPr>
          <w:rFonts w:hint="eastAsia" w:ascii="仿宋" w:hAnsi="仿宋" w:eastAsia="仿宋"/>
          <w:bCs/>
          <w:sz w:val="32"/>
          <w:szCs w:val="32"/>
        </w:rPr>
        <w:t>〔2014〕</w:t>
      </w:r>
      <w:r>
        <w:rPr>
          <w:rFonts w:hint="eastAsia" w:ascii="仿宋" w:hAnsi="仿宋" w:eastAsia="仿宋"/>
          <w:sz w:val="32"/>
          <w:szCs w:val="32"/>
        </w:rPr>
        <w:t>273号）等文件规定，北京市西城区人民政府月坛街道办事处（以下简称“月坛街道”）高度重视2018年度的绩效跟踪管理工作，</w:t>
      </w:r>
      <w:r>
        <w:rPr>
          <w:rFonts w:hint="eastAsia" w:ascii="仿宋" w:hAnsi="仿宋" w:eastAsia="仿宋"/>
          <w:bCs/>
          <w:sz w:val="32"/>
          <w:szCs w:val="32"/>
        </w:rPr>
        <w:t>为确保工作顺利进行，我街道通过制定计划，精心组织，稳步推进，较好地完成了2018年度全年绩效跟踪工作。现将主要情况汇报如下：</w:t>
      </w:r>
    </w:p>
    <w:p w14:paraId="657E3DF5">
      <w:pPr>
        <w:pStyle w:val="7"/>
        <w:spacing w:before="156" w:beforeLines="50" w:after="0" w:line="560" w:lineRule="exact"/>
        <w:ind w:firstLine="630" w:firstLineChars="196"/>
        <w:contextualSpacing/>
        <w:jc w:val="both"/>
        <w:rPr>
          <w:rFonts w:hint="eastAsia" w:ascii="黑体" w:hAnsi="黑体" w:eastAsia="黑体"/>
        </w:rPr>
      </w:pPr>
      <w:bookmarkStart w:id="1" w:name="_Toc24058"/>
      <w:r>
        <w:rPr>
          <w:rFonts w:hint="eastAsia" w:ascii="黑体" w:hAnsi="黑体" w:eastAsia="黑体"/>
        </w:rPr>
        <w:t>一、</w:t>
      </w:r>
      <w:bookmarkEnd w:id="0"/>
      <w:bookmarkStart w:id="2" w:name="_Toc10633"/>
      <w:r>
        <w:rPr>
          <w:rFonts w:hint="eastAsia" w:ascii="黑体" w:hAnsi="黑体" w:eastAsia="黑体"/>
        </w:rPr>
        <w:t>绩效跟踪工作组织实施情况</w:t>
      </w:r>
      <w:bookmarkEnd w:id="1"/>
    </w:p>
    <w:p w14:paraId="6161C0BB">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为全面推进我街道预算绩效管理工作，深入预算绩效管理理念，加强对财政资金支出的预算申报、预算执行、绩效目标运行等情况进行跟踪管理和督促检查。我街道重点从以下几个方面开展工作。</w:t>
      </w:r>
    </w:p>
    <w:p w14:paraId="4052810E">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一）加强组织领导，明确职责分工。我街道高度重视2018年度绩效管理工作，成立了由街道主要领导为组长，分管领导为副组长，相关科室领导为组员的预算绩效领导小组，全面领导预算绩效管理工作。为加强协调配合，我街道建立了科学有效的组织领导体制和协作配合机制，注重发挥各方面的积极作用。一是领导小组负责全面领导我街道预算绩效管理工作。二是由财务科负责组织、协调、指导各预算执行科室开展绩效管理工作，编制绩效跟踪工作计划；确定跟踪检查的重点项目，收集整理相关资料；审核各单位填写的相关附表。三是各预算项目执行科室组织自行做好项目支出预算绩效的自评工作，按照要求填制绩效跟踪相关表格，撰写项目自评报告，准备相关业务资料。保证了绩效跟踪工作的顺利进行。</w:t>
      </w:r>
    </w:p>
    <w:p w14:paraId="00F6AE85">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二）加强组织部署。明确我街道2018年度主要工作内容和总体工作安排。在完成上半年绩效跟踪工作的基础上，结合区财政《关于各预算单位报送2018年全年绩效跟踪相关材料的通知》的要求，及时向各预算科室下发了《关于报送2018年项目预算支出绩效相关材料和进行全年绩效跟踪检查的通知》，确定了重点跟踪项目和开展绩效跟踪的具体时间。并委托第三方中介机构联合成立工作小组，对我街道各科室重点项目进行跟踪检查。</w:t>
      </w:r>
    </w:p>
    <w:p w14:paraId="626DAF96">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三）绩效跟踪突出重点。结合我街道职能和年度重点工作内容，对我街道实施的社会关注度较高、金额较大的项目及重大政策为重点的项目进行跟踪。共选取了25个重点项目，对其进行深入解析、跟踪检查。同时在此基础上，对其他一般性项目也进行跟踪了解，使绩效跟踪管理做到了全覆盖。全年跟踪重点在于关注绩效目标实现情况、项目效益实现情况，重点收集项目绩效成果资料及下半年项目管理控制资料等。通过全年绩效跟踪的资料收集与现场问询，将项目实际执行情况与预算申报时确定的项目内容、填报的绩效目标和实施计划进行对比分析，跟踪项目在实施过程中的合法性、合规性以及有效性，查找项目组织管理实施以及绩效成果的实现与年度目标计划存在的差异，提出下一步改进措施。</w:t>
      </w:r>
    </w:p>
    <w:p w14:paraId="3956F29E">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（四）保证工作质量。一是加强了对项目实施过程的跟踪。我街道预算绩效领导小组不定期对重点项目的进展、绩效实现和资金支付等情况进行了解。要求各项目严格按照</w:t>
      </w:r>
      <w:r>
        <w:rPr>
          <w:rFonts w:ascii="仿宋" w:hAnsi="仿宋" w:eastAsia="仿宋"/>
          <w:sz w:val="32"/>
          <w:szCs w:val="32"/>
        </w:rPr>
        <w:t>《</w:t>
      </w:r>
      <w:r>
        <w:rPr>
          <w:rFonts w:hint="eastAsia" w:ascii="仿宋" w:hAnsi="仿宋" w:eastAsia="仿宋"/>
          <w:sz w:val="32"/>
          <w:szCs w:val="32"/>
        </w:rPr>
        <w:t>月坛</w:t>
      </w:r>
      <w:r>
        <w:rPr>
          <w:rFonts w:ascii="仿宋" w:hAnsi="仿宋" w:eastAsia="仿宋"/>
          <w:sz w:val="32"/>
          <w:szCs w:val="32"/>
        </w:rPr>
        <w:t>街道</w:t>
      </w:r>
      <w:r>
        <w:rPr>
          <w:rFonts w:hint="eastAsia" w:ascii="仿宋" w:hAnsi="仿宋" w:eastAsia="仿宋"/>
          <w:sz w:val="32"/>
          <w:szCs w:val="32"/>
        </w:rPr>
        <w:t>办事处内部控制规范手册</w:t>
      </w:r>
      <w:r>
        <w:rPr>
          <w:rFonts w:ascii="仿宋" w:hAnsi="仿宋" w:eastAsia="仿宋"/>
          <w:sz w:val="32"/>
          <w:szCs w:val="32"/>
        </w:rPr>
        <w:t>》的相关要求开展工作</w:t>
      </w:r>
      <w:r>
        <w:rPr>
          <w:rFonts w:hint="eastAsia" w:ascii="仿宋" w:hAnsi="仿宋" w:eastAsia="仿宋"/>
          <w:sz w:val="32"/>
          <w:szCs w:val="32"/>
        </w:rPr>
        <w:t>。</w:t>
      </w:r>
      <w:r>
        <w:rPr>
          <w:rFonts w:hint="eastAsia" w:ascii="仿宋" w:hAnsi="仿宋" w:eastAsia="仿宋"/>
          <w:bCs/>
          <w:sz w:val="32"/>
          <w:szCs w:val="32"/>
        </w:rPr>
        <w:t>二是加强重点环节检查。按照各项目预期的时间节点，对照预算申报时确定的项目内容、绩效目标和实施计划，重点从项目的基本概况、绩效目标调整、组织管理实施和完成阶段性绩效目标等环节进行重点跟踪检查，针对项目实施管理中存在的不足，指导项目执行科室及时进行改进。三是逐步形成我街道绩效跟踪档案管理意识。认真收集整理绩效跟踪检查资料，并按照项目名称分别建立了纸质和电子资料档案。</w:t>
      </w:r>
    </w:p>
    <w:bookmarkEnd w:id="2"/>
    <w:p w14:paraId="38A12DEF">
      <w:pPr>
        <w:pStyle w:val="7"/>
        <w:spacing w:before="156" w:beforeLines="50" w:after="0" w:line="560" w:lineRule="exact"/>
        <w:ind w:firstLine="630" w:firstLineChars="196"/>
        <w:contextualSpacing/>
        <w:jc w:val="both"/>
        <w:rPr>
          <w:rFonts w:hint="eastAsia" w:ascii="黑体" w:hAnsi="黑体" w:eastAsia="黑体"/>
        </w:rPr>
      </w:pPr>
      <w:bookmarkStart w:id="3" w:name="_Toc4292"/>
      <w:r>
        <w:rPr>
          <w:rFonts w:hint="eastAsia" w:ascii="黑体" w:hAnsi="黑体" w:eastAsia="黑体"/>
        </w:rPr>
        <w:t>二、年度预算执行情况</w:t>
      </w:r>
      <w:bookmarkEnd w:id="3"/>
    </w:p>
    <w:p w14:paraId="4D1426B8">
      <w:pPr>
        <w:pStyle w:val="5"/>
        <w:spacing w:before="156" w:beforeLines="50" w:after="0" w:line="560" w:lineRule="exact"/>
        <w:ind w:firstLine="470" w:firstLineChars="147"/>
        <w:jc w:val="both"/>
        <w:rPr>
          <w:rFonts w:hint="eastAsia" w:ascii="仿宋" w:hAnsi="仿宋" w:eastAsia="仿宋"/>
          <w:b w:val="0"/>
          <w:kern w:val="2"/>
        </w:rPr>
      </w:pPr>
      <w:bookmarkStart w:id="4" w:name="_Toc15395"/>
      <w:r>
        <w:rPr>
          <w:rFonts w:hint="eastAsia" w:ascii="仿宋" w:hAnsi="仿宋" w:eastAsia="仿宋"/>
          <w:b w:val="0"/>
          <w:kern w:val="2"/>
        </w:rPr>
        <w:t>（一）预算批复情况</w:t>
      </w:r>
      <w:bookmarkEnd w:id="4"/>
    </w:p>
    <w:p w14:paraId="63A00E34">
      <w:pPr>
        <w:spacing w:before="156" w:beforeLines="50" w:line="560" w:lineRule="exact"/>
        <w:ind w:firstLine="640" w:firstLineChars="200"/>
        <w:rPr>
          <w:rFonts w:hint="eastAsia" w:ascii="仿宋" w:hAnsi="仿宋" w:eastAsia="仿宋"/>
          <w:bCs/>
          <w:sz w:val="32"/>
          <w:szCs w:val="32"/>
        </w:rPr>
      </w:pPr>
      <w:r>
        <w:rPr>
          <w:rFonts w:hint="eastAsia" w:ascii="仿宋" w:hAnsi="仿宋" w:eastAsia="仿宋"/>
          <w:bCs/>
          <w:sz w:val="32"/>
          <w:szCs w:val="32"/>
        </w:rPr>
        <w:t>根据《北京市西城区财政局关于批复2018年部门预算的通知》（西财预〔2017〕32号），2018年度月坛街道总支出安排3</w:t>
      </w:r>
      <w:r>
        <w:rPr>
          <w:rFonts w:ascii="仿宋" w:hAnsi="仿宋" w:eastAsia="仿宋"/>
          <w:bCs/>
          <w:sz w:val="32"/>
          <w:szCs w:val="32"/>
        </w:rPr>
        <w:t>6</w:t>
      </w:r>
      <w:r>
        <w:rPr>
          <w:rFonts w:hint="eastAsia" w:ascii="仿宋" w:hAnsi="仿宋" w:eastAsia="仿宋"/>
          <w:bCs/>
          <w:sz w:val="32"/>
          <w:szCs w:val="32"/>
        </w:rPr>
        <w:t>,178</w:t>
      </w:r>
      <w:r>
        <w:rPr>
          <w:rFonts w:ascii="仿宋" w:hAnsi="仿宋" w:eastAsia="仿宋"/>
          <w:bCs/>
          <w:sz w:val="32"/>
          <w:szCs w:val="32"/>
        </w:rPr>
        <w:t>.</w:t>
      </w:r>
      <w:r>
        <w:rPr>
          <w:rFonts w:hint="eastAsia" w:ascii="仿宋" w:hAnsi="仿宋" w:eastAsia="仿宋"/>
          <w:bCs/>
          <w:sz w:val="32"/>
          <w:szCs w:val="32"/>
        </w:rPr>
        <w:t>83万元。其中：预算内资金安排33</w:t>
      </w:r>
      <w:r>
        <w:rPr>
          <w:rFonts w:ascii="仿宋" w:hAnsi="仿宋" w:eastAsia="仿宋"/>
          <w:bCs/>
          <w:sz w:val="32"/>
          <w:szCs w:val="32"/>
        </w:rPr>
        <w:t>,</w:t>
      </w:r>
      <w:r>
        <w:rPr>
          <w:rFonts w:hint="eastAsia" w:ascii="仿宋" w:hAnsi="仿宋" w:eastAsia="仿宋"/>
          <w:bCs/>
          <w:sz w:val="32"/>
          <w:szCs w:val="32"/>
        </w:rPr>
        <w:t>158</w:t>
      </w:r>
      <w:r>
        <w:rPr>
          <w:rFonts w:ascii="仿宋" w:hAnsi="仿宋" w:eastAsia="仿宋"/>
          <w:bCs/>
          <w:sz w:val="32"/>
          <w:szCs w:val="32"/>
        </w:rPr>
        <w:t>.</w:t>
      </w:r>
      <w:r>
        <w:rPr>
          <w:rFonts w:hint="eastAsia" w:ascii="仿宋" w:hAnsi="仿宋" w:eastAsia="仿宋"/>
          <w:bCs/>
          <w:sz w:val="32"/>
          <w:szCs w:val="32"/>
        </w:rPr>
        <w:t>97万元，其中，基本支出预算7,650.38万元，项目支出预算25,508.59万元，市级提前下达专项转移支付项目资金安排3,019.86万元。</w:t>
      </w:r>
    </w:p>
    <w:p w14:paraId="4138C0DD">
      <w:pPr>
        <w:pStyle w:val="5"/>
        <w:spacing w:before="156" w:beforeLines="50" w:after="0" w:line="560" w:lineRule="exact"/>
        <w:ind w:firstLine="470" w:firstLineChars="147"/>
        <w:jc w:val="both"/>
        <w:rPr>
          <w:rFonts w:hint="eastAsia" w:ascii="仿宋" w:hAnsi="仿宋" w:eastAsia="仿宋"/>
          <w:bCs w:val="0"/>
        </w:rPr>
      </w:pPr>
      <w:bookmarkStart w:id="5" w:name="_Toc6912"/>
      <w:r>
        <w:rPr>
          <w:rFonts w:hint="eastAsia" w:ascii="仿宋" w:hAnsi="仿宋" w:eastAsia="仿宋"/>
          <w:b w:val="0"/>
          <w:kern w:val="2"/>
        </w:rPr>
        <w:t>（二）预算调整情况</w:t>
      </w:r>
      <w:bookmarkEnd w:id="5"/>
    </w:p>
    <w:p w14:paraId="040AB8DC">
      <w:pPr>
        <w:tabs>
          <w:tab w:val="left" w:pos="1680"/>
        </w:tabs>
        <w:spacing w:line="580" w:lineRule="exact"/>
        <w:ind w:firstLine="630"/>
        <w:rPr>
          <w:rFonts w:hint="eastAsia" w:ascii="仿宋" w:hAnsi="仿宋" w:eastAsia="仿宋"/>
          <w:bCs/>
          <w:sz w:val="32"/>
          <w:szCs w:val="32"/>
        </w:rPr>
      </w:pPr>
      <w:r>
        <w:rPr>
          <w:rFonts w:hint="eastAsia" w:ascii="仿宋" w:hAnsi="仿宋" w:eastAsia="仿宋"/>
          <w:sz w:val="32"/>
          <w:szCs w:val="32"/>
        </w:rPr>
        <w:t>我街道分别于2018年7月</w:t>
      </w:r>
      <w:r>
        <w:rPr>
          <w:rFonts w:ascii="仿宋" w:hAnsi="仿宋" w:eastAsia="仿宋"/>
          <w:sz w:val="32"/>
          <w:szCs w:val="32"/>
        </w:rPr>
        <w:t>1</w:t>
      </w:r>
      <w:r>
        <w:rPr>
          <w:rFonts w:hint="eastAsia" w:ascii="仿宋" w:hAnsi="仿宋" w:eastAsia="仿宋"/>
          <w:sz w:val="32"/>
          <w:szCs w:val="32"/>
        </w:rPr>
        <w:t>1日、2</w:t>
      </w:r>
      <w:r>
        <w:rPr>
          <w:rFonts w:ascii="仿宋" w:hAnsi="仿宋" w:eastAsia="仿宋"/>
          <w:sz w:val="32"/>
          <w:szCs w:val="32"/>
        </w:rPr>
        <w:t>01</w:t>
      </w:r>
      <w:r>
        <w:rPr>
          <w:rFonts w:hint="eastAsia" w:ascii="仿宋" w:hAnsi="仿宋" w:eastAsia="仿宋"/>
          <w:sz w:val="32"/>
          <w:szCs w:val="32"/>
        </w:rPr>
        <w:t>8年10月24日、2</w:t>
      </w:r>
      <w:r>
        <w:rPr>
          <w:rFonts w:ascii="仿宋" w:hAnsi="仿宋" w:eastAsia="仿宋"/>
          <w:sz w:val="32"/>
          <w:szCs w:val="32"/>
        </w:rPr>
        <w:t>01</w:t>
      </w:r>
      <w:r>
        <w:rPr>
          <w:rFonts w:hint="eastAsia" w:ascii="仿宋" w:hAnsi="仿宋" w:eastAsia="仿宋"/>
          <w:sz w:val="32"/>
          <w:szCs w:val="32"/>
        </w:rPr>
        <w:t>8年</w:t>
      </w:r>
      <w:r>
        <w:rPr>
          <w:rFonts w:ascii="仿宋" w:hAnsi="仿宋" w:eastAsia="仿宋"/>
          <w:sz w:val="32"/>
          <w:szCs w:val="32"/>
        </w:rPr>
        <w:t>1</w:t>
      </w:r>
      <w:r>
        <w:rPr>
          <w:rFonts w:hint="eastAsia" w:ascii="仿宋" w:hAnsi="仿宋" w:eastAsia="仿宋"/>
          <w:sz w:val="32"/>
          <w:szCs w:val="32"/>
        </w:rPr>
        <w:t>1月</w:t>
      </w:r>
      <w:r>
        <w:rPr>
          <w:rFonts w:ascii="仿宋" w:hAnsi="仿宋" w:eastAsia="仿宋"/>
          <w:sz w:val="32"/>
          <w:szCs w:val="32"/>
        </w:rPr>
        <w:t>2</w:t>
      </w:r>
      <w:r>
        <w:rPr>
          <w:rFonts w:hint="eastAsia" w:ascii="仿宋" w:hAnsi="仿宋" w:eastAsia="仿宋"/>
          <w:sz w:val="32"/>
          <w:szCs w:val="32"/>
        </w:rPr>
        <w:t>6日、30日、2</w:t>
      </w:r>
      <w:r>
        <w:rPr>
          <w:rFonts w:ascii="仿宋" w:hAnsi="仿宋" w:eastAsia="仿宋"/>
          <w:sz w:val="32"/>
          <w:szCs w:val="32"/>
        </w:rPr>
        <w:t>01</w:t>
      </w:r>
      <w:r>
        <w:rPr>
          <w:rFonts w:hint="eastAsia" w:ascii="仿宋" w:hAnsi="仿宋" w:eastAsia="仿宋"/>
          <w:sz w:val="32"/>
          <w:szCs w:val="32"/>
        </w:rPr>
        <w:t>8年</w:t>
      </w:r>
      <w:r>
        <w:rPr>
          <w:rFonts w:ascii="仿宋" w:hAnsi="仿宋" w:eastAsia="仿宋"/>
          <w:sz w:val="32"/>
          <w:szCs w:val="32"/>
        </w:rPr>
        <w:t>1</w:t>
      </w:r>
      <w:r>
        <w:rPr>
          <w:rFonts w:hint="eastAsia" w:ascii="仿宋" w:hAnsi="仿宋" w:eastAsia="仿宋"/>
          <w:sz w:val="32"/>
          <w:szCs w:val="32"/>
        </w:rPr>
        <w:t>2月24日、29日收到西城区财政局《关于同意月坛街道办事处调整预算的通知》（西财预指〔2018〕276号）、《关于同意月坛街道办事处调整预算的通知》（西财预指〔2018〕594号）、《关于同意月坛街道办事处调整预算的通知》（西财预指〔2018〕800号）、《关于调减街道2018年第一批预算指标的通知》（西财预指〔2018〕85</w:t>
      </w:r>
      <w:r>
        <w:rPr>
          <w:rFonts w:ascii="仿宋" w:hAnsi="仿宋" w:eastAsia="仿宋"/>
          <w:sz w:val="32"/>
          <w:szCs w:val="32"/>
        </w:rPr>
        <w:t>8</w:t>
      </w:r>
      <w:r>
        <w:rPr>
          <w:rFonts w:hint="eastAsia" w:ascii="仿宋" w:hAnsi="仿宋" w:eastAsia="仿宋"/>
          <w:sz w:val="32"/>
          <w:szCs w:val="32"/>
        </w:rPr>
        <w:t>号）、《关于追加街道工资指标的通知》（西财预指〔2018〕916号）以及《关于调减街道2018年第二批预算指标的通知》（西财预指〔2018〕932号），根据上述预算调整函件， 截至2018年12月31日，调整后部门整体预算金额为37,797.74万元。其中基本支出安排8,376.75万元，项目支出安排29,420.99万元。</w:t>
      </w:r>
    </w:p>
    <w:p w14:paraId="089D68CA">
      <w:pPr>
        <w:pStyle w:val="5"/>
        <w:spacing w:before="156" w:beforeLines="50" w:after="0" w:line="560" w:lineRule="exact"/>
        <w:ind w:firstLine="470" w:firstLineChars="147"/>
        <w:jc w:val="both"/>
        <w:rPr>
          <w:rFonts w:hint="eastAsia" w:ascii="仿宋" w:hAnsi="仿宋" w:eastAsia="仿宋"/>
          <w:b w:val="0"/>
          <w:kern w:val="2"/>
          <w:highlight w:val="yellow"/>
        </w:rPr>
      </w:pPr>
      <w:bookmarkStart w:id="6" w:name="_Toc5872"/>
      <w:r>
        <w:rPr>
          <w:rFonts w:hint="eastAsia" w:ascii="仿宋" w:hAnsi="仿宋" w:eastAsia="仿宋"/>
          <w:b w:val="0"/>
          <w:kern w:val="2"/>
        </w:rPr>
        <w:t>（三）预算执行情况</w:t>
      </w:r>
      <w:bookmarkEnd w:id="6"/>
    </w:p>
    <w:p w14:paraId="2AA4F588">
      <w:pPr>
        <w:widowControl/>
        <w:ind w:firstLine="640" w:firstLineChars="200"/>
        <w:jc w:val="left"/>
        <w:rPr>
          <w:rFonts w:hint="eastAsia" w:ascii="仿宋" w:hAnsi="仿宋" w:eastAsia="仿宋"/>
          <w:bCs/>
          <w:sz w:val="32"/>
          <w:szCs w:val="32"/>
        </w:rPr>
      </w:pPr>
      <w:r>
        <w:rPr>
          <w:rFonts w:hint="eastAsia" w:ascii="仿宋" w:hAnsi="仿宋" w:eastAsia="仿宋"/>
          <w:bCs/>
          <w:sz w:val="32"/>
          <w:szCs w:val="32"/>
        </w:rPr>
        <w:t>截至2018年</w:t>
      </w:r>
      <w:r>
        <w:rPr>
          <w:rFonts w:ascii="仿宋" w:hAnsi="仿宋" w:eastAsia="仿宋"/>
          <w:bCs/>
          <w:sz w:val="32"/>
          <w:szCs w:val="32"/>
        </w:rPr>
        <w:t>12</w:t>
      </w:r>
      <w:r>
        <w:rPr>
          <w:rFonts w:hint="eastAsia" w:ascii="仿宋" w:hAnsi="仿宋" w:eastAsia="仿宋"/>
          <w:bCs/>
          <w:sz w:val="32"/>
          <w:szCs w:val="32"/>
        </w:rPr>
        <w:t>月3</w:t>
      </w:r>
      <w:r>
        <w:rPr>
          <w:rFonts w:ascii="仿宋" w:hAnsi="仿宋" w:eastAsia="仿宋"/>
          <w:bCs/>
          <w:sz w:val="32"/>
          <w:szCs w:val="32"/>
        </w:rPr>
        <w:t>1</w:t>
      </w:r>
      <w:r>
        <w:rPr>
          <w:rFonts w:hint="eastAsia" w:ascii="仿宋" w:hAnsi="仿宋" w:eastAsia="仿宋"/>
          <w:bCs/>
          <w:sz w:val="32"/>
          <w:szCs w:val="32"/>
        </w:rPr>
        <w:t xml:space="preserve">日，月坛街道部门整体支出37,186.84万元，其中：基本支出8,261.48万元，项目支出28,925.36万元。部门整体支出金额占全年预算支出金额比例为98.38%，其中：基本支出金额占全年基本支出预算金额比例为98.62%，项目支出金额占全年项目支出预算金额比例为98.32%。 </w:t>
      </w:r>
    </w:p>
    <w:p w14:paraId="69686374">
      <w:pPr>
        <w:widowControl/>
        <w:ind w:firstLine="420" w:firstLineChars="200"/>
        <w:jc w:val="center"/>
        <w:rPr>
          <w:rFonts w:hint="eastAsia" w:ascii="仿宋" w:hAnsi="仿宋" w:eastAsia="仿宋"/>
          <w:bCs/>
          <w:sz w:val="32"/>
          <w:szCs w:val="32"/>
        </w:rPr>
      </w:pPr>
      <w:r>
        <w:drawing>
          <wp:inline distT="0" distB="0" distL="114300" distR="114300">
            <wp:extent cx="3755390" cy="2339975"/>
            <wp:effectExtent l="4445" t="4445" r="12065" b="1778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3CE3E1">
      <w:pPr>
        <w:pStyle w:val="7"/>
        <w:spacing w:before="156" w:beforeLines="50" w:after="0" w:line="560" w:lineRule="exact"/>
        <w:ind w:firstLine="630" w:firstLineChars="196"/>
        <w:contextualSpacing/>
        <w:jc w:val="both"/>
        <w:rPr>
          <w:rFonts w:hint="eastAsia" w:ascii="黑体" w:hAnsi="黑体" w:eastAsia="黑体"/>
        </w:rPr>
      </w:pPr>
      <w:bookmarkStart w:id="7" w:name="_Toc26425"/>
      <w:bookmarkStart w:id="8" w:name="_Toc27605"/>
      <w:r>
        <w:rPr>
          <w:rFonts w:hint="eastAsia" w:ascii="黑体" w:hAnsi="黑体" w:eastAsia="黑体"/>
        </w:rPr>
        <w:t>三、绩效目标完成情况及分析</w:t>
      </w:r>
      <w:bookmarkEnd w:id="7"/>
    </w:p>
    <w:p w14:paraId="118E5B87">
      <w:pPr>
        <w:pStyle w:val="5"/>
        <w:spacing w:before="156" w:beforeLines="50" w:after="0" w:line="560" w:lineRule="exact"/>
        <w:ind w:firstLine="321" w:firstLineChars="100"/>
        <w:jc w:val="left"/>
        <w:rPr>
          <w:rFonts w:hint="eastAsia" w:ascii="仿宋" w:hAnsi="仿宋" w:eastAsia="仿宋" w:cs="仿宋"/>
          <w:lang w:val="zh-CN"/>
        </w:rPr>
      </w:pPr>
      <w:bookmarkStart w:id="9" w:name="_Toc16642"/>
      <w:r>
        <w:rPr>
          <w:rFonts w:hint="eastAsia" w:ascii="仿宋" w:hAnsi="仿宋" w:eastAsia="仿宋"/>
          <w:kern w:val="2"/>
        </w:rPr>
        <w:t>（一）部门整体绩效目标完成情况</w:t>
      </w:r>
      <w:bookmarkEnd w:id="9"/>
    </w:p>
    <w:p w14:paraId="6B544700">
      <w:pPr>
        <w:pStyle w:val="11"/>
        <w:spacing w:line="560" w:lineRule="exact"/>
        <w:ind w:left="660" w:firstLine="0" w:firstLineChars="0"/>
        <w:jc w:val="left"/>
        <w:rPr>
          <w:rFonts w:ascii="黑体" w:hAnsi="黑体" w:eastAsia="黑体"/>
          <w:sz w:val="28"/>
          <w:szCs w:val="28"/>
        </w:rPr>
      </w:pPr>
      <w:r>
        <w:rPr>
          <w:rFonts w:hint="eastAsia" w:ascii="黑体" w:hAnsi="黑体" w:eastAsia="黑体"/>
          <w:sz w:val="28"/>
          <w:szCs w:val="28"/>
        </w:rPr>
        <w:t>1、</w:t>
      </w:r>
      <w:r>
        <w:rPr>
          <w:rFonts w:ascii="黑体" w:hAnsi="黑体" w:eastAsia="黑体"/>
          <w:sz w:val="28"/>
          <w:szCs w:val="28"/>
        </w:rPr>
        <w:t>坚持党建引领，推</w:t>
      </w:r>
      <w:r>
        <w:rPr>
          <w:rFonts w:hint="eastAsia" w:ascii="黑体" w:hAnsi="黑体" w:eastAsia="黑体"/>
          <w:sz w:val="28"/>
          <w:szCs w:val="28"/>
        </w:rPr>
        <w:t>动街道工作体制机制创新</w:t>
      </w:r>
    </w:p>
    <w:p w14:paraId="5C0FAC47">
      <w:pPr>
        <w:spacing w:line="560" w:lineRule="exact"/>
        <w:ind w:firstLine="660"/>
        <w:jc w:val="left"/>
        <w:rPr>
          <w:rFonts w:ascii="仿宋_GB2312" w:eastAsia="仿宋_GB2312"/>
          <w:sz w:val="32"/>
          <w:szCs w:val="32"/>
        </w:rPr>
      </w:pPr>
      <w:r>
        <w:rPr>
          <w:rFonts w:hint="eastAsia" w:ascii="仿宋_GB2312" w:eastAsia="仿宋_GB2312"/>
          <w:sz w:val="32"/>
          <w:szCs w:val="32"/>
        </w:rPr>
        <w:t>街道工委充分发挥领导核心作用，凝心聚力，躬身实干，领导班子定期召开主任办公会、工委会，中心工作、难点问题召开专题会，不断提高科学领导能力和新时期群众工作能力，把区委的工作部署和要求转化为推动月坛地区发展的实际工作思路和措施办法。</w:t>
      </w:r>
    </w:p>
    <w:p w14:paraId="37C13CCA">
      <w:pPr>
        <w:spacing w:line="560" w:lineRule="exact"/>
        <w:ind w:firstLine="660"/>
        <w:jc w:val="left"/>
        <w:rPr>
          <w:rFonts w:ascii="仿宋_GB2312" w:eastAsia="仿宋_GB2312"/>
          <w:sz w:val="32"/>
          <w:szCs w:val="32"/>
        </w:rPr>
      </w:pPr>
      <w:r>
        <w:rPr>
          <w:rFonts w:hint="eastAsia" w:ascii="仿宋_GB2312" w:eastAsia="仿宋_GB2312"/>
          <w:sz w:val="32"/>
          <w:szCs w:val="32"/>
        </w:rPr>
        <w:t>为做到对辖区的精细化管理，街道依托原有大数据基础，研发了“城市体检”系统，形成了8+1项综合评估工作体系，通过全方位的分析和评价，找出地区存在的短板，明确了下一步地区的改进方向。4月11日，市长参阅刊载《月坛街道利用大数据开展城市评估提升精细化管理水平值得借鉴》，蔡奇书记亲自批示。</w:t>
      </w:r>
    </w:p>
    <w:p w14:paraId="41A95F35">
      <w:pPr>
        <w:spacing w:line="560" w:lineRule="exact"/>
        <w:ind w:firstLine="660"/>
        <w:jc w:val="left"/>
        <w:rPr>
          <w:rFonts w:ascii="仿宋_GB2312" w:eastAsia="仿宋_GB2312"/>
          <w:sz w:val="32"/>
          <w:szCs w:val="32"/>
        </w:rPr>
      </w:pPr>
      <w:r>
        <w:rPr>
          <w:rFonts w:ascii="仿宋_GB2312" w:eastAsia="仿宋_GB2312"/>
          <w:sz w:val="32"/>
          <w:szCs w:val="32"/>
        </w:rPr>
        <w:t>坚持党建引领</w:t>
      </w:r>
      <w:r>
        <w:rPr>
          <w:rFonts w:hint="eastAsia" w:ascii="仿宋_GB2312" w:eastAsia="仿宋_GB2312"/>
          <w:sz w:val="32"/>
          <w:szCs w:val="32"/>
        </w:rPr>
        <w:t>工作</w:t>
      </w:r>
      <w:r>
        <w:rPr>
          <w:rFonts w:ascii="仿宋_GB2312" w:eastAsia="仿宋_GB2312"/>
          <w:sz w:val="32"/>
          <w:szCs w:val="32"/>
        </w:rPr>
        <w:t>体制机制创新，</w:t>
      </w:r>
      <w:r>
        <w:rPr>
          <w:rFonts w:hint="eastAsia" w:ascii="仿宋_GB2312" w:eastAsia="仿宋_GB2312"/>
          <w:sz w:val="32"/>
          <w:szCs w:val="32"/>
        </w:rPr>
        <w:t>深化“街道吹哨、部门报到”工作落实，不断完善城市治理体系。为提升社区党组织的组织力，推进党建引领基层治理创新，切实解决社区群众急需解决的热点、难点问题，做到“民有所呼，我有所应”，街道结合实际创立了“社区吹哨，科室报到”、“街巷长吹哨，科室报到”两个问题收集及处置工作机制，</w:t>
      </w:r>
      <w:r>
        <w:rPr>
          <w:rFonts w:ascii="仿宋_GB2312" w:eastAsia="仿宋_GB2312"/>
          <w:sz w:val="32"/>
          <w:szCs w:val="32"/>
        </w:rPr>
        <w:t>打通服务群众“最后一公里”。</w:t>
      </w:r>
    </w:p>
    <w:p w14:paraId="65C02648">
      <w:pPr>
        <w:spacing w:line="560" w:lineRule="exact"/>
        <w:ind w:firstLine="660"/>
        <w:jc w:val="left"/>
        <w:rPr>
          <w:rFonts w:hint="eastAsia" w:ascii="仿宋_GB2312" w:eastAsia="仿宋_GB2312"/>
          <w:sz w:val="32"/>
          <w:szCs w:val="32"/>
        </w:rPr>
      </w:pPr>
      <w:r>
        <w:rPr>
          <w:rFonts w:hint="eastAsia" w:ascii="仿宋_GB2312" w:eastAsia="仿宋_GB2312"/>
          <w:sz w:val="32"/>
          <w:szCs w:val="32"/>
        </w:rPr>
        <w:t>为破解工作中疑难问题的处置，街道建立分级分类综合执法与专群结合、共治共管的街道实体综合执法平台，探索形成职能整合、扁平高效、管理规范的运行体制。整合消防、安全生产办、食药所、工商、公安、城管科等多部门按照各自职能对工作进行共同研判，极大提高工作效率。截至2018年10月底，共处罚案件944起，罚款金额875642.85元。</w:t>
      </w:r>
    </w:p>
    <w:p w14:paraId="69EC41C1">
      <w:pPr>
        <w:ind w:firstLine="660"/>
        <w:rPr>
          <w:rFonts w:ascii="黑体" w:hAnsi="黑体" w:eastAsia="黑体"/>
          <w:sz w:val="28"/>
          <w:szCs w:val="28"/>
        </w:rPr>
      </w:pPr>
      <w:r>
        <w:rPr>
          <w:rFonts w:hint="eastAsia" w:ascii="黑体" w:hAnsi="黑体" w:eastAsia="黑体"/>
          <w:sz w:val="32"/>
          <w:szCs w:val="32"/>
        </w:rPr>
        <w:t>2、</w:t>
      </w:r>
      <w:r>
        <w:rPr>
          <w:rFonts w:ascii="黑体" w:hAnsi="黑体" w:eastAsia="黑体"/>
          <w:sz w:val="28"/>
          <w:szCs w:val="28"/>
        </w:rPr>
        <w:t>推进“疏整促”工作，不断提升地区整体品质</w:t>
      </w:r>
    </w:p>
    <w:p w14:paraId="1C87E263">
      <w:pPr>
        <w:spacing w:line="560" w:lineRule="exact"/>
        <w:ind w:firstLine="660"/>
        <w:jc w:val="left"/>
        <w:rPr>
          <w:rFonts w:eastAsia="仿宋"/>
          <w:sz w:val="32"/>
          <w:szCs w:val="32"/>
        </w:rPr>
      </w:pPr>
      <w:r>
        <w:rPr>
          <w:rFonts w:ascii="仿宋_GB2312" w:eastAsia="仿宋_GB2312"/>
          <w:sz w:val="32"/>
          <w:szCs w:val="32"/>
        </w:rPr>
        <w:t>月坛街道2018年疏解整治累计涉及人口3325人（集体户清理除外），完成全年任务量（3100人）的110.8%。拆违79处、6329平方米，完成全年任务量（6000平方米）的105.5%。环境品质得到明显改善，西便门外大街东西两侧，长约700余米、92处开墙打洞全部整治并恢复原貌，获得了市疏解整治促提升现场评估核验组和周边居民的高度肯定。</w:t>
      </w:r>
      <w:r>
        <w:rPr>
          <w:rFonts w:hint="eastAsia" w:ascii="仿宋_GB2312" w:eastAsia="仿宋_GB2312"/>
          <w:sz w:val="32"/>
          <w:szCs w:val="32"/>
        </w:rPr>
        <w:t>西城区统计局两次对全区人口相关消耗类指标进行了统计、分析、对比，月坛街道在用水、用电、用气、生活垃圾，以及流动人口等5项监测指标同（环）比下降，综合情况明显好于全区平均水平。</w:t>
      </w:r>
    </w:p>
    <w:p w14:paraId="5E80DFDE">
      <w:pPr>
        <w:spacing w:line="560" w:lineRule="exact"/>
        <w:ind w:firstLine="660"/>
        <w:jc w:val="left"/>
        <w:rPr>
          <w:rFonts w:hint="eastAsia" w:ascii="仿宋_GB2312" w:eastAsia="仿宋_GB2312"/>
          <w:sz w:val="32"/>
          <w:szCs w:val="32"/>
        </w:rPr>
      </w:pPr>
      <w:r>
        <w:rPr>
          <w:rFonts w:hint="eastAsia" w:ascii="仿宋_GB2312" w:eastAsia="仿宋_GB2312"/>
          <w:sz w:val="32"/>
          <w:szCs w:val="32"/>
        </w:rPr>
        <w:t>坚决扛起生态文明建设的政治责任，落实蓝天保卫战、碧水攻坚战、突出问题歼灭战要求，全面展开大气治理行动，2018年1-9月，月坛街道空气质量在15个街道里排名第三。为了给居民提供绿色的居住环境，街道利用全响应指挥调度平台，依托区环卫中心等专业化作业力量，开展辖区的清扫保洁工作。共处理解决市、区、街信访投诉案件240余件，城管指挥平台反馈案件10000余件，社区及楼门院长系统上报问题2100余件，区市政市容委督办单10件，做到件件有回复、件件有落实，共清运无主渣土16100立方。</w:t>
      </w:r>
    </w:p>
    <w:p w14:paraId="1EB5086C">
      <w:pPr>
        <w:ind w:firstLine="660"/>
        <w:rPr>
          <w:rFonts w:ascii="黑体" w:hAnsi="黑体" w:eastAsia="黑体"/>
          <w:sz w:val="28"/>
          <w:szCs w:val="28"/>
        </w:rPr>
      </w:pPr>
      <w:r>
        <w:rPr>
          <w:rFonts w:hint="eastAsia" w:ascii="黑体" w:hAnsi="黑体" w:eastAsia="黑体"/>
          <w:sz w:val="28"/>
          <w:szCs w:val="28"/>
        </w:rPr>
        <w:t>3、</w:t>
      </w:r>
      <w:r>
        <w:rPr>
          <w:rFonts w:ascii="黑体" w:hAnsi="黑体" w:eastAsia="黑体"/>
          <w:sz w:val="28"/>
          <w:szCs w:val="28"/>
        </w:rPr>
        <w:t>以街区治理为主线，提升城市治理水平</w:t>
      </w:r>
    </w:p>
    <w:p w14:paraId="2C03A5C7">
      <w:pPr>
        <w:spacing w:line="560" w:lineRule="exact"/>
        <w:ind w:firstLine="660"/>
        <w:jc w:val="left"/>
        <w:rPr>
          <w:rFonts w:eastAsia="仿宋"/>
          <w:sz w:val="32"/>
          <w:szCs w:val="32"/>
        </w:rPr>
      </w:pPr>
      <w:r>
        <w:rPr>
          <w:rFonts w:hint="eastAsia" w:ascii="仿宋_GB2312" w:eastAsia="仿宋_GB2312"/>
          <w:sz w:val="32"/>
          <w:szCs w:val="32"/>
        </w:rPr>
        <w:t>街道坚持把街区整理作为推进城市精细化治理、更好展现品质提升效果的重要途径，实行叠图作战、挂图作业的方式，推进各项整理措施落图落地。通过挖掘街巷区域文化，融入街区整理设计，用特定文化符号串联街道，提升街区品质，</w:t>
      </w:r>
      <w:r>
        <w:rPr>
          <w:rFonts w:ascii="仿宋_GB2312" w:eastAsia="仿宋_GB2312"/>
          <w:sz w:val="32"/>
          <w:szCs w:val="32"/>
        </w:rPr>
        <w:t>将月坛地区划分为：永寿寺街区（宜居生活）、三里河街区（政务活动）、地藏庵街区（教育生活）、月坛街区（康体休闲）、木樨地街区（滨水生活）、真武庙街区（文化生活）、白云观街区（文旅生活）等七个街区。确定2018年亮相街区为永寿寺街区，计划于2018年12月中旬竣工。同时，月坛街道街区整理展示中心于10月底对外开放，让地区居民“零距离”接触街区整理工作，积极参与建言献策。</w:t>
      </w:r>
    </w:p>
    <w:p w14:paraId="392A9AE2">
      <w:pPr>
        <w:spacing w:line="560" w:lineRule="exact"/>
        <w:ind w:firstLine="640" w:firstLineChars="200"/>
        <w:jc w:val="left"/>
        <w:rPr>
          <w:rFonts w:ascii="黑体" w:hAnsi="黑体" w:eastAsia="黑体"/>
          <w:sz w:val="28"/>
          <w:szCs w:val="28"/>
        </w:rPr>
      </w:pPr>
      <w:r>
        <w:rPr>
          <w:rFonts w:hint="eastAsia" w:ascii="黑体" w:hAnsi="黑体" w:eastAsia="黑体"/>
          <w:sz w:val="32"/>
          <w:szCs w:val="32"/>
        </w:rPr>
        <w:t>4、</w:t>
      </w:r>
      <w:r>
        <w:rPr>
          <w:rFonts w:ascii="黑体" w:hAnsi="黑体" w:eastAsia="黑体"/>
          <w:sz w:val="28"/>
          <w:szCs w:val="28"/>
        </w:rPr>
        <w:t>全面深化平安月坛建设，提升群众的安全感和满意度</w:t>
      </w:r>
    </w:p>
    <w:p w14:paraId="18078358">
      <w:pPr>
        <w:adjustRightInd w:val="0"/>
        <w:spacing w:line="560" w:lineRule="exact"/>
        <w:ind w:firstLine="640" w:firstLineChars="200"/>
        <w:jc w:val="left"/>
        <w:rPr>
          <w:rFonts w:eastAsia="仿宋"/>
          <w:sz w:val="32"/>
          <w:szCs w:val="32"/>
        </w:rPr>
      </w:pPr>
      <w:r>
        <w:rPr>
          <w:rFonts w:hint="eastAsia" w:ascii="仿宋_GB2312" w:eastAsia="仿宋_GB2312"/>
          <w:sz w:val="32"/>
          <w:szCs w:val="32"/>
        </w:rPr>
        <w:t>坚决把维护首都政治安全作为压倒一切的头等大事，牢固树立总体国家安全观，坚决为党中央站好岗，放好哨。发挥大数据、模块化、分布式管理作用，加强基础信息摸排、情报线索查控，强化全民反恐防恐，确保区域绝对安全，维护社会和谐稳定。充分发挥“西城大妈”等群防群治志愿品牌服务作用，形成专群结合，群防群治、共保平安的强大合力，提高平安街道建设水平。街道全年“雪亮工程”建设投入105.2万元；共打击医托、号贩子90人次，拘留80人；消防检查1409家，发现并整改隐患1670处，临时查封31处，责令三停5处，罚款75.5万元；安全检查7529家次，下达责令改正通知书2117份，发现隐患13332项，整改隐患13332项；完成群租房整治48户、115间，拆除违法隔断间20个，清退非京籍人员408人；全年志愿者共上勤58天， 10375人，圆满完成了</w:t>
      </w:r>
      <w:r>
        <w:rPr>
          <w:rFonts w:ascii="仿宋_GB2312" w:eastAsia="仿宋_GB2312"/>
          <w:sz w:val="32"/>
          <w:szCs w:val="32"/>
        </w:rPr>
        <w:t>安全保卫任务，确保了地区稳定。</w:t>
      </w:r>
    </w:p>
    <w:p w14:paraId="523593D1">
      <w:pPr>
        <w:pStyle w:val="11"/>
        <w:spacing w:line="560" w:lineRule="exact"/>
        <w:ind w:left="640" w:firstLine="0" w:firstLineChars="0"/>
        <w:jc w:val="left"/>
        <w:rPr>
          <w:rFonts w:ascii="黑体" w:hAnsi="黑体" w:eastAsia="黑体"/>
          <w:sz w:val="32"/>
          <w:szCs w:val="32"/>
        </w:rPr>
      </w:pPr>
      <w:r>
        <w:rPr>
          <w:rFonts w:hint="eastAsia" w:ascii="黑体" w:hAnsi="黑体" w:eastAsia="黑体"/>
          <w:sz w:val="32"/>
          <w:szCs w:val="32"/>
        </w:rPr>
        <w:t>5、</w:t>
      </w:r>
      <w:r>
        <w:rPr>
          <w:rFonts w:ascii="黑体" w:hAnsi="黑体" w:eastAsia="黑体"/>
          <w:sz w:val="28"/>
          <w:szCs w:val="28"/>
        </w:rPr>
        <w:t>强化文化引领作用，弘扬社会主义核心价值观</w:t>
      </w:r>
    </w:p>
    <w:p w14:paraId="286DCF8B">
      <w:pPr>
        <w:spacing w:line="560" w:lineRule="exact"/>
        <w:ind w:firstLine="660"/>
        <w:jc w:val="left"/>
        <w:rPr>
          <w:rFonts w:eastAsia="仿宋"/>
          <w:sz w:val="32"/>
          <w:szCs w:val="32"/>
        </w:rPr>
      </w:pPr>
      <w:r>
        <w:rPr>
          <w:rFonts w:hint="eastAsia" w:ascii="仿宋_GB2312" w:eastAsia="仿宋_GB2312"/>
          <w:sz w:val="32"/>
          <w:szCs w:val="32"/>
        </w:rPr>
        <w:t>坚持以社会主义核心价值观为引领，持续推进文明城区创建常态化，提高城市文明建设水平，引领社会文明建设新风尚。街道组织开展百姓宣讲、道德讲堂200余场，直接听众近2万人次；开展“穿过幸福时差”系列活动，在地区挖掘“锦旗背后的故事”，进一步弘扬社会主义核心价值观和传统道德。充分运用精神文明建设宣传栏、《人文月坛》报、“月坛政务通”微信公众平台等宣传媒介，定期发布刊登创建工作的目的意义、重大部署和工作举措，宣传创建成效和先进典型，传承地区文化，凝聚地区力量，提升地区人文品质和文化品质。举办第七届“白云杯”全国太极邀请赛，来自台湾地区的高雄市太极拳协会左营孔庙教练场、高雄市太极拳推广协会等两支代表队首次参赛。举办9场夏日文化广场活动，26个社区参与人数约3500人次。和谐杯乒乓球参赛人数400余人。</w:t>
      </w:r>
      <w:r>
        <w:rPr>
          <w:rFonts w:eastAsia="仿宋"/>
          <w:sz w:val="32"/>
          <w:szCs w:val="32"/>
        </w:rPr>
        <w:t xml:space="preserve">   </w:t>
      </w:r>
    </w:p>
    <w:p w14:paraId="4C02396F">
      <w:pPr>
        <w:ind w:firstLine="660"/>
        <w:rPr>
          <w:rFonts w:ascii="黑体" w:hAnsi="黑体" w:eastAsia="黑体"/>
          <w:sz w:val="28"/>
          <w:szCs w:val="28"/>
        </w:rPr>
      </w:pPr>
      <w:r>
        <w:rPr>
          <w:rFonts w:hint="eastAsia" w:ascii="黑体" w:hAnsi="黑体" w:eastAsia="黑体"/>
          <w:sz w:val="32"/>
          <w:szCs w:val="32"/>
        </w:rPr>
        <w:t>6、</w:t>
      </w:r>
      <w:r>
        <w:rPr>
          <w:rFonts w:ascii="黑体" w:hAnsi="黑体" w:eastAsia="黑体"/>
          <w:sz w:val="28"/>
          <w:szCs w:val="28"/>
        </w:rPr>
        <w:t>加大民生保障力度，确保民生工程落到实处</w:t>
      </w:r>
    </w:p>
    <w:p w14:paraId="5F13F8D6">
      <w:pPr>
        <w:spacing w:line="560" w:lineRule="exact"/>
        <w:ind w:firstLine="660"/>
        <w:jc w:val="left"/>
        <w:rPr>
          <w:rFonts w:ascii="仿宋_GB2312" w:eastAsia="仿宋_GB2312"/>
          <w:sz w:val="32"/>
          <w:szCs w:val="32"/>
        </w:rPr>
      </w:pPr>
      <w:r>
        <w:rPr>
          <w:rFonts w:hint="eastAsia" w:ascii="仿宋_GB2312" w:eastAsia="仿宋_GB2312"/>
          <w:sz w:val="32"/>
          <w:szCs w:val="32"/>
        </w:rPr>
        <w:t>实施养老机构“公办民营”改革，推进养老照料中心和社区养老服务驿站建设，构建多层次为老服务体系。居家养老提供日间照料、生活照护、就餐送餐、精神慰藉、平安问候、外出陪伴、健康指导、文化娱乐等8类17项服务项目，截至10月底，共计服务33589人次，夕阳茶座成为最受欢迎的品牌文化养老项目。</w:t>
      </w:r>
    </w:p>
    <w:p w14:paraId="66799FCE">
      <w:pPr>
        <w:spacing w:line="560" w:lineRule="exact"/>
        <w:ind w:firstLine="660"/>
        <w:jc w:val="left"/>
        <w:rPr>
          <w:rFonts w:hint="eastAsia" w:ascii="仿宋_GB2312" w:eastAsia="仿宋_GB2312"/>
          <w:sz w:val="32"/>
          <w:szCs w:val="32"/>
        </w:rPr>
      </w:pPr>
      <w:r>
        <w:rPr>
          <w:rFonts w:hint="eastAsia" w:ascii="仿宋_GB2312" w:eastAsia="仿宋_GB2312"/>
          <w:sz w:val="32"/>
          <w:szCs w:val="32"/>
        </w:rPr>
        <w:t>社会保障力度持续加大，助推创业带动就业，构建完善的社会救助体系，扎实做好困难群众救助工作。全年慰问特扶家庭750人次，发放慰问金31万；慰问残疾人14362人，发放慰问金341万元；走访慰问地区4100名困难群众，发放慰问金177.8万余元；实现就业851人,就业率达到92%；办理保障性住房778户；办理医疗保险共计 11409 人；低保发放665户, 1039人, 金额109万元。</w:t>
      </w:r>
    </w:p>
    <w:p w14:paraId="2257EA48">
      <w:pPr>
        <w:ind w:firstLine="660"/>
        <w:rPr>
          <w:rFonts w:ascii="黑体" w:hAnsi="黑体" w:eastAsia="黑体"/>
          <w:sz w:val="32"/>
          <w:szCs w:val="32"/>
        </w:rPr>
      </w:pPr>
      <w:r>
        <w:rPr>
          <w:rFonts w:hint="eastAsia" w:ascii="黑体" w:hAnsi="黑体" w:eastAsia="黑体"/>
          <w:sz w:val="32"/>
          <w:szCs w:val="32"/>
        </w:rPr>
        <w:t>7、</w:t>
      </w:r>
      <w:r>
        <w:rPr>
          <w:rFonts w:ascii="黑体" w:hAnsi="黑体" w:eastAsia="黑体"/>
          <w:sz w:val="28"/>
          <w:szCs w:val="28"/>
        </w:rPr>
        <w:t>推进社区治理能力建设，完善社会治理体系。</w:t>
      </w:r>
    </w:p>
    <w:p w14:paraId="3D891077">
      <w:pPr>
        <w:spacing w:line="560" w:lineRule="exact"/>
        <w:ind w:firstLine="660"/>
        <w:jc w:val="left"/>
        <w:rPr>
          <w:rFonts w:eastAsia="仿宋"/>
          <w:sz w:val="32"/>
          <w:szCs w:val="32"/>
        </w:rPr>
      </w:pPr>
      <w:r>
        <w:rPr>
          <w:rFonts w:hint="eastAsia" w:ascii="仿宋_GB2312" w:eastAsia="仿宋_GB2312"/>
          <w:sz w:val="32"/>
          <w:szCs w:val="32"/>
        </w:rPr>
        <w:t>围绕全国社区治理和服务创新实验区建设，稳步推进社区治理体系“三个机制”建设，不断推进“参与型”协商项工作开展，完善社区居民自治；积极探索“三社联动”运行机制，创新基层社会治理、完善社区服务体系，落实社区减负工作。不断加强社工队伍建设，提升社区治理服务能力，为加强基层政权建设、巩固党的执政基础提供有力支撑</w:t>
      </w:r>
      <w:r>
        <w:rPr>
          <w:rFonts w:ascii="仿宋_GB2312" w:eastAsia="仿宋_GB2312"/>
          <w:sz w:val="32"/>
          <w:szCs w:val="32"/>
        </w:rPr>
        <w:t>。</w:t>
      </w:r>
      <w:r>
        <w:rPr>
          <w:rFonts w:hint="eastAsia" w:ascii="仿宋_GB2312" w:eastAsia="仿宋_GB2312"/>
          <w:sz w:val="32"/>
          <w:szCs w:val="32"/>
        </w:rPr>
        <w:t>把“走千门进万户”作为深入开展群众工作法的重要抓手，结合访民情听民意解民难工作，建立处级领导主动联系社区，科长、街巷长积极参与社区走访工作机制，建立联系入户台账，明确走访要求，切实把工作抓实、做细，截止到10月份，党员干部共入户走访联系居民及单位2926户，收集各类问题建议1233条，已经解决875条。</w:t>
      </w:r>
    </w:p>
    <w:p w14:paraId="3BBFFBB8">
      <w:pPr>
        <w:spacing w:line="560" w:lineRule="exact"/>
        <w:ind w:firstLine="640" w:firstLineChars="200"/>
        <w:jc w:val="left"/>
        <w:rPr>
          <w:rFonts w:ascii="黑体" w:hAnsi="黑体" w:eastAsia="黑体"/>
          <w:sz w:val="28"/>
          <w:szCs w:val="28"/>
        </w:rPr>
      </w:pPr>
      <w:r>
        <w:rPr>
          <w:rFonts w:hint="eastAsia" w:ascii="黑体" w:hAnsi="黑体" w:eastAsia="黑体"/>
          <w:sz w:val="32"/>
          <w:szCs w:val="32"/>
        </w:rPr>
        <w:t>8、</w:t>
      </w:r>
      <w:r>
        <w:rPr>
          <w:rFonts w:ascii="黑体" w:hAnsi="黑体" w:eastAsia="黑体"/>
          <w:sz w:val="28"/>
          <w:szCs w:val="28"/>
        </w:rPr>
        <w:t>推进全面从严治党，全面提升街道党员干部为民服务的素质和能力。</w:t>
      </w:r>
    </w:p>
    <w:p w14:paraId="4362A001">
      <w:pPr>
        <w:spacing w:line="560" w:lineRule="exact"/>
        <w:ind w:firstLine="660"/>
        <w:jc w:val="left"/>
        <w:rPr>
          <w:rFonts w:ascii="仿宋_GB2312" w:eastAsia="仿宋_GB2312"/>
          <w:sz w:val="32"/>
          <w:szCs w:val="32"/>
        </w:rPr>
      </w:pPr>
      <w:r>
        <w:rPr>
          <w:rFonts w:hint="eastAsia" w:ascii="仿宋_GB2312" w:eastAsia="仿宋_GB2312"/>
          <w:sz w:val="32"/>
          <w:szCs w:val="32"/>
        </w:rPr>
        <w:t>一是抓思想从严，年初召开全面从严治党工作专题部署会，签订《党风廉政建设责任书》，深入开展“不忘初心、牢记使命”主题教育，补足精神之“钙”，筑牢思想之“魂”，进一步夯实理想信念宗旨根基，增强 “四个自信”，全年共组织中心组学习31次，分批次组织机关科级干部培训140余人。</w:t>
      </w:r>
    </w:p>
    <w:p w14:paraId="188905DF">
      <w:pPr>
        <w:spacing w:line="560" w:lineRule="exact"/>
        <w:ind w:firstLine="660"/>
        <w:jc w:val="left"/>
        <w:rPr>
          <w:rFonts w:ascii="仿宋_GB2312" w:eastAsia="仿宋_GB2312"/>
          <w:sz w:val="32"/>
          <w:szCs w:val="32"/>
        </w:rPr>
      </w:pPr>
      <w:r>
        <w:rPr>
          <w:rFonts w:hint="eastAsia" w:ascii="仿宋_GB2312" w:eastAsia="仿宋_GB2312"/>
          <w:sz w:val="32"/>
          <w:szCs w:val="32"/>
        </w:rPr>
        <w:t>二是抓组织从严，严格落实“三会一课”制度，把理论学习抓紧抓实，抓深抓透，每月定期下发学习计划，利用“月坛党建”微信公众号推送理论学习文章。引导全体党员增强“四个意识”，着力落实管党治党责任。</w:t>
      </w:r>
    </w:p>
    <w:p w14:paraId="592CBA6E">
      <w:pPr>
        <w:spacing w:line="560" w:lineRule="exact"/>
        <w:ind w:firstLine="660"/>
        <w:jc w:val="left"/>
        <w:rPr>
          <w:rFonts w:ascii="仿宋_GB2312" w:eastAsia="仿宋_GB2312"/>
          <w:sz w:val="32"/>
          <w:szCs w:val="32"/>
        </w:rPr>
      </w:pPr>
      <w:r>
        <w:rPr>
          <w:rFonts w:hint="eastAsia" w:ascii="仿宋_GB2312" w:eastAsia="仿宋_GB2312"/>
          <w:sz w:val="32"/>
          <w:szCs w:val="32"/>
        </w:rPr>
        <w:t>三是抓执纪从严，坚持把纪律挺在前面，严明党的政治纪律和政治规矩，坚决查处各种违反纪律的行为。今年以来，接收监督举报平台举报结案3件，配合区纪委调查情况3人次。接受信访举报12件次，完成3封信访件的调查处理工作。</w:t>
      </w:r>
    </w:p>
    <w:p w14:paraId="3793C4E8">
      <w:pPr>
        <w:spacing w:line="560" w:lineRule="exact"/>
        <w:ind w:firstLine="660"/>
        <w:jc w:val="left"/>
        <w:rPr>
          <w:rFonts w:ascii="仿宋_GB2312" w:eastAsia="仿宋_GB2312"/>
          <w:sz w:val="32"/>
          <w:szCs w:val="32"/>
        </w:rPr>
      </w:pPr>
      <w:r>
        <w:rPr>
          <w:rFonts w:hint="eastAsia" w:ascii="仿宋_GB2312" w:eastAsia="仿宋_GB2312"/>
          <w:sz w:val="32"/>
          <w:szCs w:val="32"/>
        </w:rPr>
        <w:t>四是抓治吏从严，坚持德才兼备以德为先的好干部标准，不断规范干部选拔任用工作，加强对选人用人的风险点管控。严格公务员录用与军转干部接收程序，严把入口关。今年以来，共任用1名科长，接收军转干部1人、录用公务员5人，均按照相关规定进行严格考察录用，做到公开公平公正。</w:t>
      </w:r>
    </w:p>
    <w:p w14:paraId="030230FB">
      <w:pPr>
        <w:spacing w:line="560" w:lineRule="exact"/>
        <w:ind w:firstLine="660"/>
        <w:jc w:val="left"/>
        <w:rPr>
          <w:rFonts w:ascii="仿宋_GB2312" w:eastAsia="仿宋_GB2312"/>
          <w:sz w:val="32"/>
          <w:szCs w:val="32"/>
        </w:rPr>
      </w:pPr>
      <w:r>
        <w:rPr>
          <w:rFonts w:hint="eastAsia" w:ascii="仿宋_GB2312" w:eastAsia="仿宋_GB2312"/>
          <w:sz w:val="32"/>
          <w:szCs w:val="32"/>
        </w:rPr>
        <w:t>五是抓作风从严，不折不扣地贯彻落实中央八项规定精神，驰而不息纠“四风”，街道针对元旦、春节、清明、五一端午、中秋国庆等重要节点，加大对广大党员干部的正面宣传，灵活运用各科室、各社区自查，主体责任办公室抽查等方式，狠刹公款送礼、吃喝等不正之风，引导党员干部自觉遵守廉洁自律和干部作风的各项规定，确保节日期间风清气正，全年无违法违纪现象出现。</w:t>
      </w:r>
    </w:p>
    <w:p w14:paraId="5B2CB5E8">
      <w:pPr>
        <w:spacing w:line="560" w:lineRule="exact"/>
        <w:ind w:firstLine="660"/>
        <w:jc w:val="left"/>
        <w:rPr>
          <w:rFonts w:hint="eastAsia" w:ascii="仿宋_GB2312" w:hAnsi="仿宋" w:eastAsia="仿宋_GB2312" w:cs="宋体"/>
          <w:sz w:val="32"/>
          <w:szCs w:val="32"/>
        </w:rPr>
      </w:pPr>
      <w:r>
        <w:rPr>
          <w:rFonts w:hint="eastAsia" w:ascii="仿宋_GB2312" w:eastAsia="仿宋_GB2312"/>
          <w:sz w:val="32"/>
          <w:szCs w:val="32"/>
        </w:rPr>
        <w:t>六是抓反腐从严，街道在推进全面从严治党过程中，逐步形成了街道主体责任办公室和派驻街道监察组联席联动工作机制，为街道推动全面从严治党向纵深发展提供坚强保障。</w:t>
      </w:r>
    </w:p>
    <w:p w14:paraId="3025C90C">
      <w:pPr>
        <w:pStyle w:val="5"/>
        <w:spacing w:before="156" w:beforeLines="50" w:after="0" w:line="560" w:lineRule="exact"/>
        <w:ind w:firstLine="321" w:firstLineChars="100"/>
        <w:jc w:val="left"/>
        <w:rPr>
          <w:rFonts w:hint="eastAsia" w:ascii="仿宋" w:hAnsi="仿宋" w:eastAsia="仿宋"/>
          <w:kern w:val="2"/>
        </w:rPr>
      </w:pPr>
      <w:bookmarkStart w:id="10" w:name="_Toc20201"/>
      <w:r>
        <w:rPr>
          <w:rFonts w:hint="eastAsia" w:ascii="仿宋" w:hAnsi="仿宋" w:eastAsia="仿宋"/>
          <w:kern w:val="2"/>
        </w:rPr>
        <w:t>（二）项目绩效目标完成情况</w:t>
      </w:r>
      <w:bookmarkEnd w:id="10"/>
    </w:p>
    <w:p w14:paraId="19CAD00E">
      <w:pPr>
        <w:spacing w:before="156" w:beforeLines="50" w:line="560" w:lineRule="exact"/>
        <w:ind w:firstLine="640" w:firstLineChars="200"/>
        <w:rPr>
          <w:rFonts w:hint="eastAsia" w:ascii="仿宋" w:hAnsi="仿宋" w:eastAsia="仿宋"/>
          <w:sz w:val="22"/>
        </w:rPr>
      </w:pPr>
      <w:r>
        <w:rPr>
          <w:rFonts w:hint="eastAsia" w:ascii="仿宋" w:hAnsi="仿宋" w:eastAsia="仿宋"/>
          <w:bCs/>
          <w:sz w:val="32"/>
          <w:szCs w:val="32"/>
        </w:rPr>
        <w:t>按照《西城区区级财政支出绩效跟踪管理办法》（西财预〔2014〕273号）文件的要求、以及西城区财政局“关于各预算单位报送2018年全年绩效跟踪相关材料的通知”，结合2018年度我街道实际工作特点，共选取了25个项目作为重点跟踪项目，重点跟踪项目预算合计金额为7,662.13万元，年初部门整体项目支出预算金额为25,508.59万元。重点跟踪项目预算金额占全年项目预算金额的</w:t>
      </w:r>
      <w:r>
        <w:rPr>
          <w:rFonts w:ascii="仿宋" w:hAnsi="仿宋" w:eastAsia="仿宋"/>
          <w:bCs/>
          <w:sz w:val="32"/>
          <w:szCs w:val="32"/>
        </w:rPr>
        <w:t>3</w:t>
      </w:r>
      <w:r>
        <w:rPr>
          <w:rFonts w:hint="eastAsia" w:ascii="仿宋" w:hAnsi="仿宋" w:eastAsia="仿宋"/>
          <w:bCs/>
          <w:sz w:val="32"/>
          <w:szCs w:val="32"/>
        </w:rPr>
        <w:t>0</w:t>
      </w:r>
      <w:r>
        <w:rPr>
          <w:rFonts w:ascii="仿宋" w:hAnsi="仿宋" w:eastAsia="仿宋"/>
          <w:bCs/>
          <w:sz w:val="32"/>
          <w:szCs w:val="32"/>
        </w:rPr>
        <w:t>.</w:t>
      </w:r>
      <w:r>
        <w:rPr>
          <w:rFonts w:hint="eastAsia" w:ascii="仿宋" w:hAnsi="仿宋" w:eastAsia="仿宋"/>
          <w:bCs/>
          <w:sz w:val="32"/>
          <w:szCs w:val="32"/>
        </w:rPr>
        <w:t>04</w:t>
      </w:r>
      <w:r>
        <w:rPr>
          <w:rFonts w:ascii="仿宋" w:hAnsi="仿宋" w:eastAsia="仿宋"/>
          <w:bCs/>
          <w:sz w:val="32"/>
          <w:szCs w:val="32"/>
        </w:rPr>
        <w:t>%</w:t>
      </w:r>
      <w:r>
        <w:rPr>
          <w:rFonts w:hint="eastAsia" w:ascii="仿宋" w:hAnsi="仿宋" w:eastAsia="仿宋"/>
          <w:bCs/>
          <w:sz w:val="32"/>
          <w:szCs w:val="32"/>
        </w:rPr>
        <w:t>。重点跟踪项目明细见下表：</w:t>
      </w:r>
    </w:p>
    <w:p w14:paraId="0B0F7E15">
      <w:pPr>
        <w:spacing w:line="560" w:lineRule="exact"/>
        <w:ind w:firstLine="440" w:firstLineChars="200"/>
        <w:jc w:val="right"/>
        <w:rPr>
          <w:rFonts w:hint="eastAsia" w:ascii="仿宋" w:hAnsi="仿宋" w:eastAsia="仿宋"/>
          <w:sz w:val="22"/>
        </w:rPr>
      </w:pPr>
      <w:r>
        <w:rPr>
          <w:rFonts w:hint="eastAsia" w:ascii="仿宋" w:hAnsi="仿宋" w:eastAsia="仿宋"/>
          <w:sz w:val="22"/>
        </w:rPr>
        <w:t>单位：万元</w:t>
      </w:r>
    </w:p>
    <w:tbl>
      <w:tblPr>
        <w:tblStyle w:val="8"/>
        <w:tblW w:w="0" w:type="auto"/>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816"/>
        <w:gridCol w:w="2694"/>
        <w:gridCol w:w="4394"/>
        <w:gridCol w:w="1610"/>
      </w:tblGrid>
      <w:tr w14:paraId="37EA6E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trPr>
        <w:tc>
          <w:tcPr>
            <w:tcW w:w="816" w:type="dxa"/>
            <w:tcBorders>
              <w:top w:val="single" w:color="auto" w:sz="12" w:space="0"/>
              <w:left w:val="dotted" w:color="auto" w:sz="4" w:space="0"/>
              <w:bottom w:val="dotted" w:color="auto" w:sz="4" w:space="0"/>
            </w:tcBorders>
            <w:shd w:val="clear" w:color="auto" w:fill="auto"/>
            <w:noWrap w:val="0"/>
            <w:vAlign w:val="center"/>
          </w:tcPr>
          <w:p w14:paraId="4AD06BA9">
            <w:pPr>
              <w:widowControl/>
              <w:spacing w:line="560" w:lineRule="exact"/>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694" w:type="dxa"/>
            <w:tcBorders>
              <w:top w:val="single" w:color="auto" w:sz="12" w:space="0"/>
              <w:bottom w:val="dotted" w:color="auto" w:sz="4" w:space="0"/>
            </w:tcBorders>
            <w:shd w:val="clear" w:color="FF0000" w:fill="FFFFFF"/>
            <w:noWrap w:val="0"/>
            <w:vAlign w:val="center"/>
          </w:tcPr>
          <w:p w14:paraId="794D8415">
            <w:pPr>
              <w:widowControl/>
              <w:spacing w:line="56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项目执行科室</w:t>
            </w:r>
          </w:p>
        </w:tc>
        <w:tc>
          <w:tcPr>
            <w:tcW w:w="4394" w:type="dxa"/>
            <w:tcBorders>
              <w:top w:val="single" w:color="auto" w:sz="12" w:space="0"/>
              <w:bottom w:val="dotted" w:color="auto" w:sz="4" w:space="0"/>
            </w:tcBorders>
            <w:shd w:val="clear" w:color="FF0000" w:fill="FFFFFF"/>
            <w:noWrap w:val="0"/>
            <w:vAlign w:val="center"/>
          </w:tcPr>
          <w:p w14:paraId="6DC67005">
            <w:pPr>
              <w:widowControl/>
              <w:spacing w:line="56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1610" w:type="dxa"/>
            <w:tcBorders>
              <w:top w:val="single" w:color="auto" w:sz="12" w:space="0"/>
              <w:bottom w:val="dotted" w:color="auto" w:sz="4" w:space="0"/>
              <w:right w:val="dotted" w:color="auto" w:sz="4" w:space="0"/>
            </w:tcBorders>
            <w:shd w:val="clear" w:color="FF0000" w:fill="FFFFFF"/>
            <w:noWrap w:val="0"/>
            <w:vAlign w:val="center"/>
          </w:tcPr>
          <w:p w14:paraId="736CE2B3">
            <w:pPr>
              <w:widowControl/>
              <w:spacing w:line="56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金额</w:t>
            </w:r>
          </w:p>
        </w:tc>
      </w:tr>
      <w:tr w14:paraId="740C07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7F2E7BBC">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2694" w:type="dxa"/>
            <w:tcBorders>
              <w:top w:val="dotted" w:color="auto" w:sz="4" w:space="0"/>
              <w:bottom w:val="dotted" w:color="auto" w:sz="4" w:space="0"/>
            </w:tcBorders>
            <w:noWrap w:val="0"/>
            <w:vAlign w:val="center"/>
          </w:tcPr>
          <w:p w14:paraId="6558E880">
            <w:pPr>
              <w:spacing w:line="560" w:lineRule="exact"/>
              <w:rPr>
                <w:rFonts w:hint="eastAsia" w:ascii="仿宋" w:hAnsi="仿宋" w:eastAsia="仿宋"/>
                <w:szCs w:val="21"/>
              </w:rPr>
            </w:pPr>
            <w:r>
              <w:rPr>
                <w:rFonts w:hint="eastAsia" w:ascii="仿宋" w:hAnsi="仿宋" w:eastAsia="仿宋"/>
                <w:szCs w:val="21"/>
              </w:rPr>
              <w:t>残联</w:t>
            </w:r>
          </w:p>
        </w:tc>
        <w:tc>
          <w:tcPr>
            <w:tcW w:w="4394" w:type="dxa"/>
            <w:tcBorders>
              <w:top w:val="dotted" w:color="auto" w:sz="4" w:space="0"/>
              <w:bottom w:val="dotted" w:color="auto" w:sz="4" w:space="0"/>
            </w:tcBorders>
            <w:noWrap w:val="0"/>
            <w:vAlign w:val="top"/>
          </w:tcPr>
          <w:p w14:paraId="2505E4C4">
            <w:pPr>
              <w:spacing w:line="560" w:lineRule="exact"/>
              <w:rPr>
                <w:rFonts w:hint="eastAsia" w:ascii="仿宋" w:hAnsi="仿宋" w:eastAsia="仿宋"/>
                <w:szCs w:val="21"/>
              </w:rPr>
            </w:pPr>
            <w:r>
              <w:rPr>
                <w:rFonts w:hint="eastAsia" w:ascii="仿宋" w:hAnsi="仿宋" w:eastAsia="仿宋"/>
                <w:szCs w:val="21"/>
              </w:rPr>
              <w:t>残疾人职业康复劳动项目</w:t>
            </w:r>
          </w:p>
        </w:tc>
        <w:tc>
          <w:tcPr>
            <w:tcW w:w="1610" w:type="dxa"/>
            <w:tcBorders>
              <w:top w:val="dotted" w:color="auto" w:sz="4" w:space="0"/>
              <w:left w:val="nil"/>
              <w:bottom w:val="dotted" w:color="auto" w:sz="4" w:space="0"/>
              <w:right w:val="dotted" w:color="auto" w:sz="4" w:space="0"/>
            </w:tcBorders>
            <w:noWrap w:val="0"/>
            <w:vAlign w:val="center"/>
          </w:tcPr>
          <w:p w14:paraId="2F61F289">
            <w:pPr>
              <w:widowControl/>
              <w:jc w:val="center"/>
              <w:rPr>
                <w:rFonts w:ascii="仿宋" w:hAnsi="仿宋" w:eastAsia="仿宋"/>
                <w:bCs/>
                <w:color w:val="000000"/>
                <w:kern w:val="0"/>
                <w:szCs w:val="21"/>
              </w:rPr>
            </w:pPr>
            <w:r>
              <w:rPr>
                <w:rFonts w:hint="eastAsia" w:ascii="仿宋" w:hAnsi="仿宋" w:eastAsia="仿宋"/>
                <w:bCs/>
                <w:color w:val="000000"/>
                <w:szCs w:val="21"/>
              </w:rPr>
              <w:t xml:space="preserve">174.85 </w:t>
            </w:r>
          </w:p>
        </w:tc>
      </w:tr>
      <w:tr w14:paraId="02607D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05B2214E">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2694" w:type="dxa"/>
            <w:tcBorders>
              <w:top w:val="dotted" w:color="auto" w:sz="4" w:space="0"/>
              <w:bottom w:val="dotted" w:color="auto" w:sz="4" w:space="0"/>
            </w:tcBorders>
            <w:noWrap w:val="0"/>
            <w:vAlign w:val="top"/>
          </w:tcPr>
          <w:p w14:paraId="773E5233">
            <w:pPr>
              <w:spacing w:line="560" w:lineRule="exact"/>
              <w:rPr>
                <w:rFonts w:hint="eastAsia" w:ascii="仿宋" w:hAnsi="仿宋" w:eastAsia="仿宋"/>
                <w:szCs w:val="21"/>
              </w:rPr>
            </w:pPr>
            <w:r>
              <w:rPr>
                <w:rFonts w:hint="eastAsia" w:ascii="仿宋" w:hAnsi="仿宋" w:eastAsia="仿宋"/>
                <w:szCs w:val="21"/>
              </w:rPr>
              <w:t>城管队</w:t>
            </w:r>
          </w:p>
        </w:tc>
        <w:tc>
          <w:tcPr>
            <w:tcW w:w="4394" w:type="dxa"/>
            <w:tcBorders>
              <w:top w:val="dotted" w:color="auto" w:sz="4" w:space="0"/>
              <w:bottom w:val="dotted" w:color="auto" w:sz="4" w:space="0"/>
            </w:tcBorders>
            <w:noWrap w:val="0"/>
            <w:vAlign w:val="top"/>
          </w:tcPr>
          <w:p w14:paraId="4FD5962C">
            <w:pPr>
              <w:spacing w:line="560" w:lineRule="exact"/>
              <w:rPr>
                <w:rFonts w:hint="eastAsia" w:ascii="仿宋" w:hAnsi="仿宋" w:eastAsia="仿宋"/>
                <w:szCs w:val="21"/>
              </w:rPr>
            </w:pPr>
            <w:r>
              <w:rPr>
                <w:rFonts w:hint="eastAsia" w:ascii="仿宋" w:hAnsi="仿宋" w:eastAsia="仿宋"/>
                <w:szCs w:val="21"/>
              </w:rPr>
              <w:t>全响应网格员保安服务费</w:t>
            </w:r>
          </w:p>
        </w:tc>
        <w:tc>
          <w:tcPr>
            <w:tcW w:w="1610" w:type="dxa"/>
            <w:tcBorders>
              <w:top w:val="dotted" w:color="auto" w:sz="4" w:space="0"/>
              <w:left w:val="nil"/>
              <w:bottom w:val="dotted" w:color="auto" w:sz="4" w:space="0"/>
              <w:right w:val="dotted" w:color="auto" w:sz="4" w:space="0"/>
            </w:tcBorders>
            <w:noWrap w:val="0"/>
            <w:vAlign w:val="bottom"/>
          </w:tcPr>
          <w:p w14:paraId="3BC3D1D5">
            <w:pPr>
              <w:widowControl/>
              <w:jc w:val="center"/>
              <w:rPr>
                <w:rFonts w:hint="eastAsia" w:ascii="仿宋" w:hAnsi="仿宋" w:eastAsia="仿宋"/>
                <w:bCs/>
                <w:color w:val="000000"/>
                <w:szCs w:val="21"/>
              </w:rPr>
            </w:pPr>
            <w:r>
              <w:rPr>
                <w:rFonts w:hint="eastAsia" w:ascii="仿宋" w:hAnsi="仿宋" w:eastAsia="仿宋"/>
                <w:bCs/>
                <w:color w:val="000000"/>
                <w:szCs w:val="21"/>
              </w:rPr>
              <w:t>456</w:t>
            </w:r>
            <w:r>
              <w:rPr>
                <w:rFonts w:ascii="仿宋" w:hAnsi="仿宋" w:eastAsia="仿宋"/>
                <w:bCs/>
                <w:color w:val="000000"/>
                <w:szCs w:val="21"/>
              </w:rPr>
              <w:t>.00</w:t>
            </w:r>
          </w:p>
        </w:tc>
      </w:tr>
      <w:tr w14:paraId="2D63E3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713DE5E9">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2694" w:type="dxa"/>
            <w:tcBorders>
              <w:top w:val="dotted" w:color="auto" w:sz="4" w:space="0"/>
              <w:bottom w:val="dotted" w:color="auto" w:sz="4" w:space="0"/>
            </w:tcBorders>
            <w:noWrap w:val="0"/>
            <w:vAlign w:val="top"/>
          </w:tcPr>
          <w:p w14:paraId="2C019ED1">
            <w:pPr>
              <w:spacing w:line="560" w:lineRule="exact"/>
              <w:rPr>
                <w:rFonts w:hint="eastAsia" w:ascii="仿宋" w:hAnsi="仿宋" w:eastAsia="仿宋"/>
                <w:szCs w:val="21"/>
              </w:rPr>
            </w:pPr>
            <w:r>
              <w:rPr>
                <w:rFonts w:hint="eastAsia" w:ascii="仿宋" w:hAnsi="仿宋" w:eastAsia="仿宋"/>
                <w:szCs w:val="21"/>
              </w:rPr>
              <w:t>发服办</w:t>
            </w:r>
          </w:p>
        </w:tc>
        <w:tc>
          <w:tcPr>
            <w:tcW w:w="4394" w:type="dxa"/>
            <w:tcBorders>
              <w:top w:val="dotted" w:color="auto" w:sz="4" w:space="0"/>
              <w:bottom w:val="dotted" w:color="auto" w:sz="4" w:space="0"/>
            </w:tcBorders>
            <w:noWrap w:val="0"/>
            <w:vAlign w:val="top"/>
          </w:tcPr>
          <w:p w14:paraId="3444633C">
            <w:pPr>
              <w:spacing w:line="560" w:lineRule="exact"/>
              <w:rPr>
                <w:rFonts w:hint="eastAsia" w:ascii="仿宋" w:hAnsi="仿宋" w:eastAsia="仿宋"/>
                <w:szCs w:val="21"/>
              </w:rPr>
            </w:pPr>
            <w:r>
              <w:rPr>
                <w:rFonts w:hint="eastAsia" w:ascii="仿宋" w:hAnsi="仿宋" w:eastAsia="仿宋"/>
                <w:szCs w:val="21"/>
              </w:rPr>
              <w:t>月坛地区保洁经费</w:t>
            </w:r>
          </w:p>
        </w:tc>
        <w:tc>
          <w:tcPr>
            <w:tcW w:w="1610" w:type="dxa"/>
            <w:tcBorders>
              <w:top w:val="dotted" w:color="auto" w:sz="4" w:space="0"/>
              <w:left w:val="nil"/>
              <w:bottom w:val="dotted" w:color="auto" w:sz="4" w:space="0"/>
              <w:right w:val="dotted" w:color="auto" w:sz="4" w:space="0"/>
            </w:tcBorders>
            <w:noWrap w:val="0"/>
            <w:vAlign w:val="bottom"/>
          </w:tcPr>
          <w:p w14:paraId="0D88CC47">
            <w:pPr>
              <w:widowControl/>
              <w:jc w:val="center"/>
              <w:rPr>
                <w:rFonts w:hint="eastAsia" w:ascii="仿宋" w:hAnsi="仿宋" w:eastAsia="仿宋"/>
                <w:bCs/>
                <w:color w:val="000000"/>
                <w:szCs w:val="21"/>
              </w:rPr>
            </w:pPr>
            <w:r>
              <w:rPr>
                <w:rFonts w:hint="eastAsia" w:ascii="仿宋" w:hAnsi="仿宋" w:eastAsia="仿宋"/>
                <w:bCs/>
                <w:color w:val="000000"/>
                <w:szCs w:val="21"/>
              </w:rPr>
              <w:t>806</w:t>
            </w:r>
            <w:r>
              <w:rPr>
                <w:rFonts w:ascii="仿宋" w:hAnsi="仿宋" w:eastAsia="仿宋"/>
                <w:bCs/>
                <w:color w:val="000000"/>
                <w:szCs w:val="21"/>
              </w:rPr>
              <w:t>.</w:t>
            </w:r>
            <w:r>
              <w:rPr>
                <w:rFonts w:hint="eastAsia" w:ascii="仿宋" w:hAnsi="仿宋" w:eastAsia="仿宋"/>
                <w:bCs/>
                <w:color w:val="000000"/>
                <w:szCs w:val="21"/>
              </w:rPr>
              <w:t>51</w:t>
            </w:r>
          </w:p>
        </w:tc>
      </w:tr>
      <w:tr w14:paraId="54FD65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2A9F3F64">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2694" w:type="dxa"/>
            <w:tcBorders>
              <w:top w:val="dotted" w:color="auto" w:sz="4" w:space="0"/>
              <w:bottom w:val="dotted" w:color="auto" w:sz="4" w:space="0"/>
            </w:tcBorders>
            <w:noWrap w:val="0"/>
            <w:vAlign w:val="center"/>
          </w:tcPr>
          <w:p w14:paraId="063A56EE">
            <w:pPr>
              <w:spacing w:line="560" w:lineRule="exact"/>
              <w:rPr>
                <w:rFonts w:hint="eastAsia" w:ascii="仿宋" w:hAnsi="仿宋" w:eastAsia="仿宋"/>
                <w:szCs w:val="21"/>
              </w:rPr>
            </w:pPr>
            <w:r>
              <w:rPr>
                <w:rFonts w:hint="eastAsia" w:ascii="仿宋" w:hAnsi="仿宋" w:eastAsia="仿宋"/>
                <w:szCs w:val="21"/>
              </w:rPr>
              <w:t>发服办</w:t>
            </w:r>
          </w:p>
        </w:tc>
        <w:tc>
          <w:tcPr>
            <w:tcW w:w="4394" w:type="dxa"/>
            <w:tcBorders>
              <w:top w:val="dotted" w:color="auto" w:sz="4" w:space="0"/>
              <w:bottom w:val="dotted" w:color="auto" w:sz="4" w:space="0"/>
            </w:tcBorders>
            <w:noWrap w:val="0"/>
            <w:vAlign w:val="top"/>
          </w:tcPr>
          <w:p w14:paraId="0074BED9">
            <w:pPr>
              <w:spacing w:line="560" w:lineRule="exact"/>
              <w:rPr>
                <w:rFonts w:hint="eastAsia" w:ascii="仿宋" w:hAnsi="仿宋" w:eastAsia="仿宋"/>
                <w:szCs w:val="21"/>
              </w:rPr>
            </w:pPr>
            <w:r>
              <w:rPr>
                <w:rFonts w:hint="eastAsia" w:ascii="仿宋" w:hAnsi="仿宋" w:eastAsia="仿宋"/>
                <w:szCs w:val="21"/>
              </w:rPr>
              <w:t>月坛地区17个老旧小区环境保障经费</w:t>
            </w:r>
          </w:p>
        </w:tc>
        <w:tc>
          <w:tcPr>
            <w:tcW w:w="1610" w:type="dxa"/>
            <w:tcBorders>
              <w:top w:val="dotted" w:color="auto" w:sz="4" w:space="0"/>
              <w:left w:val="nil"/>
              <w:bottom w:val="dotted" w:color="auto" w:sz="4" w:space="0"/>
              <w:right w:val="dotted" w:color="auto" w:sz="4" w:space="0"/>
            </w:tcBorders>
            <w:noWrap w:val="0"/>
            <w:vAlign w:val="bottom"/>
          </w:tcPr>
          <w:p w14:paraId="43302BAA">
            <w:pPr>
              <w:widowControl/>
              <w:jc w:val="center"/>
              <w:rPr>
                <w:rFonts w:hint="eastAsia" w:ascii="仿宋" w:hAnsi="仿宋" w:eastAsia="仿宋"/>
                <w:bCs/>
                <w:color w:val="000000"/>
                <w:szCs w:val="21"/>
              </w:rPr>
            </w:pPr>
            <w:r>
              <w:rPr>
                <w:rFonts w:hint="eastAsia" w:ascii="仿宋" w:hAnsi="仿宋" w:eastAsia="仿宋"/>
                <w:bCs/>
                <w:color w:val="000000"/>
                <w:szCs w:val="21"/>
              </w:rPr>
              <w:t>390</w:t>
            </w:r>
            <w:r>
              <w:rPr>
                <w:rFonts w:ascii="仿宋" w:hAnsi="仿宋" w:eastAsia="仿宋"/>
                <w:bCs/>
                <w:color w:val="000000"/>
                <w:szCs w:val="21"/>
              </w:rPr>
              <w:t>.</w:t>
            </w:r>
            <w:r>
              <w:rPr>
                <w:rFonts w:hint="eastAsia" w:ascii="仿宋" w:hAnsi="仿宋" w:eastAsia="仿宋"/>
                <w:bCs/>
                <w:color w:val="000000"/>
                <w:szCs w:val="21"/>
              </w:rPr>
              <w:t>00</w:t>
            </w:r>
          </w:p>
        </w:tc>
      </w:tr>
      <w:tr w14:paraId="4ACD18A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2D64B61F">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2694" w:type="dxa"/>
            <w:tcBorders>
              <w:top w:val="dotted" w:color="auto" w:sz="4" w:space="0"/>
              <w:bottom w:val="dotted" w:color="auto" w:sz="4" w:space="0"/>
            </w:tcBorders>
            <w:noWrap w:val="0"/>
            <w:vAlign w:val="top"/>
          </w:tcPr>
          <w:p w14:paraId="18EA4D20">
            <w:pPr>
              <w:spacing w:line="560" w:lineRule="exact"/>
              <w:rPr>
                <w:rFonts w:hint="eastAsia" w:ascii="仿宋" w:hAnsi="仿宋" w:eastAsia="仿宋"/>
                <w:szCs w:val="21"/>
              </w:rPr>
            </w:pPr>
            <w:r>
              <w:rPr>
                <w:rFonts w:hint="eastAsia" w:ascii="仿宋" w:hAnsi="仿宋" w:eastAsia="仿宋"/>
                <w:szCs w:val="21"/>
              </w:rPr>
              <w:t>发服办</w:t>
            </w:r>
          </w:p>
        </w:tc>
        <w:tc>
          <w:tcPr>
            <w:tcW w:w="4394" w:type="dxa"/>
            <w:tcBorders>
              <w:top w:val="dotted" w:color="auto" w:sz="4" w:space="0"/>
              <w:bottom w:val="dotted" w:color="auto" w:sz="4" w:space="0"/>
            </w:tcBorders>
            <w:noWrap w:val="0"/>
            <w:vAlign w:val="top"/>
          </w:tcPr>
          <w:p w14:paraId="2E5476B6">
            <w:pPr>
              <w:spacing w:line="560" w:lineRule="exact"/>
              <w:rPr>
                <w:rFonts w:hint="eastAsia" w:ascii="仿宋" w:hAnsi="仿宋" w:eastAsia="仿宋"/>
                <w:szCs w:val="21"/>
              </w:rPr>
            </w:pPr>
            <w:r>
              <w:rPr>
                <w:rFonts w:hint="eastAsia" w:ascii="仿宋" w:hAnsi="仿宋" w:eastAsia="仿宋"/>
                <w:szCs w:val="21"/>
              </w:rPr>
              <w:t>垃圾减量垃圾分类经费</w:t>
            </w:r>
          </w:p>
        </w:tc>
        <w:tc>
          <w:tcPr>
            <w:tcW w:w="1610" w:type="dxa"/>
            <w:tcBorders>
              <w:top w:val="dotted" w:color="auto" w:sz="4" w:space="0"/>
              <w:left w:val="nil"/>
              <w:bottom w:val="dotted" w:color="auto" w:sz="4" w:space="0"/>
              <w:right w:val="dotted" w:color="auto" w:sz="4" w:space="0"/>
            </w:tcBorders>
            <w:noWrap w:val="0"/>
            <w:vAlign w:val="bottom"/>
          </w:tcPr>
          <w:p w14:paraId="32E73CD2">
            <w:pPr>
              <w:widowControl/>
              <w:jc w:val="center"/>
              <w:rPr>
                <w:rFonts w:hint="eastAsia" w:ascii="仿宋" w:hAnsi="仿宋" w:eastAsia="仿宋"/>
                <w:bCs/>
                <w:color w:val="000000"/>
                <w:szCs w:val="21"/>
              </w:rPr>
            </w:pPr>
            <w:r>
              <w:rPr>
                <w:rFonts w:hint="eastAsia" w:ascii="仿宋" w:hAnsi="仿宋" w:eastAsia="仿宋"/>
                <w:bCs/>
                <w:color w:val="000000"/>
                <w:szCs w:val="21"/>
              </w:rPr>
              <w:t>650</w:t>
            </w:r>
            <w:r>
              <w:rPr>
                <w:rFonts w:ascii="仿宋" w:hAnsi="仿宋" w:eastAsia="仿宋"/>
                <w:bCs/>
                <w:color w:val="000000"/>
                <w:szCs w:val="21"/>
              </w:rPr>
              <w:t>.</w:t>
            </w:r>
            <w:r>
              <w:rPr>
                <w:rFonts w:hint="eastAsia" w:ascii="仿宋" w:hAnsi="仿宋" w:eastAsia="仿宋"/>
                <w:bCs/>
                <w:color w:val="000000"/>
                <w:szCs w:val="21"/>
              </w:rPr>
              <w:t>00</w:t>
            </w:r>
          </w:p>
        </w:tc>
      </w:tr>
      <w:tr w14:paraId="7BD640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73E781E6">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2694" w:type="dxa"/>
            <w:tcBorders>
              <w:top w:val="dotted" w:color="auto" w:sz="4" w:space="0"/>
              <w:bottom w:val="dotted" w:color="auto" w:sz="4" w:space="0"/>
            </w:tcBorders>
            <w:noWrap w:val="0"/>
            <w:vAlign w:val="top"/>
          </w:tcPr>
          <w:p w14:paraId="0DDDD889">
            <w:pPr>
              <w:spacing w:line="560" w:lineRule="exact"/>
              <w:rPr>
                <w:rFonts w:hint="eastAsia" w:ascii="仿宋" w:hAnsi="仿宋" w:eastAsia="仿宋"/>
                <w:szCs w:val="21"/>
              </w:rPr>
            </w:pPr>
            <w:r>
              <w:rPr>
                <w:rFonts w:hint="eastAsia" w:ascii="仿宋" w:hAnsi="仿宋" w:eastAsia="仿宋"/>
                <w:szCs w:val="21"/>
              </w:rPr>
              <w:t>发服办</w:t>
            </w:r>
          </w:p>
        </w:tc>
        <w:tc>
          <w:tcPr>
            <w:tcW w:w="4394" w:type="dxa"/>
            <w:tcBorders>
              <w:top w:val="dotted" w:color="auto" w:sz="4" w:space="0"/>
              <w:bottom w:val="dotted" w:color="auto" w:sz="4" w:space="0"/>
            </w:tcBorders>
            <w:noWrap w:val="0"/>
            <w:vAlign w:val="top"/>
          </w:tcPr>
          <w:p w14:paraId="2432D78C">
            <w:pPr>
              <w:spacing w:line="560" w:lineRule="exact"/>
              <w:rPr>
                <w:rFonts w:hint="eastAsia" w:ascii="仿宋" w:hAnsi="仿宋" w:eastAsia="仿宋"/>
                <w:szCs w:val="21"/>
              </w:rPr>
            </w:pPr>
            <w:r>
              <w:rPr>
                <w:rFonts w:hint="eastAsia" w:ascii="仿宋" w:hAnsi="仿宋" w:eastAsia="仿宋"/>
                <w:szCs w:val="21"/>
              </w:rPr>
              <w:t>月坛街道街巷准物业管理服务</w:t>
            </w:r>
          </w:p>
        </w:tc>
        <w:tc>
          <w:tcPr>
            <w:tcW w:w="1610" w:type="dxa"/>
            <w:tcBorders>
              <w:top w:val="dotted" w:color="auto" w:sz="4" w:space="0"/>
              <w:left w:val="nil"/>
              <w:bottom w:val="dotted" w:color="auto" w:sz="4" w:space="0"/>
              <w:right w:val="dotted" w:color="auto" w:sz="4" w:space="0"/>
            </w:tcBorders>
            <w:noWrap w:val="0"/>
            <w:vAlign w:val="bottom"/>
          </w:tcPr>
          <w:p w14:paraId="500C7658">
            <w:pPr>
              <w:widowControl/>
              <w:jc w:val="center"/>
              <w:rPr>
                <w:rFonts w:hint="eastAsia" w:ascii="仿宋" w:hAnsi="仿宋" w:eastAsia="仿宋"/>
                <w:bCs/>
                <w:color w:val="000000"/>
                <w:szCs w:val="21"/>
              </w:rPr>
            </w:pPr>
            <w:r>
              <w:rPr>
                <w:rFonts w:hint="eastAsia" w:ascii="仿宋" w:hAnsi="仿宋" w:eastAsia="仿宋"/>
                <w:bCs/>
                <w:color w:val="000000"/>
                <w:szCs w:val="21"/>
              </w:rPr>
              <w:t>700</w:t>
            </w:r>
            <w:r>
              <w:rPr>
                <w:rFonts w:ascii="仿宋" w:hAnsi="仿宋" w:eastAsia="仿宋"/>
                <w:bCs/>
                <w:color w:val="000000"/>
                <w:szCs w:val="21"/>
              </w:rPr>
              <w:t>.00</w:t>
            </w:r>
          </w:p>
        </w:tc>
      </w:tr>
      <w:tr w14:paraId="002E6D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723DA3E3">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2694" w:type="dxa"/>
            <w:tcBorders>
              <w:top w:val="dotted" w:color="auto" w:sz="4" w:space="0"/>
              <w:bottom w:val="dotted" w:color="auto" w:sz="4" w:space="0"/>
            </w:tcBorders>
            <w:noWrap w:val="0"/>
            <w:vAlign w:val="top"/>
          </w:tcPr>
          <w:p w14:paraId="1AA9E5BD">
            <w:pPr>
              <w:spacing w:line="560" w:lineRule="exact"/>
              <w:rPr>
                <w:rFonts w:hint="eastAsia" w:ascii="仿宋" w:hAnsi="仿宋" w:eastAsia="仿宋"/>
                <w:szCs w:val="21"/>
              </w:rPr>
            </w:pPr>
            <w:r>
              <w:rPr>
                <w:rFonts w:hint="eastAsia" w:ascii="仿宋" w:hAnsi="仿宋" w:eastAsia="仿宋"/>
                <w:szCs w:val="21"/>
              </w:rPr>
              <w:t>民政科</w:t>
            </w:r>
          </w:p>
        </w:tc>
        <w:tc>
          <w:tcPr>
            <w:tcW w:w="4394" w:type="dxa"/>
            <w:tcBorders>
              <w:top w:val="dotted" w:color="auto" w:sz="4" w:space="0"/>
              <w:bottom w:val="dotted" w:color="auto" w:sz="4" w:space="0"/>
            </w:tcBorders>
            <w:noWrap w:val="0"/>
            <w:vAlign w:val="top"/>
          </w:tcPr>
          <w:p w14:paraId="242DD905">
            <w:pPr>
              <w:spacing w:line="560" w:lineRule="exact"/>
              <w:rPr>
                <w:rFonts w:hint="eastAsia" w:ascii="仿宋" w:hAnsi="仿宋" w:eastAsia="仿宋"/>
                <w:szCs w:val="21"/>
              </w:rPr>
            </w:pPr>
            <w:r>
              <w:rPr>
                <w:rFonts w:hint="eastAsia" w:ascii="仿宋" w:hAnsi="仿宋" w:eastAsia="仿宋"/>
                <w:szCs w:val="21"/>
              </w:rPr>
              <w:t>地区民政事务经费</w:t>
            </w:r>
          </w:p>
        </w:tc>
        <w:tc>
          <w:tcPr>
            <w:tcW w:w="1610" w:type="dxa"/>
            <w:tcBorders>
              <w:top w:val="dotted" w:color="auto" w:sz="4" w:space="0"/>
              <w:left w:val="nil"/>
              <w:bottom w:val="dotted" w:color="auto" w:sz="4" w:space="0"/>
              <w:right w:val="dotted" w:color="auto" w:sz="4" w:space="0"/>
            </w:tcBorders>
            <w:noWrap w:val="0"/>
            <w:vAlign w:val="bottom"/>
          </w:tcPr>
          <w:p w14:paraId="767832F2">
            <w:pPr>
              <w:widowControl/>
              <w:jc w:val="center"/>
              <w:rPr>
                <w:rFonts w:hint="eastAsia" w:ascii="仿宋" w:hAnsi="仿宋" w:eastAsia="仿宋"/>
                <w:bCs/>
                <w:color w:val="000000"/>
                <w:szCs w:val="21"/>
              </w:rPr>
            </w:pPr>
            <w:r>
              <w:rPr>
                <w:rFonts w:hint="eastAsia" w:ascii="仿宋" w:hAnsi="仿宋" w:eastAsia="仿宋"/>
                <w:bCs/>
                <w:color w:val="000000"/>
                <w:szCs w:val="21"/>
              </w:rPr>
              <w:t>13</w:t>
            </w:r>
            <w:r>
              <w:rPr>
                <w:rFonts w:ascii="仿宋" w:hAnsi="仿宋" w:eastAsia="仿宋"/>
                <w:bCs/>
                <w:color w:val="000000"/>
                <w:szCs w:val="21"/>
              </w:rPr>
              <w:t>6.</w:t>
            </w:r>
            <w:r>
              <w:rPr>
                <w:rFonts w:hint="eastAsia" w:ascii="仿宋" w:hAnsi="仿宋" w:eastAsia="仿宋"/>
                <w:bCs/>
                <w:color w:val="000000"/>
                <w:szCs w:val="21"/>
              </w:rPr>
              <w:t>38</w:t>
            </w:r>
          </w:p>
        </w:tc>
      </w:tr>
      <w:tr w14:paraId="343B73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4C799319">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2694" w:type="dxa"/>
            <w:tcBorders>
              <w:top w:val="dotted" w:color="auto" w:sz="4" w:space="0"/>
              <w:bottom w:val="dotted" w:color="auto" w:sz="4" w:space="0"/>
            </w:tcBorders>
            <w:noWrap w:val="0"/>
            <w:vAlign w:val="top"/>
          </w:tcPr>
          <w:p w14:paraId="2D7DF6B6">
            <w:pPr>
              <w:spacing w:line="560" w:lineRule="exact"/>
              <w:rPr>
                <w:rFonts w:hint="eastAsia" w:ascii="仿宋" w:hAnsi="仿宋" w:eastAsia="仿宋"/>
                <w:szCs w:val="21"/>
              </w:rPr>
            </w:pPr>
            <w:r>
              <w:rPr>
                <w:rFonts w:hint="eastAsia" w:ascii="仿宋" w:hAnsi="仿宋" w:eastAsia="仿宋"/>
                <w:szCs w:val="21"/>
              </w:rPr>
              <w:t>民政科</w:t>
            </w:r>
          </w:p>
        </w:tc>
        <w:tc>
          <w:tcPr>
            <w:tcW w:w="4394" w:type="dxa"/>
            <w:tcBorders>
              <w:top w:val="dotted" w:color="auto" w:sz="4" w:space="0"/>
              <w:bottom w:val="dotted" w:color="auto" w:sz="4" w:space="0"/>
            </w:tcBorders>
            <w:noWrap w:val="0"/>
            <w:vAlign w:val="top"/>
          </w:tcPr>
          <w:p w14:paraId="5494A5E3">
            <w:pPr>
              <w:spacing w:line="560" w:lineRule="exact"/>
              <w:rPr>
                <w:rFonts w:hint="eastAsia" w:ascii="仿宋" w:hAnsi="仿宋" w:eastAsia="仿宋"/>
                <w:szCs w:val="21"/>
              </w:rPr>
            </w:pPr>
            <w:r>
              <w:rPr>
                <w:rFonts w:hint="eastAsia" w:ascii="仿宋" w:hAnsi="仿宋" w:eastAsia="仿宋"/>
                <w:szCs w:val="21"/>
              </w:rPr>
              <w:t>在乡及伤残人员全年经费</w:t>
            </w:r>
          </w:p>
        </w:tc>
        <w:tc>
          <w:tcPr>
            <w:tcW w:w="1610" w:type="dxa"/>
            <w:tcBorders>
              <w:top w:val="dotted" w:color="auto" w:sz="4" w:space="0"/>
              <w:left w:val="nil"/>
              <w:bottom w:val="dotted" w:color="auto" w:sz="4" w:space="0"/>
              <w:right w:val="dotted" w:color="auto" w:sz="4" w:space="0"/>
            </w:tcBorders>
            <w:noWrap w:val="0"/>
            <w:vAlign w:val="bottom"/>
          </w:tcPr>
          <w:p w14:paraId="16F77883">
            <w:pPr>
              <w:widowControl/>
              <w:jc w:val="center"/>
              <w:rPr>
                <w:rFonts w:hint="eastAsia" w:ascii="仿宋" w:hAnsi="仿宋" w:eastAsia="仿宋"/>
                <w:bCs/>
                <w:color w:val="000000"/>
                <w:szCs w:val="21"/>
              </w:rPr>
            </w:pPr>
            <w:r>
              <w:rPr>
                <w:rFonts w:hint="eastAsia" w:ascii="仿宋" w:hAnsi="仿宋" w:eastAsia="仿宋"/>
                <w:bCs/>
                <w:color w:val="000000"/>
                <w:szCs w:val="21"/>
              </w:rPr>
              <w:t>290</w:t>
            </w:r>
            <w:r>
              <w:rPr>
                <w:rFonts w:ascii="仿宋" w:hAnsi="仿宋" w:eastAsia="仿宋"/>
                <w:bCs/>
                <w:color w:val="000000"/>
                <w:szCs w:val="21"/>
              </w:rPr>
              <w:t>.</w:t>
            </w:r>
            <w:r>
              <w:rPr>
                <w:rFonts w:hint="eastAsia" w:ascii="仿宋" w:hAnsi="仿宋" w:eastAsia="仿宋"/>
                <w:bCs/>
                <w:color w:val="000000"/>
                <w:szCs w:val="21"/>
              </w:rPr>
              <w:t>0</w:t>
            </w:r>
            <w:r>
              <w:rPr>
                <w:rFonts w:ascii="仿宋" w:hAnsi="仿宋" w:eastAsia="仿宋"/>
                <w:bCs/>
                <w:color w:val="000000"/>
                <w:szCs w:val="21"/>
              </w:rPr>
              <w:t>0</w:t>
            </w:r>
          </w:p>
        </w:tc>
      </w:tr>
      <w:tr w14:paraId="289E7D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218DB522">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2694" w:type="dxa"/>
            <w:tcBorders>
              <w:top w:val="dotted" w:color="auto" w:sz="4" w:space="0"/>
              <w:bottom w:val="dotted" w:color="auto" w:sz="4" w:space="0"/>
            </w:tcBorders>
            <w:noWrap w:val="0"/>
            <w:vAlign w:val="top"/>
          </w:tcPr>
          <w:p w14:paraId="784F29A0">
            <w:pPr>
              <w:spacing w:line="560" w:lineRule="exact"/>
              <w:rPr>
                <w:rFonts w:hint="eastAsia" w:ascii="仿宋" w:hAnsi="仿宋" w:eastAsia="仿宋"/>
                <w:szCs w:val="21"/>
              </w:rPr>
            </w:pPr>
            <w:r>
              <w:rPr>
                <w:rFonts w:hint="eastAsia" w:ascii="仿宋" w:hAnsi="仿宋" w:eastAsia="仿宋"/>
                <w:szCs w:val="21"/>
              </w:rPr>
              <w:t>民政科</w:t>
            </w:r>
          </w:p>
        </w:tc>
        <w:tc>
          <w:tcPr>
            <w:tcW w:w="4394" w:type="dxa"/>
            <w:tcBorders>
              <w:top w:val="dotted" w:color="auto" w:sz="4" w:space="0"/>
              <w:bottom w:val="dotted" w:color="auto" w:sz="4" w:space="0"/>
            </w:tcBorders>
            <w:noWrap w:val="0"/>
            <w:vAlign w:val="top"/>
          </w:tcPr>
          <w:p w14:paraId="7107ABD7">
            <w:pPr>
              <w:spacing w:line="560" w:lineRule="exact"/>
              <w:rPr>
                <w:rFonts w:hint="eastAsia" w:ascii="仿宋" w:hAnsi="仿宋" w:eastAsia="仿宋"/>
                <w:szCs w:val="21"/>
              </w:rPr>
            </w:pPr>
            <w:r>
              <w:rPr>
                <w:rFonts w:hint="eastAsia" w:ascii="仿宋" w:hAnsi="仿宋" w:eastAsia="仿宋"/>
                <w:szCs w:val="21"/>
              </w:rPr>
              <w:t>残疾人两项补贴</w:t>
            </w:r>
          </w:p>
        </w:tc>
        <w:tc>
          <w:tcPr>
            <w:tcW w:w="1610" w:type="dxa"/>
            <w:tcBorders>
              <w:top w:val="dotted" w:color="auto" w:sz="4" w:space="0"/>
              <w:left w:val="nil"/>
              <w:bottom w:val="dotted" w:color="auto" w:sz="4" w:space="0"/>
              <w:right w:val="dotted" w:color="auto" w:sz="4" w:space="0"/>
            </w:tcBorders>
            <w:noWrap w:val="0"/>
            <w:vAlign w:val="bottom"/>
          </w:tcPr>
          <w:p w14:paraId="5722A95D">
            <w:pPr>
              <w:widowControl/>
              <w:jc w:val="center"/>
              <w:rPr>
                <w:rFonts w:hint="eastAsia" w:ascii="仿宋" w:hAnsi="仿宋" w:eastAsia="仿宋"/>
                <w:bCs/>
                <w:color w:val="000000"/>
                <w:szCs w:val="21"/>
              </w:rPr>
            </w:pPr>
            <w:r>
              <w:rPr>
                <w:rFonts w:hint="eastAsia" w:ascii="仿宋" w:hAnsi="仿宋" w:eastAsia="仿宋"/>
                <w:bCs/>
                <w:color w:val="000000"/>
                <w:szCs w:val="21"/>
              </w:rPr>
              <w:t>400</w:t>
            </w:r>
            <w:r>
              <w:rPr>
                <w:rFonts w:ascii="仿宋" w:hAnsi="仿宋" w:eastAsia="仿宋"/>
                <w:bCs/>
                <w:color w:val="000000"/>
                <w:szCs w:val="21"/>
              </w:rPr>
              <w:t>.</w:t>
            </w:r>
            <w:r>
              <w:rPr>
                <w:rFonts w:hint="eastAsia" w:ascii="仿宋" w:hAnsi="仿宋" w:eastAsia="仿宋"/>
                <w:bCs/>
                <w:color w:val="000000"/>
                <w:szCs w:val="21"/>
              </w:rPr>
              <w:t>0</w:t>
            </w:r>
            <w:r>
              <w:rPr>
                <w:rFonts w:ascii="仿宋" w:hAnsi="仿宋" w:eastAsia="仿宋"/>
                <w:bCs/>
                <w:color w:val="000000"/>
                <w:szCs w:val="21"/>
              </w:rPr>
              <w:t>0</w:t>
            </w:r>
          </w:p>
        </w:tc>
      </w:tr>
      <w:tr w14:paraId="293A984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7862436A">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2694" w:type="dxa"/>
            <w:tcBorders>
              <w:top w:val="dotted" w:color="auto" w:sz="4" w:space="0"/>
              <w:bottom w:val="dotted" w:color="auto" w:sz="4" w:space="0"/>
            </w:tcBorders>
            <w:noWrap w:val="0"/>
            <w:vAlign w:val="center"/>
          </w:tcPr>
          <w:p w14:paraId="3C4FE815">
            <w:pPr>
              <w:spacing w:line="560" w:lineRule="exact"/>
              <w:rPr>
                <w:rFonts w:hint="eastAsia" w:ascii="仿宋" w:hAnsi="仿宋" w:eastAsia="仿宋"/>
                <w:szCs w:val="21"/>
              </w:rPr>
            </w:pPr>
            <w:r>
              <w:rPr>
                <w:rFonts w:hint="eastAsia" w:ascii="仿宋" w:hAnsi="仿宋" w:eastAsia="仿宋"/>
                <w:szCs w:val="21"/>
              </w:rPr>
              <w:t>全响应</w:t>
            </w:r>
          </w:p>
        </w:tc>
        <w:tc>
          <w:tcPr>
            <w:tcW w:w="4394" w:type="dxa"/>
            <w:tcBorders>
              <w:top w:val="dotted" w:color="auto" w:sz="4" w:space="0"/>
              <w:bottom w:val="dotted" w:color="auto" w:sz="4" w:space="0"/>
            </w:tcBorders>
            <w:noWrap w:val="0"/>
            <w:vAlign w:val="top"/>
          </w:tcPr>
          <w:p w14:paraId="4F2195A8">
            <w:pPr>
              <w:spacing w:line="560" w:lineRule="exact"/>
              <w:rPr>
                <w:rFonts w:hint="eastAsia" w:ascii="仿宋" w:hAnsi="仿宋" w:eastAsia="仿宋"/>
                <w:szCs w:val="21"/>
              </w:rPr>
            </w:pPr>
            <w:r>
              <w:rPr>
                <w:rFonts w:hint="eastAsia" w:ascii="仿宋" w:hAnsi="仿宋" w:eastAsia="仿宋"/>
                <w:szCs w:val="21"/>
              </w:rPr>
              <w:t>月坛街道移动办公经费</w:t>
            </w:r>
          </w:p>
        </w:tc>
        <w:tc>
          <w:tcPr>
            <w:tcW w:w="1610" w:type="dxa"/>
            <w:tcBorders>
              <w:top w:val="dotted" w:color="auto" w:sz="4" w:space="0"/>
              <w:left w:val="nil"/>
              <w:bottom w:val="dotted" w:color="auto" w:sz="4" w:space="0"/>
              <w:right w:val="dotted" w:color="auto" w:sz="4" w:space="0"/>
            </w:tcBorders>
            <w:noWrap w:val="0"/>
            <w:vAlign w:val="bottom"/>
          </w:tcPr>
          <w:p w14:paraId="27E1E57D">
            <w:pPr>
              <w:widowControl/>
              <w:jc w:val="center"/>
              <w:rPr>
                <w:rFonts w:hint="eastAsia" w:ascii="仿宋" w:hAnsi="仿宋" w:eastAsia="仿宋"/>
                <w:bCs/>
                <w:color w:val="000000"/>
                <w:szCs w:val="21"/>
              </w:rPr>
            </w:pPr>
            <w:r>
              <w:rPr>
                <w:rFonts w:hint="eastAsia" w:ascii="仿宋" w:hAnsi="仿宋" w:eastAsia="仿宋"/>
                <w:bCs/>
                <w:color w:val="000000"/>
                <w:szCs w:val="21"/>
              </w:rPr>
              <w:t>201</w:t>
            </w:r>
            <w:r>
              <w:rPr>
                <w:rFonts w:ascii="仿宋" w:hAnsi="仿宋" w:eastAsia="仿宋"/>
                <w:bCs/>
                <w:color w:val="000000"/>
                <w:szCs w:val="21"/>
              </w:rPr>
              <w:t>.00</w:t>
            </w:r>
          </w:p>
        </w:tc>
      </w:tr>
      <w:tr w14:paraId="14A484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24F0D4B4">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2694" w:type="dxa"/>
            <w:tcBorders>
              <w:top w:val="dotted" w:color="auto" w:sz="4" w:space="0"/>
              <w:bottom w:val="dotted" w:color="auto" w:sz="4" w:space="0"/>
            </w:tcBorders>
            <w:noWrap w:val="0"/>
            <w:vAlign w:val="top"/>
          </w:tcPr>
          <w:p w14:paraId="7BB7C208">
            <w:pPr>
              <w:spacing w:line="560" w:lineRule="exact"/>
              <w:rPr>
                <w:rFonts w:ascii="仿宋" w:hAnsi="仿宋" w:eastAsia="仿宋"/>
                <w:szCs w:val="21"/>
              </w:rPr>
            </w:pPr>
            <w:r>
              <w:rPr>
                <w:rFonts w:hint="eastAsia" w:ascii="仿宋" w:hAnsi="仿宋" w:eastAsia="仿宋"/>
                <w:szCs w:val="21"/>
              </w:rPr>
              <w:t>全响应</w:t>
            </w:r>
          </w:p>
        </w:tc>
        <w:tc>
          <w:tcPr>
            <w:tcW w:w="4394" w:type="dxa"/>
            <w:tcBorders>
              <w:top w:val="dotted" w:color="auto" w:sz="4" w:space="0"/>
              <w:bottom w:val="dotted" w:color="auto" w:sz="4" w:space="0"/>
            </w:tcBorders>
            <w:noWrap w:val="0"/>
            <w:vAlign w:val="top"/>
          </w:tcPr>
          <w:p w14:paraId="6724AC57">
            <w:pPr>
              <w:spacing w:line="560" w:lineRule="exact"/>
              <w:rPr>
                <w:rFonts w:hint="eastAsia" w:ascii="仿宋" w:hAnsi="仿宋" w:eastAsia="仿宋"/>
                <w:szCs w:val="21"/>
              </w:rPr>
            </w:pPr>
            <w:r>
              <w:rPr>
                <w:rFonts w:hint="eastAsia" w:ascii="仿宋" w:hAnsi="仿宋" w:eastAsia="仿宋"/>
                <w:szCs w:val="21"/>
              </w:rPr>
              <w:t>机关及社区购计算机设备及软件</w:t>
            </w:r>
          </w:p>
        </w:tc>
        <w:tc>
          <w:tcPr>
            <w:tcW w:w="1610" w:type="dxa"/>
            <w:tcBorders>
              <w:top w:val="dotted" w:color="auto" w:sz="4" w:space="0"/>
              <w:left w:val="nil"/>
              <w:bottom w:val="dotted" w:color="auto" w:sz="4" w:space="0"/>
              <w:right w:val="dotted" w:color="auto" w:sz="4" w:space="0"/>
            </w:tcBorders>
            <w:noWrap w:val="0"/>
            <w:vAlign w:val="bottom"/>
          </w:tcPr>
          <w:p w14:paraId="3A802511">
            <w:pPr>
              <w:widowControl/>
              <w:jc w:val="center"/>
              <w:rPr>
                <w:rFonts w:hint="eastAsia" w:ascii="仿宋" w:hAnsi="仿宋" w:eastAsia="仿宋"/>
                <w:bCs/>
                <w:color w:val="000000"/>
                <w:szCs w:val="21"/>
              </w:rPr>
            </w:pPr>
            <w:r>
              <w:rPr>
                <w:rFonts w:hint="eastAsia" w:ascii="仿宋" w:hAnsi="仿宋" w:eastAsia="仿宋"/>
                <w:bCs/>
                <w:color w:val="000000"/>
                <w:szCs w:val="21"/>
              </w:rPr>
              <w:t>113</w:t>
            </w:r>
            <w:r>
              <w:rPr>
                <w:rFonts w:ascii="仿宋" w:hAnsi="仿宋" w:eastAsia="仿宋"/>
                <w:bCs/>
                <w:color w:val="000000"/>
                <w:szCs w:val="21"/>
              </w:rPr>
              <w:t>.</w:t>
            </w:r>
            <w:r>
              <w:rPr>
                <w:rFonts w:hint="eastAsia" w:ascii="仿宋" w:hAnsi="仿宋" w:eastAsia="仿宋"/>
                <w:bCs/>
                <w:color w:val="000000"/>
                <w:szCs w:val="21"/>
              </w:rPr>
              <w:t>4</w:t>
            </w:r>
            <w:r>
              <w:rPr>
                <w:rFonts w:ascii="仿宋" w:hAnsi="仿宋" w:eastAsia="仿宋"/>
                <w:bCs/>
                <w:color w:val="000000"/>
                <w:szCs w:val="21"/>
              </w:rPr>
              <w:t>3</w:t>
            </w:r>
          </w:p>
        </w:tc>
      </w:tr>
      <w:tr w14:paraId="66ABA7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70902966">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2694" w:type="dxa"/>
            <w:tcBorders>
              <w:top w:val="dotted" w:color="auto" w:sz="4" w:space="0"/>
              <w:bottom w:val="dotted" w:color="auto" w:sz="4" w:space="0"/>
            </w:tcBorders>
            <w:noWrap w:val="0"/>
            <w:vAlign w:val="top"/>
          </w:tcPr>
          <w:p w14:paraId="3004BE36">
            <w:pPr>
              <w:spacing w:line="560" w:lineRule="exact"/>
              <w:rPr>
                <w:rFonts w:hint="eastAsia" w:ascii="仿宋" w:hAnsi="仿宋" w:eastAsia="仿宋"/>
                <w:szCs w:val="21"/>
              </w:rPr>
            </w:pPr>
            <w:r>
              <w:rPr>
                <w:rFonts w:hint="eastAsia" w:ascii="仿宋" w:hAnsi="仿宋" w:eastAsia="仿宋"/>
                <w:szCs w:val="21"/>
              </w:rPr>
              <w:t>社保所</w:t>
            </w:r>
          </w:p>
        </w:tc>
        <w:tc>
          <w:tcPr>
            <w:tcW w:w="4394" w:type="dxa"/>
            <w:tcBorders>
              <w:top w:val="dotted" w:color="auto" w:sz="4" w:space="0"/>
              <w:bottom w:val="dotted" w:color="auto" w:sz="4" w:space="0"/>
            </w:tcBorders>
            <w:noWrap w:val="0"/>
            <w:vAlign w:val="top"/>
          </w:tcPr>
          <w:p w14:paraId="410D090B">
            <w:pPr>
              <w:spacing w:line="560" w:lineRule="exact"/>
              <w:rPr>
                <w:rFonts w:hint="eastAsia" w:ascii="仿宋" w:hAnsi="仿宋" w:eastAsia="仿宋"/>
                <w:szCs w:val="21"/>
              </w:rPr>
            </w:pPr>
            <w:r>
              <w:rPr>
                <w:rFonts w:hint="eastAsia" w:ascii="仿宋" w:hAnsi="仿宋" w:eastAsia="仿宋"/>
                <w:szCs w:val="21"/>
              </w:rPr>
              <w:t>公益性就业组织岗位补贴经费</w:t>
            </w:r>
          </w:p>
        </w:tc>
        <w:tc>
          <w:tcPr>
            <w:tcW w:w="1610" w:type="dxa"/>
            <w:tcBorders>
              <w:top w:val="dotted" w:color="auto" w:sz="4" w:space="0"/>
              <w:left w:val="nil"/>
              <w:bottom w:val="dotted" w:color="auto" w:sz="4" w:space="0"/>
              <w:right w:val="dotted" w:color="auto" w:sz="4" w:space="0"/>
            </w:tcBorders>
            <w:noWrap w:val="0"/>
            <w:vAlign w:val="bottom"/>
          </w:tcPr>
          <w:p w14:paraId="396973DD">
            <w:pPr>
              <w:widowControl/>
              <w:jc w:val="center"/>
              <w:rPr>
                <w:rFonts w:hint="eastAsia" w:ascii="仿宋" w:hAnsi="仿宋" w:eastAsia="仿宋"/>
                <w:bCs/>
                <w:color w:val="000000"/>
                <w:szCs w:val="21"/>
              </w:rPr>
            </w:pPr>
            <w:r>
              <w:rPr>
                <w:rFonts w:hint="eastAsia" w:ascii="仿宋" w:hAnsi="仿宋" w:eastAsia="仿宋"/>
                <w:bCs/>
                <w:color w:val="000000"/>
                <w:szCs w:val="21"/>
              </w:rPr>
              <w:t>500</w:t>
            </w:r>
            <w:r>
              <w:rPr>
                <w:rFonts w:ascii="仿宋" w:hAnsi="仿宋" w:eastAsia="仿宋"/>
                <w:bCs/>
                <w:color w:val="000000"/>
                <w:szCs w:val="21"/>
              </w:rPr>
              <w:t>.</w:t>
            </w:r>
            <w:r>
              <w:rPr>
                <w:rFonts w:hint="eastAsia" w:ascii="仿宋" w:hAnsi="仿宋" w:eastAsia="仿宋"/>
                <w:bCs/>
                <w:color w:val="000000"/>
                <w:szCs w:val="21"/>
              </w:rPr>
              <w:t>00</w:t>
            </w:r>
          </w:p>
        </w:tc>
      </w:tr>
      <w:tr w14:paraId="17D700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68385E35">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2694" w:type="dxa"/>
            <w:tcBorders>
              <w:top w:val="dotted" w:color="auto" w:sz="4" w:space="0"/>
              <w:bottom w:val="dotted" w:color="auto" w:sz="4" w:space="0"/>
            </w:tcBorders>
            <w:noWrap w:val="0"/>
            <w:vAlign w:val="center"/>
          </w:tcPr>
          <w:p w14:paraId="7ADF8A87">
            <w:pPr>
              <w:spacing w:line="560" w:lineRule="exact"/>
              <w:rPr>
                <w:rFonts w:hint="eastAsia" w:ascii="仿宋" w:hAnsi="仿宋" w:eastAsia="仿宋"/>
                <w:szCs w:val="21"/>
              </w:rPr>
            </w:pPr>
            <w:r>
              <w:rPr>
                <w:rFonts w:hint="eastAsia" w:ascii="仿宋" w:hAnsi="仿宋" w:eastAsia="仿宋"/>
                <w:szCs w:val="21"/>
              </w:rPr>
              <w:t>社保所</w:t>
            </w:r>
          </w:p>
        </w:tc>
        <w:tc>
          <w:tcPr>
            <w:tcW w:w="4394" w:type="dxa"/>
            <w:tcBorders>
              <w:top w:val="dotted" w:color="auto" w:sz="4" w:space="0"/>
              <w:bottom w:val="dotted" w:color="auto" w:sz="4" w:space="0"/>
            </w:tcBorders>
            <w:noWrap w:val="0"/>
            <w:vAlign w:val="top"/>
          </w:tcPr>
          <w:p w14:paraId="5D594FAA">
            <w:pPr>
              <w:spacing w:line="560" w:lineRule="exact"/>
              <w:rPr>
                <w:rFonts w:hint="eastAsia" w:ascii="仿宋" w:hAnsi="仿宋" w:eastAsia="仿宋"/>
                <w:szCs w:val="21"/>
              </w:rPr>
            </w:pPr>
            <w:r>
              <w:rPr>
                <w:rFonts w:hint="eastAsia" w:ascii="仿宋" w:hAnsi="仿宋" w:eastAsia="仿宋"/>
                <w:szCs w:val="21"/>
              </w:rPr>
              <w:t>低保、低收入医疗救助金</w:t>
            </w:r>
          </w:p>
        </w:tc>
        <w:tc>
          <w:tcPr>
            <w:tcW w:w="1610" w:type="dxa"/>
            <w:tcBorders>
              <w:top w:val="dotted" w:color="auto" w:sz="4" w:space="0"/>
              <w:left w:val="nil"/>
              <w:bottom w:val="dotted" w:color="auto" w:sz="4" w:space="0"/>
              <w:right w:val="dotted" w:color="auto" w:sz="4" w:space="0"/>
            </w:tcBorders>
            <w:noWrap w:val="0"/>
            <w:vAlign w:val="bottom"/>
          </w:tcPr>
          <w:p w14:paraId="787FBC62">
            <w:pPr>
              <w:widowControl/>
              <w:jc w:val="center"/>
              <w:rPr>
                <w:rFonts w:hint="eastAsia" w:ascii="仿宋" w:hAnsi="仿宋" w:eastAsia="仿宋"/>
                <w:bCs/>
                <w:color w:val="000000"/>
                <w:szCs w:val="21"/>
              </w:rPr>
            </w:pPr>
            <w:r>
              <w:rPr>
                <w:rFonts w:hint="eastAsia" w:ascii="仿宋" w:hAnsi="仿宋" w:eastAsia="仿宋"/>
                <w:bCs/>
                <w:color w:val="000000"/>
                <w:szCs w:val="21"/>
              </w:rPr>
              <w:t>220</w:t>
            </w:r>
            <w:r>
              <w:rPr>
                <w:rFonts w:ascii="仿宋" w:hAnsi="仿宋" w:eastAsia="仿宋"/>
                <w:bCs/>
                <w:color w:val="000000"/>
                <w:szCs w:val="21"/>
              </w:rPr>
              <w:t>.00</w:t>
            </w:r>
          </w:p>
        </w:tc>
      </w:tr>
      <w:tr w14:paraId="17695B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2DC7955E">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14</w:t>
            </w:r>
          </w:p>
        </w:tc>
        <w:tc>
          <w:tcPr>
            <w:tcW w:w="2694" w:type="dxa"/>
            <w:tcBorders>
              <w:top w:val="dotted" w:color="auto" w:sz="4" w:space="0"/>
              <w:bottom w:val="dotted" w:color="auto" w:sz="4" w:space="0"/>
            </w:tcBorders>
            <w:noWrap w:val="0"/>
            <w:vAlign w:val="top"/>
          </w:tcPr>
          <w:p w14:paraId="3F27AB7A">
            <w:pPr>
              <w:spacing w:line="560" w:lineRule="exact"/>
              <w:rPr>
                <w:rFonts w:hint="eastAsia" w:ascii="仿宋" w:hAnsi="仿宋" w:eastAsia="仿宋"/>
                <w:szCs w:val="21"/>
              </w:rPr>
            </w:pPr>
            <w:r>
              <w:rPr>
                <w:rFonts w:hint="eastAsia" w:ascii="仿宋" w:hAnsi="仿宋" w:eastAsia="仿宋"/>
                <w:szCs w:val="21"/>
              </w:rPr>
              <w:t>社保所</w:t>
            </w:r>
          </w:p>
        </w:tc>
        <w:tc>
          <w:tcPr>
            <w:tcW w:w="4394" w:type="dxa"/>
            <w:tcBorders>
              <w:top w:val="dotted" w:color="auto" w:sz="4" w:space="0"/>
              <w:bottom w:val="dotted" w:color="auto" w:sz="4" w:space="0"/>
            </w:tcBorders>
            <w:noWrap w:val="0"/>
            <w:vAlign w:val="top"/>
          </w:tcPr>
          <w:p w14:paraId="262DDB21">
            <w:pPr>
              <w:spacing w:line="560" w:lineRule="exact"/>
              <w:rPr>
                <w:rFonts w:hint="eastAsia" w:ascii="仿宋" w:hAnsi="仿宋" w:eastAsia="仿宋"/>
                <w:szCs w:val="21"/>
              </w:rPr>
            </w:pPr>
            <w:r>
              <w:rPr>
                <w:rFonts w:hint="eastAsia" w:ascii="仿宋" w:hAnsi="仿宋" w:eastAsia="仿宋"/>
                <w:szCs w:val="21"/>
              </w:rPr>
              <w:t>退养人员二次报销药费</w:t>
            </w:r>
          </w:p>
        </w:tc>
        <w:tc>
          <w:tcPr>
            <w:tcW w:w="1610" w:type="dxa"/>
            <w:tcBorders>
              <w:top w:val="dotted" w:color="auto" w:sz="4" w:space="0"/>
              <w:left w:val="nil"/>
              <w:bottom w:val="dotted" w:color="auto" w:sz="4" w:space="0"/>
              <w:right w:val="dotted" w:color="auto" w:sz="4" w:space="0"/>
            </w:tcBorders>
            <w:noWrap w:val="0"/>
            <w:vAlign w:val="bottom"/>
          </w:tcPr>
          <w:p w14:paraId="6FDDD6A4">
            <w:pPr>
              <w:widowControl/>
              <w:jc w:val="center"/>
              <w:rPr>
                <w:rFonts w:hint="eastAsia" w:ascii="仿宋" w:hAnsi="仿宋" w:eastAsia="仿宋"/>
                <w:bCs/>
                <w:color w:val="000000"/>
                <w:szCs w:val="21"/>
              </w:rPr>
            </w:pPr>
            <w:r>
              <w:rPr>
                <w:rFonts w:hint="eastAsia" w:ascii="仿宋" w:hAnsi="仿宋" w:eastAsia="仿宋"/>
                <w:bCs/>
                <w:color w:val="000000"/>
                <w:szCs w:val="21"/>
              </w:rPr>
              <w:t>170</w:t>
            </w:r>
            <w:r>
              <w:rPr>
                <w:rFonts w:ascii="仿宋" w:hAnsi="仿宋" w:eastAsia="仿宋"/>
                <w:bCs/>
                <w:color w:val="000000"/>
                <w:szCs w:val="21"/>
              </w:rPr>
              <w:t>.</w:t>
            </w:r>
            <w:r>
              <w:rPr>
                <w:rFonts w:hint="eastAsia" w:ascii="仿宋" w:hAnsi="仿宋" w:eastAsia="仿宋"/>
                <w:bCs/>
                <w:color w:val="000000"/>
                <w:szCs w:val="21"/>
              </w:rPr>
              <w:t>00</w:t>
            </w:r>
          </w:p>
        </w:tc>
      </w:tr>
      <w:tr w14:paraId="59BAF4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4E7EA551">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2694" w:type="dxa"/>
            <w:tcBorders>
              <w:top w:val="dotted" w:color="auto" w:sz="4" w:space="0"/>
              <w:bottom w:val="dotted" w:color="auto" w:sz="4" w:space="0"/>
            </w:tcBorders>
            <w:noWrap w:val="0"/>
            <w:vAlign w:val="top"/>
          </w:tcPr>
          <w:p w14:paraId="3E094767">
            <w:pPr>
              <w:spacing w:line="560" w:lineRule="exact"/>
              <w:rPr>
                <w:rFonts w:ascii="仿宋" w:hAnsi="仿宋" w:eastAsia="仿宋"/>
                <w:szCs w:val="21"/>
              </w:rPr>
            </w:pPr>
            <w:r>
              <w:rPr>
                <w:rFonts w:hint="eastAsia" w:ascii="仿宋" w:hAnsi="仿宋" w:eastAsia="仿宋"/>
                <w:szCs w:val="21"/>
              </w:rPr>
              <w:t>社区办</w:t>
            </w:r>
          </w:p>
        </w:tc>
        <w:tc>
          <w:tcPr>
            <w:tcW w:w="4394" w:type="dxa"/>
            <w:tcBorders>
              <w:top w:val="dotted" w:color="auto" w:sz="4" w:space="0"/>
              <w:bottom w:val="dotted" w:color="auto" w:sz="4" w:space="0"/>
            </w:tcBorders>
            <w:noWrap w:val="0"/>
            <w:vAlign w:val="top"/>
          </w:tcPr>
          <w:p w14:paraId="21C6E029">
            <w:pPr>
              <w:spacing w:line="560" w:lineRule="exact"/>
              <w:rPr>
                <w:rFonts w:hint="eastAsia" w:ascii="仿宋" w:hAnsi="仿宋" w:eastAsia="仿宋"/>
                <w:szCs w:val="21"/>
              </w:rPr>
            </w:pPr>
            <w:r>
              <w:rPr>
                <w:rFonts w:hint="eastAsia" w:ascii="仿宋" w:hAnsi="仿宋" w:eastAsia="仿宋"/>
                <w:szCs w:val="21"/>
              </w:rPr>
              <w:t>基层政权和社区建设经费</w:t>
            </w:r>
          </w:p>
        </w:tc>
        <w:tc>
          <w:tcPr>
            <w:tcW w:w="1610" w:type="dxa"/>
            <w:tcBorders>
              <w:top w:val="dotted" w:color="auto" w:sz="4" w:space="0"/>
              <w:left w:val="nil"/>
              <w:bottom w:val="dotted" w:color="auto" w:sz="4" w:space="0"/>
              <w:right w:val="dotted" w:color="auto" w:sz="4" w:space="0"/>
            </w:tcBorders>
            <w:noWrap w:val="0"/>
            <w:vAlign w:val="bottom"/>
          </w:tcPr>
          <w:p w14:paraId="2927E9ED">
            <w:pPr>
              <w:widowControl/>
              <w:jc w:val="center"/>
              <w:rPr>
                <w:rFonts w:hint="eastAsia" w:ascii="仿宋" w:hAnsi="仿宋" w:eastAsia="仿宋"/>
                <w:bCs/>
                <w:color w:val="000000"/>
                <w:szCs w:val="21"/>
              </w:rPr>
            </w:pPr>
            <w:r>
              <w:rPr>
                <w:rFonts w:hint="eastAsia" w:ascii="仿宋" w:hAnsi="仿宋" w:eastAsia="仿宋"/>
                <w:bCs/>
                <w:color w:val="000000"/>
                <w:szCs w:val="21"/>
              </w:rPr>
              <w:t>118</w:t>
            </w:r>
            <w:r>
              <w:rPr>
                <w:rFonts w:ascii="仿宋" w:hAnsi="仿宋" w:eastAsia="仿宋"/>
                <w:bCs/>
                <w:color w:val="000000"/>
                <w:szCs w:val="21"/>
              </w:rPr>
              <w:t>.00</w:t>
            </w:r>
          </w:p>
        </w:tc>
      </w:tr>
      <w:tr w14:paraId="08381D1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7091FC8D">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16</w:t>
            </w:r>
          </w:p>
        </w:tc>
        <w:tc>
          <w:tcPr>
            <w:tcW w:w="2694" w:type="dxa"/>
            <w:tcBorders>
              <w:top w:val="dotted" w:color="auto" w:sz="4" w:space="0"/>
              <w:bottom w:val="dotted" w:color="auto" w:sz="4" w:space="0"/>
            </w:tcBorders>
            <w:noWrap w:val="0"/>
            <w:vAlign w:val="top"/>
          </w:tcPr>
          <w:p w14:paraId="7559212D">
            <w:pPr>
              <w:spacing w:line="560" w:lineRule="exact"/>
              <w:rPr>
                <w:rFonts w:hint="eastAsia" w:ascii="仿宋" w:hAnsi="仿宋" w:eastAsia="仿宋"/>
                <w:szCs w:val="21"/>
              </w:rPr>
            </w:pPr>
            <w:r>
              <w:rPr>
                <w:rFonts w:hint="eastAsia" w:ascii="仿宋" w:hAnsi="仿宋" w:eastAsia="仿宋"/>
                <w:szCs w:val="21"/>
              </w:rPr>
              <w:t>社区办</w:t>
            </w:r>
          </w:p>
        </w:tc>
        <w:tc>
          <w:tcPr>
            <w:tcW w:w="4394" w:type="dxa"/>
            <w:tcBorders>
              <w:top w:val="dotted" w:color="auto" w:sz="4" w:space="0"/>
              <w:bottom w:val="dotted" w:color="auto" w:sz="4" w:space="0"/>
            </w:tcBorders>
            <w:noWrap w:val="0"/>
            <w:vAlign w:val="top"/>
          </w:tcPr>
          <w:p w14:paraId="42BD6F3F">
            <w:pPr>
              <w:spacing w:line="560" w:lineRule="exact"/>
              <w:rPr>
                <w:rFonts w:hint="eastAsia" w:ascii="仿宋" w:hAnsi="仿宋" w:eastAsia="仿宋"/>
                <w:szCs w:val="21"/>
              </w:rPr>
            </w:pPr>
            <w:r>
              <w:rPr>
                <w:rFonts w:hint="eastAsia" w:ascii="仿宋" w:hAnsi="仿宋" w:eastAsia="仿宋"/>
                <w:szCs w:val="21"/>
              </w:rPr>
              <w:t>社区公益事业专项补助资金</w:t>
            </w:r>
          </w:p>
        </w:tc>
        <w:tc>
          <w:tcPr>
            <w:tcW w:w="1610" w:type="dxa"/>
            <w:tcBorders>
              <w:top w:val="dotted" w:color="auto" w:sz="4" w:space="0"/>
              <w:left w:val="nil"/>
              <w:bottom w:val="dotted" w:color="auto" w:sz="4" w:space="0"/>
              <w:right w:val="dotted" w:color="auto" w:sz="4" w:space="0"/>
            </w:tcBorders>
            <w:noWrap w:val="0"/>
            <w:vAlign w:val="bottom"/>
          </w:tcPr>
          <w:p w14:paraId="388B23AA">
            <w:pPr>
              <w:widowControl/>
              <w:jc w:val="center"/>
              <w:rPr>
                <w:rFonts w:hint="eastAsia" w:ascii="仿宋" w:hAnsi="仿宋" w:eastAsia="仿宋"/>
                <w:bCs/>
                <w:color w:val="000000"/>
                <w:szCs w:val="21"/>
              </w:rPr>
            </w:pPr>
            <w:r>
              <w:rPr>
                <w:rFonts w:hint="eastAsia" w:ascii="仿宋" w:hAnsi="仿宋" w:eastAsia="仿宋"/>
                <w:bCs/>
                <w:color w:val="000000"/>
                <w:szCs w:val="21"/>
              </w:rPr>
              <w:t>223</w:t>
            </w:r>
            <w:r>
              <w:rPr>
                <w:rFonts w:ascii="仿宋" w:hAnsi="仿宋" w:eastAsia="仿宋"/>
                <w:bCs/>
                <w:color w:val="000000"/>
                <w:szCs w:val="21"/>
              </w:rPr>
              <w:t>.5</w:t>
            </w:r>
            <w:r>
              <w:rPr>
                <w:rFonts w:hint="eastAsia" w:ascii="仿宋" w:hAnsi="仿宋" w:eastAsia="仿宋"/>
                <w:bCs/>
                <w:color w:val="000000"/>
                <w:szCs w:val="21"/>
              </w:rPr>
              <w:t>7</w:t>
            </w:r>
          </w:p>
        </w:tc>
      </w:tr>
      <w:tr w14:paraId="5654A0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4DA611CB">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17</w:t>
            </w:r>
          </w:p>
        </w:tc>
        <w:tc>
          <w:tcPr>
            <w:tcW w:w="2694" w:type="dxa"/>
            <w:tcBorders>
              <w:top w:val="dotted" w:color="auto" w:sz="4" w:space="0"/>
              <w:bottom w:val="dotted" w:color="auto" w:sz="4" w:space="0"/>
            </w:tcBorders>
            <w:noWrap w:val="0"/>
            <w:vAlign w:val="top"/>
          </w:tcPr>
          <w:p w14:paraId="0B0243CE">
            <w:pPr>
              <w:spacing w:line="560" w:lineRule="exact"/>
              <w:rPr>
                <w:rFonts w:hint="eastAsia" w:ascii="仿宋" w:hAnsi="仿宋" w:eastAsia="仿宋"/>
                <w:szCs w:val="21"/>
              </w:rPr>
            </w:pPr>
            <w:r>
              <w:rPr>
                <w:rFonts w:hint="eastAsia" w:ascii="仿宋" w:hAnsi="仿宋" w:eastAsia="仿宋"/>
                <w:szCs w:val="21"/>
              </w:rPr>
              <w:t>社区服务中心</w:t>
            </w:r>
          </w:p>
        </w:tc>
        <w:tc>
          <w:tcPr>
            <w:tcW w:w="4394" w:type="dxa"/>
            <w:tcBorders>
              <w:top w:val="dotted" w:color="auto" w:sz="4" w:space="0"/>
              <w:bottom w:val="dotted" w:color="auto" w:sz="4" w:space="0"/>
            </w:tcBorders>
            <w:noWrap w:val="0"/>
            <w:vAlign w:val="top"/>
          </w:tcPr>
          <w:p w14:paraId="2D07BC76">
            <w:pPr>
              <w:spacing w:line="560" w:lineRule="exact"/>
              <w:rPr>
                <w:rFonts w:hint="eastAsia" w:ascii="仿宋" w:hAnsi="仿宋" w:eastAsia="仿宋"/>
                <w:szCs w:val="21"/>
              </w:rPr>
            </w:pPr>
            <w:r>
              <w:rPr>
                <w:rFonts w:hint="eastAsia" w:ascii="仿宋" w:hAnsi="仿宋" w:eastAsia="仿宋"/>
                <w:szCs w:val="21"/>
              </w:rPr>
              <w:t>月坛地区文化养老经费</w:t>
            </w:r>
          </w:p>
        </w:tc>
        <w:tc>
          <w:tcPr>
            <w:tcW w:w="1610" w:type="dxa"/>
            <w:tcBorders>
              <w:top w:val="dotted" w:color="auto" w:sz="4" w:space="0"/>
              <w:left w:val="nil"/>
              <w:bottom w:val="dotted" w:color="auto" w:sz="4" w:space="0"/>
              <w:right w:val="dotted" w:color="auto" w:sz="4" w:space="0"/>
            </w:tcBorders>
            <w:noWrap w:val="0"/>
            <w:vAlign w:val="bottom"/>
          </w:tcPr>
          <w:p w14:paraId="5DD0D4B4">
            <w:pPr>
              <w:widowControl/>
              <w:jc w:val="center"/>
              <w:rPr>
                <w:rFonts w:hint="eastAsia" w:ascii="仿宋" w:hAnsi="仿宋" w:eastAsia="仿宋"/>
                <w:bCs/>
                <w:color w:val="000000"/>
                <w:szCs w:val="21"/>
              </w:rPr>
            </w:pPr>
            <w:r>
              <w:rPr>
                <w:rFonts w:hint="eastAsia" w:ascii="仿宋" w:hAnsi="仿宋" w:eastAsia="仿宋"/>
                <w:bCs/>
                <w:color w:val="000000"/>
                <w:szCs w:val="21"/>
              </w:rPr>
              <w:t>217</w:t>
            </w:r>
            <w:r>
              <w:rPr>
                <w:rFonts w:ascii="仿宋" w:hAnsi="仿宋" w:eastAsia="仿宋"/>
                <w:bCs/>
                <w:color w:val="000000"/>
                <w:szCs w:val="21"/>
              </w:rPr>
              <w:t>.</w:t>
            </w:r>
            <w:r>
              <w:rPr>
                <w:rFonts w:hint="eastAsia" w:ascii="仿宋" w:hAnsi="仿宋" w:eastAsia="仿宋"/>
                <w:bCs/>
                <w:color w:val="000000"/>
                <w:szCs w:val="21"/>
              </w:rPr>
              <w:t>87</w:t>
            </w:r>
          </w:p>
        </w:tc>
      </w:tr>
      <w:tr w14:paraId="229414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62B17730">
            <w:pPr>
              <w:widowControl/>
              <w:spacing w:line="56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2694" w:type="dxa"/>
            <w:tcBorders>
              <w:top w:val="dotted" w:color="auto" w:sz="4" w:space="0"/>
              <w:bottom w:val="dotted" w:color="auto" w:sz="4" w:space="0"/>
            </w:tcBorders>
            <w:noWrap w:val="0"/>
            <w:vAlign w:val="top"/>
          </w:tcPr>
          <w:p w14:paraId="5E0334B3">
            <w:pPr>
              <w:spacing w:line="560" w:lineRule="exact"/>
              <w:rPr>
                <w:rFonts w:hint="eastAsia" w:ascii="仿宋" w:hAnsi="仿宋" w:eastAsia="仿宋"/>
                <w:szCs w:val="21"/>
              </w:rPr>
            </w:pPr>
            <w:r>
              <w:rPr>
                <w:rFonts w:hint="eastAsia" w:ascii="仿宋" w:hAnsi="仿宋" w:eastAsia="仿宋"/>
                <w:szCs w:val="21"/>
              </w:rPr>
              <w:t>文化科</w:t>
            </w:r>
          </w:p>
        </w:tc>
        <w:tc>
          <w:tcPr>
            <w:tcW w:w="4394" w:type="dxa"/>
            <w:tcBorders>
              <w:top w:val="dotted" w:color="auto" w:sz="4" w:space="0"/>
              <w:bottom w:val="dotted" w:color="auto" w:sz="4" w:space="0"/>
            </w:tcBorders>
            <w:noWrap w:val="0"/>
            <w:vAlign w:val="top"/>
          </w:tcPr>
          <w:p w14:paraId="22580C50">
            <w:pPr>
              <w:spacing w:line="560" w:lineRule="exact"/>
              <w:rPr>
                <w:rFonts w:hint="eastAsia" w:ascii="仿宋" w:hAnsi="仿宋" w:eastAsia="仿宋"/>
                <w:szCs w:val="21"/>
              </w:rPr>
            </w:pPr>
            <w:r>
              <w:rPr>
                <w:rFonts w:hint="eastAsia" w:ascii="仿宋" w:hAnsi="仿宋" w:eastAsia="仿宋"/>
                <w:szCs w:val="21"/>
              </w:rPr>
              <w:t>社区教育经费</w:t>
            </w:r>
          </w:p>
        </w:tc>
        <w:tc>
          <w:tcPr>
            <w:tcW w:w="1610" w:type="dxa"/>
            <w:tcBorders>
              <w:top w:val="dotted" w:color="auto" w:sz="4" w:space="0"/>
              <w:left w:val="nil"/>
              <w:bottom w:val="dotted" w:color="auto" w:sz="4" w:space="0"/>
              <w:right w:val="dotted" w:color="auto" w:sz="4" w:space="0"/>
            </w:tcBorders>
            <w:noWrap w:val="0"/>
            <w:vAlign w:val="center"/>
          </w:tcPr>
          <w:p w14:paraId="5CD73742">
            <w:pPr>
              <w:jc w:val="center"/>
              <w:rPr>
                <w:rFonts w:hint="eastAsia" w:ascii="仿宋" w:hAnsi="仿宋" w:eastAsia="仿宋"/>
                <w:bCs/>
                <w:color w:val="000000"/>
                <w:szCs w:val="21"/>
              </w:rPr>
            </w:pPr>
            <w:r>
              <w:rPr>
                <w:rFonts w:hint="eastAsia" w:ascii="仿宋" w:hAnsi="仿宋" w:eastAsia="仿宋"/>
                <w:bCs/>
                <w:color w:val="000000"/>
                <w:szCs w:val="21"/>
              </w:rPr>
              <w:t>112.00</w:t>
            </w:r>
          </w:p>
        </w:tc>
      </w:tr>
      <w:tr w14:paraId="651760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263322A9">
            <w:pPr>
              <w:widowControl/>
              <w:spacing w:line="560" w:lineRule="exact"/>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19</w:t>
            </w:r>
          </w:p>
        </w:tc>
        <w:tc>
          <w:tcPr>
            <w:tcW w:w="2694" w:type="dxa"/>
            <w:tcBorders>
              <w:top w:val="dotted" w:color="auto" w:sz="4" w:space="0"/>
              <w:bottom w:val="dotted" w:color="auto" w:sz="4" w:space="0"/>
            </w:tcBorders>
            <w:noWrap w:val="0"/>
            <w:vAlign w:val="top"/>
          </w:tcPr>
          <w:p w14:paraId="37A0B9F4">
            <w:pPr>
              <w:spacing w:line="560" w:lineRule="exact"/>
              <w:rPr>
                <w:rFonts w:hint="eastAsia" w:ascii="仿宋" w:hAnsi="仿宋" w:eastAsia="仿宋"/>
                <w:szCs w:val="21"/>
              </w:rPr>
            </w:pPr>
            <w:r>
              <w:rPr>
                <w:rFonts w:hint="eastAsia" w:ascii="仿宋" w:hAnsi="仿宋" w:eastAsia="仿宋"/>
                <w:szCs w:val="21"/>
              </w:rPr>
              <w:t>宣传部</w:t>
            </w:r>
          </w:p>
        </w:tc>
        <w:tc>
          <w:tcPr>
            <w:tcW w:w="4394" w:type="dxa"/>
            <w:tcBorders>
              <w:top w:val="dotted" w:color="auto" w:sz="4" w:space="0"/>
              <w:bottom w:val="dotted" w:color="auto" w:sz="4" w:space="0"/>
            </w:tcBorders>
            <w:noWrap w:val="0"/>
            <w:vAlign w:val="top"/>
          </w:tcPr>
          <w:p w14:paraId="28B9051D">
            <w:pPr>
              <w:spacing w:line="560" w:lineRule="exact"/>
              <w:rPr>
                <w:rFonts w:hint="eastAsia" w:ascii="仿宋" w:hAnsi="仿宋" w:eastAsia="仿宋"/>
                <w:szCs w:val="21"/>
              </w:rPr>
            </w:pPr>
            <w:r>
              <w:rPr>
                <w:rFonts w:hint="eastAsia" w:ascii="仿宋" w:hAnsi="仿宋" w:eastAsia="仿宋"/>
                <w:szCs w:val="21"/>
              </w:rPr>
              <w:t>宣传经费</w:t>
            </w:r>
          </w:p>
        </w:tc>
        <w:tc>
          <w:tcPr>
            <w:tcW w:w="1610" w:type="dxa"/>
            <w:tcBorders>
              <w:top w:val="dotted" w:color="auto" w:sz="4" w:space="0"/>
              <w:left w:val="nil"/>
              <w:bottom w:val="dotted" w:color="auto" w:sz="4" w:space="0"/>
              <w:right w:val="dotted" w:color="auto" w:sz="4" w:space="0"/>
            </w:tcBorders>
            <w:noWrap w:val="0"/>
            <w:vAlign w:val="center"/>
          </w:tcPr>
          <w:p w14:paraId="3C7DDD6D">
            <w:pPr>
              <w:jc w:val="center"/>
              <w:rPr>
                <w:rFonts w:hint="eastAsia" w:ascii="仿宋" w:hAnsi="仿宋" w:eastAsia="仿宋"/>
                <w:bCs/>
                <w:color w:val="000000"/>
                <w:szCs w:val="21"/>
              </w:rPr>
            </w:pPr>
            <w:r>
              <w:rPr>
                <w:rFonts w:hint="eastAsia" w:ascii="仿宋" w:hAnsi="仿宋" w:eastAsia="仿宋"/>
                <w:bCs/>
                <w:color w:val="000000"/>
                <w:szCs w:val="21"/>
              </w:rPr>
              <w:t>182.00</w:t>
            </w:r>
          </w:p>
        </w:tc>
      </w:tr>
      <w:tr w14:paraId="751192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5146EA45">
            <w:pPr>
              <w:widowControl/>
              <w:spacing w:line="560" w:lineRule="exact"/>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20</w:t>
            </w:r>
          </w:p>
        </w:tc>
        <w:tc>
          <w:tcPr>
            <w:tcW w:w="2694" w:type="dxa"/>
            <w:tcBorders>
              <w:top w:val="dotted" w:color="auto" w:sz="4" w:space="0"/>
              <w:bottom w:val="dotted" w:color="auto" w:sz="4" w:space="0"/>
            </w:tcBorders>
            <w:noWrap w:val="0"/>
            <w:vAlign w:val="top"/>
          </w:tcPr>
          <w:p w14:paraId="6E9DF397">
            <w:pPr>
              <w:spacing w:line="560" w:lineRule="exact"/>
              <w:rPr>
                <w:rFonts w:hint="eastAsia" w:ascii="仿宋" w:hAnsi="仿宋" w:eastAsia="仿宋"/>
                <w:szCs w:val="21"/>
              </w:rPr>
            </w:pPr>
            <w:r>
              <w:rPr>
                <w:rFonts w:hint="eastAsia" w:ascii="仿宋" w:hAnsi="仿宋" w:eastAsia="仿宋"/>
                <w:szCs w:val="21"/>
              </w:rPr>
              <w:t>综治办</w:t>
            </w:r>
          </w:p>
        </w:tc>
        <w:tc>
          <w:tcPr>
            <w:tcW w:w="4394" w:type="dxa"/>
            <w:tcBorders>
              <w:top w:val="dotted" w:color="auto" w:sz="4" w:space="0"/>
              <w:bottom w:val="dotted" w:color="auto" w:sz="4" w:space="0"/>
            </w:tcBorders>
            <w:noWrap w:val="0"/>
            <w:vAlign w:val="top"/>
          </w:tcPr>
          <w:p w14:paraId="4AF92988">
            <w:pPr>
              <w:spacing w:line="560" w:lineRule="exact"/>
              <w:rPr>
                <w:rFonts w:hint="eastAsia" w:ascii="仿宋" w:hAnsi="仿宋" w:eastAsia="仿宋"/>
                <w:szCs w:val="21"/>
              </w:rPr>
            </w:pPr>
            <w:r>
              <w:rPr>
                <w:rFonts w:hint="eastAsia" w:ascii="仿宋" w:hAnsi="仿宋" w:eastAsia="仿宋"/>
                <w:szCs w:val="21"/>
              </w:rPr>
              <w:t>平安创建工作经费</w:t>
            </w:r>
          </w:p>
        </w:tc>
        <w:tc>
          <w:tcPr>
            <w:tcW w:w="1610" w:type="dxa"/>
            <w:tcBorders>
              <w:top w:val="dotted" w:color="auto" w:sz="4" w:space="0"/>
              <w:left w:val="nil"/>
              <w:bottom w:val="dotted" w:color="auto" w:sz="4" w:space="0"/>
              <w:right w:val="dotted" w:color="auto" w:sz="4" w:space="0"/>
            </w:tcBorders>
            <w:noWrap w:val="0"/>
            <w:vAlign w:val="center"/>
          </w:tcPr>
          <w:p w14:paraId="04F99A98">
            <w:pPr>
              <w:jc w:val="center"/>
              <w:rPr>
                <w:rFonts w:hint="eastAsia" w:ascii="仿宋" w:hAnsi="仿宋" w:eastAsia="仿宋"/>
                <w:bCs/>
                <w:color w:val="000000"/>
                <w:szCs w:val="21"/>
              </w:rPr>
            </w:pPr>
            <w:r>
              <w:rPr>
                <w:rFonts w:hint="eastAsia" w:ascii="仿宋" w:hAnsi="仿宋" w:eastAsia="仿宋"/>
                <w:bCs/>
                <w:color w:val="000000"/>
                <w:szCs w:val="21"/>
              </w:rPr>
              <w:t>291.18</w:t>
            </w:r>
          </w:p>
        </w:tc>
      </w:tr>
      <w:tr w14:paraId="283BE0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7CE3BD14">
            <w:pPr>
              <w:widowControl/>
              <w:spacing w:line="560" w:lineRule="exact"/>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21</w:t>
            </w:r>
          </w:p>
        </w:tc>
        <w:tc>
          <w:tcPr>
            <w:tcW w:w="2694" w:type="dxa"/>
            <w:tcBorders>
              <w:top w:val="dotted" w:color="auto" w:sz="4" w:space="0"/>
              <w:bottom w:val="dotted" w:color="auto" w:sz="4" w:space="0"/>
            </w:tcBorders>
            <w:noWrap w:val="0"/>
            <w:vAlign w:val="top"/>
          </w:tcPr>
          <w:p w14:paraId="03CD430F">
            <w:pPr>
              <w:spacing w:line="560" w:lineRule="exact"/>
              <w:rPr>
                <w:rFonts w:hint="eastAsia" w:ascii="仿宋" w:hAnsi="仿宋" w:eastAsia="仿宋"/>
                <w:szCs w:val="21"/>
              </w:rPr>
            </w:pPr>
            <w:r>
              <w:rPr>
                <w:rFonts w:hint="eastAsia" w:ascii="仿宋" w:hAnsi="仿宋" w:eastAsia="仿宋"/>
                <w:szCs w:val="21"/>
              </w:rPr>
              <w:t>综治办</w:t>
            </w:r>
          </w:p>
        </w:tc>
        <w:tc>
          <w:tcPr>
            <w:tcW w:w="4394" w:type="dxa"/>
            <w:tcBorders>
              <w:top w:val="dotted" w:color="auto" w:sz="4" w:space="0"/>
              <w:bottom w:val="dotted" w:color="auto" w:sz="4" w:space="0"/>
            </w:tcBorders>
            <w:noWrap w:val="0"/>
            <w:vAlign w:val="top"/>
          </w:tcPr>
          <w:p w14:paraId="5EEACDAB">
            <w:pPr>
              <w:spacing w:line="560" w:lineRule="exact"/>
              <w:rPr>
                <w:rFonts w:hint="eastAsia" w:ascii="仿宋" w:hAnsi="仿宋" w:eastAsia="仿宋"/>
                <w:szCs w:val="21"/>
              </w:rPr>
            </w:pPr>
            <w:r>
              <w:rPr>
                <w:rFonts w:hint="eastAsia" w:ascii="仿宋" w:hAnsi="仿宋" w:eastAsia="仿宋"/>
                <w:szCs w:val="21"/>
              </w:rPr>
              <w:t>月坛街道综合防控视频系统扩建</w:t>
            </w:r>
          </w:p>
        </w:tc>
        <w:tc>
          <w:tcPr>
            <w:tcW w:w="1610" w:type="dxa"/>
            <w:tcBorders>
              <w:top w:val="dotted" w:color="auto" w:sz="4" w:space="0"/>
              <w:left w:val="nil"/>
              <w:bottom w:val="dotted" w:color="auto" w:sz="4" w:space="0"/>
              <w:right w:val="dotted" w:color="auto" w:sz="4" w:space="0"/>
            </w:tcBorders>
            <w:noWrap w:val="0"/>
            <w:vAlign w:val="center"/>
          </w:tcPr>
          <w:p w14:paraId="3251D66D">
            <w:pPr>
              <w:jc w:val="center"/>
              <w:rPr>
                <w:rFonts w:hint="eastAsia" w:ascii="仿宋" w:hAnsi="仿宋" w:eastAsia="仿宋"/>
                <w:bCs/>
                <w:color w:val="000000"/>
                <w:szCs w:val="21"/>
              </w:rPr>
            </w:pPr>
            <w:r>
              <w:rPr>
                <w:rFonts w:hint="eastAsia" w:ascii="仿宋" w:hAnsi="仿宋" w:eastAsia="仿宋"/>
                <w:bCs/>
                <w:color w:val="000000"/>
                <w:szCs w:val="21"/>
              </w:rPr>
              <w:t>140.00</w:t>
            </w:r>
          </w:p>
        </w:tc>
      </w:tr>
      <w:tr w14:paraId="578ECD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25C34199">
            <w:pPr>
              <w:widowControl/>
              <w:spacing w:line="560" w:lineRule="exact"/>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22</w:t>
            </w:r>
          </w:p>
        </w:tc>
        <w:tc>
          <w:tcPr>
            <w:tcW w:w="2694" w:type="dxa"/>
            <w:tcBorders>
              <w:top w:val="dotted" w:color="auto" w:sz="4" w:space="0"/>
              <w:bottom w:val="dotted" w:color="auto" w:sz="4" w:space="0"/>
            </w:tcBorders>
            <w:noWrap w:val="0"/>
            <w:vAlign w:val="top"/>
          </w:tcPr>
          <w:p w14:paraId="32BD52A5">
            <w:pPr>
              <w:spacing w:line="560" w:lineRule="exact"/>
              <w:rPr>
                <w:rFonts w:hint="eastAsia" w:ascii="仿宋" w:hAnsi="仿宋" w:eastAsia="仿宋"/>
                <w:szCs w:val="21"/>
              </w:rPr>
            </w:pPr>
            <w:r>
              <w:rPr>
                <w:rFonts w:hint="eastAsia" w:ascii="仿宋" w:hAnsi="仿宋" w:eastAsia="仿宋"/>
                <w:szCs w:val="21"/>
              </w:rPr>
              <w:t>综治办</w:t>
            </w:r>
          </w:p>
        </w:tc>
        <w:tc>
          <w:tcPr>
            <w:tcW w:w="4394" w:type="dxa"/>
            <w:tcBorders>
              <w:top w:val="dotted" w:color="auto" w:sz="4" w:space="0"/>
              <w:bottom w:val="dotted" w:color="auto" w:sz="4" w:space="0"/>
            </w:tcBorders>
            <w:noWrap w:val="0"/>
            <w:vAlign w:val="top"/>
          </w:tcPr>
          <w:p w14:paraId="404BE17E">
            <w:pPr>
              <w:spacing w:line="560" w:lineRule="exact"/>
              <w:rPr>
                <w:rFonts w:hint="eastAsia" w:ascii="仿宋" w:hAnsi="仿宋" w:eastAsia="仿宋"/>
                <w:szCs w:val="21"/>
              </w:rPr>
            </w:pPr>
            <w:r>
              <w:rPr>
                <w:rFonts w:hint="eastAsia" w:ascii="仿宋" w:hAnsi="仿宋" w:eastAsia="仿宋"/>
                <w:szCs w:val="21"/>
              </w:rPr>
              <w:t>反恐处突小分队保安服务费</w:t>
            </w:r>
          </w:p>
        </w:tc>
        <w:tc>
          <w:tcPr>
            <w:tcW w:w="1610" w:type="dxa"/>
            <w:tcBorders>
              <w:top w:val="dotted" w:color="auto" w:sz="4" w:space="0"/>
              <w:left w:val="nil"/>
              <w:bottom w:val="dotted" w:color="auto" w:sz="4" w:space="0"/>
              <w:right w:val="dotted" w:color="auto" w:sz="4" w:space="0"/>
            </w:tcBorders>
            <w:noWrap w:val="0"/>
            <w:vAlign w:val="center"/>
          </w:tcPr>
          <w:p w14:paraId="5960370B">
            <w:pPr>
              <w:jc w:val="center"/>
              <w:rPr>
                <w:rFonts w:hint="eastAsia" w:ascii="仿宋" w:hAnsi="仿宋" w:eastAsia="仿宋"/>
                <w:bCs/>
                <w:color w:val="000000"/>
                <w:szCs w:val="21"/>
              </w:rPr>
            </w:pPr>
            <w:r>
              <w:rPr>
                <w:rFonts w:hint="eastAsia" w:ascii="仿宋" w:hAnsi="仿宋" w:eastAsia="仿宋"/>
                <w:bCs/>
                <w:color w:val="000000"/>
                <w:szCs w:val="21"/>
              </w:rPr>
              <w:t>228.00</w:t>
            </w:r>
          </w:p>
        </w:tc>
      </w:tr>
      <w:tr w14:paraId="547FE3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1E6E9AFE">
            <w:pPr>
              <w:widowControl/>
              <w:spacing w:line="560" w:lineRule="exact"/>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23</w:t>
            </w:r>
          </w:p>
        </w:tc>
        <w:tc>
          <w:tcPr>
            <w:tcW w:w="2694" w:type="dxa"/>
            <w:tcBorders>
              <w:top w:val="dotted" w:color="auto" w:sz="4" w:space="0"/>
              <w:bottom w:val="dotted" w:color="auto" w:sz="4" w:space="0"/>
            </w:tcBorders>
            <w:noWrap w:val="0"/>
            <w:vAlign w:val="top"/>
          </w:tcPr>
          <w:p w14:paraId="1D0AF62D">
            <w:pPr>
              <w:spacing w:line="560" w:lineRule="exact"/>
              <w:rPr>
                <w:rFonts w:hint="eastAsia" w:ascii="仿宋" w:hAnsi="仿宋" w:eastAsia="仿宋"/>
                <w:szCs w:val="21"/>
              </w:rPr>
            </w:pPr>
            <w:r>
              <w:rPr>
                <w:rFonts w:hint="eastAsia" w:ascii="仿宋" w:hAnsi="仿宋" w:eastAsia="仿宋"/>
                <w:szCs w:val="21"/>
              </w:rPr>
              <w:t>综治办</w:t>
            </w:r>
          </w:p>
        </w:tc>
        <w:tc>
          <w:tcPr>
            <w:tcW w:w="4394" w:type="dxa"/>
            <w:tcBorders>
              <w:top w:val="dotted" w:color="auto" w:sz="4" w:space="0"/>
              <w:bottom w:val="dotted" w:color="auto" w:sz="4" w:space="0"/>
            </w:tcBorders>
            <w:noWrap w:val="0"/>
            <w:vAlign w:val="top"/>
          </w:tcPr>
          <w:p w14:paraId="4442FEC7">
            <w:pPr>
              <w:spacing w:line="560" w:lineRule="exact"/>
              <w:rPr>
                <w:rFonts w:hint="eastAsia" w:ascii="仿宋" w:hAnsi="仿宋" w:eastAsia="仿宋"/>
                <w:szCs w:val="21"/>
              </w:rPr>
            </w:pPr>
            <w:r>
              <w:rPr>
                <w:rFonts w:hint="eastAsia" w:ascii="仿宋" w:hAnsi="仿宋" w:eastAsia="仿宋"/>
                <w:szCs w:val="21"/>
              </w:rPr>
              <w:t>治安志愿者经费</w:t>
            </w:r>
          </w:p>
        </w:tc>
        <w:tc>
          <w:tcPr>
            <w:tcW w:w="1610" w:type="dxa"/>
            <w:tcBorders>
              <w:top w:val="dotted" w:color="auto" w:sz="4" w:space="0"/>
              <w:left w:val="nil"/>
              <w:bottom w:val="dotted" w:color="auto" w:sz="4" w:space="0"/>
              <w:right w:val="dotted" w:color="auto" w:sz="4" w:space="0"/>
            </w:tcBorders>
            <w:noWrap w:val="0"/>
            <w:vAlign w:val="center"/>
          </w:tcPr>
          <w:p w14:paraId="716E5524">
            <w:pPr>
              <w:jc w:val="center"/>
              <w:rPr>
                <w:rFonts w:hint="eastAsia" w:ascii="仿宋" w:hAnsi="仿宋" w:eastAsia="仿宋"/>
                <w:bCs/>
                <w:color w:val="000000"/>
                <w:szCs w:val="21"/>
              </w:rPr>
            </w:pPr>
            <w:r>
              <w:rPr>
                <w:rFonts w:hint="eastAsia" w:ascii="仿宋" w:hAnsi="仿宋" w:eastAsia="仿宋"/>
                <w:bCs/>
                <w:color w:val="000000"/>
                <w:szCs w:val="21"/>
              </w:rPr>
              <w:t>209.34</w:t>
            </w:r>
          </w:p>
        </w:tc>
      </w:tr>
      <w:tr w14:paraId="70E16F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7540559A">
            <w:pPr>
              <w:widowControl/>
              <w:spacing w:line="560" w:lineRule="exact"/>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24</w:t>
            </w:r>
          </w:p>
        </w:tc>
        <w:tc>
          <w:tcPr>
            <w:tcW w:w="2694" w:type="dxa"/>
            <w:tcBorders>
              <w:top w:val="dotted" w:color="auto" w:sz="4" w:space="0"/>
              <w:bottom w:val="dotted" w:color="auto" w:sz="4" w:space="0"/>
            </w:tcBorders>
            <w:noWrap w:val="0"/>
            <w:vAlign w:val="top"/>
          </w:tcPr>
          <w:p w14:paraId="52C9EB19">
            <w:pPr>
              <w:spacing w:line="560" w:lineRule="exact"/>
              <w:rPr>
                <w:rFonts w:hint="eastAsia" w:ascii="仿宋" w:hAnsi="仿宋" w:eastAsia="仿宋"/>
                <w:szCs w:val="21"/>
              </w:rPr>
            </w:pPr>
            <w:r>
              <w:rPr>
                <w:rFonts w:hint="eastAsia" w:ascii="仿宋" w:hAnsi="仿宋" w:eastAsia="仿宋"/>
                <w:szCs w:val="21"/>
              </w:rPr>
              <w:t>组织部</w:t>
            </w:r>
          </w:p>
        </w:tc>
        <w:tc>
          <w:tcPr>
            <w:tcW w:w="4394" w:type="dxa"/>
            <w:tcBorders>
              <w:top w:val="dotted" w:color="auto" w:sz="4" w:space="0"/>
              <w:bottom w:val="dotted" w:color="auto" w:sz="4" w:space="0"/>
            </w:tcBorders>
            <w:noWrap w:val="0"/>
            <w:vAlign w:val="top"/>
          </w:tcPr>
          <w:p w14:paraId="6E63543D">
            <w:pPr>
              <w:spacing w:line="560" w:lineRule="exact"/>
              <w:rPr>
                <w:rFonts w:hint="eastAsia" w:ascii="仿宋" w:hAnsi="仿宋" w:eastAsia="仿宋"/>
                <w:szCs w:val="21"/>
              </w:rPr>
            </w:pPr>
            <w:r>
              <w:rPr>
                <w:rFonts w:hint="eastAsia" w:ascii="仿宋" w:hAnsi="仿宋" w:eastAsia="仿宋"/>
                <w:szCs w:val="21"/>
              </w:rPr>
              <w:t>社区基层党组织活动经费</w:t>
            </w:r>
          </w:p>
        </w:tc>
        <w:tc>
          <w:tcPr>
            <w:tcW w:w="1610" w:type="dxa"/>
            <w:tcBorders>
              <w:top w:val="dotted" w:color="auto" w:sz="4" w:space="0"/>
              <w:left w:val="nil"/>
              <w:bottom w:val="dotted" w:color="auto" w:sz="4" w:space="0"/>
              <w:right w:val="dotted" w:color="auto" w:sz="4" w:space="0"/>
            </w:tcBorders>
            <w:noWrap w:val="0"/>
            <w:vAlign w:val="center"/>
          </w:tcPr>
          <w:p w14:paraId="6B5CC0DE">
            <w:pPr>
              <w:jc w:val="center"/>
              <w:rPr>
                <w:rFonts w:hint="eastAsia" w:ascii="仿宋" w:hAnsi="仿宋" w:eastAsia="仿宋"/>
                <w:bCs/>
                <w:color w:val="000000"/>
                <w:szCs w:val="21"/>
              </w:rPr>
            </w:pPr>
            <w:r>
              <w:rPr>
                <w:rFonts w:hint="eastAsia" w:ascii="仿宋" w:hAnsi="仿宋" w:eastAsia="仿宋"/>
                <w:bCs/>
                <w:color w:val="000000"/>
                <w:szCs w:val="21"/>
              </w:rPr>
              <w:t>212.00</w:t>
            </w:r>
          </w:p>
        </w:tc>
      </w:tr>
      <w:tr w14:paraId="47BEC6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816" w:type="dxa"/>
            <w:tcBorders>
              <w:top w:val="dotted" w:color="auto" w:sz="4" w:space="0"/>
              <w:left w:val="dotted" w:color="auto" w:sz="4" w:space="0"/>
              <w:bottom w:val="dotted" w:color="auto" w:sz="4" w:space="0"/>
            </w:tcBorders>
            <w:noWrap w:val="0"/>
            <w:vAlign w:val="center"/>
          </w:tcPr>
          <w:p w14:paraId="0E198FB0">
            <w:pPr>
              <w:widowControl/>
              <w:spacing w:line="560" w:lineRule="exact"/>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25</w:t>
            </w:r>
          </w:p>
        </w:tc>
        <w:tc>
          <w:tcPr>
            <w:tcW w:w="2694" w:type="dxa"/>
            <w:tcBorders>
              <w:top w:val="dotted" w:color="auto" w:sz="4" w:space="0"/>
              <w:bottom w:val="dotted" w:color="auto" w:sz="4" w:space="0"/>
            </w:tcBorders>
            <w:noWrap w:val="0"/>
            <w:vAlign w:val="top"/>
          </w:tcPr>
          <w:p w14:paraId="65DE0423">
            <w:pPr>
              <w:spacing w:line="560" w:lineRule="exact"/>
              <w:rPr>
                <w:rFonts w:hint="eastAsia" w:ascii="仿宋" w:hAnsi="仿宋" w:eastAsia="仿宋"/>
                <w:szCs w:val="21"/>
              </w:rPr>
            </w:pPr>
            <w:r>
              <w:rPr>
                <w:rFonts w:hint="eastAsia" w:ascii="仿宋" w:hAnsi="仿宋" w:eastAsia="仿宋"/>
                <w:szCs w:val="21"/>
              </w:rPr>
              <w:t>组织部</w:t>
            </w:r>
          </w:p>
        </w:tc>
        <w:tc>
          <w:tcPr>
            <w:tcW w:w="4394" w:type="dxa"/>
            <w:tcBorders>
              <w:top w:val="dotted" w:color="auto" w:sz="4" w:space="0"/>
              <w:bottom w:val="dotted" w:color="auto" w:sz="4" w:space="0"/>
            </w:tcBorders>
            <w:noWrap w:val="0"/>
            <w:vAlign w:val="top"/>
          </w:tcPr>
          <w:p w14:paraId="62B7C007">
            <w:pPr>
              <w:spacing w:line="560" w:lineRule="exact"/>
              <w:rPr>
                <w:rFonts w:hint="eastAsia" w:ascii="仿宋" w:hAnsi="仿宋" w:eastAsia="仿宋"/>
                <w:szCs w:val="21"/>
              </w:rPr>
            </w:pPr>
            <w:r>
              <w:rPr>
                <w:rFonts w:hint="eastAsia" w:ascii="仿宋" w:hAnsi="仿宋" w:eastAsia="仿宋"/>
                <w:szCs w:val="21"/>
              </w:rPr>
              <w:t>社区党组织服务群众经费</w:t>
            </w:r>
          </w:p>
        </w:tc>
        <w:tc>
          <w:tcPr>
            <w:tcW w:w="1610" w:type="dxa"/>
            <w:tcBorders>
              <w:top w:val="dotted" w:color="auto" w:sz="4" w:space="0"/>
              <w:left w:val="nil"/>
              <w:bottom w:val="dotted" w:color="auto" w:sz="4" w:space="0"/>
              <w:right w:val="dotted" w:color="auto" w:sz="4" w:space="0"/>
            </w:tcBorders>
            <w:noWrap w:val="0"/>
            <w:vAlign w:val="center"/>
          </w:tcPr>
          <w:p w14:paraId="3ADF41AF">
            <w:pPr>
              <w:jc w:val="center"/>
              <w:rPr>
                <w:rFonts w:hint="eastAsia" w:ascii="仿宋" w:hAnsi="仿宋" w:eastAsia="仿宋"/>
                <w:bCs/>
                <w:color w:val="000000"/>
                <w:szCs w:val="21"/>
              </w:rPr>
            </w:pPr>
            <w:r>
              <w:rPr>
                <w:rFonts w:hint="eastAsia" w:ascii="仿宋" w:hAnsi="仿宋" w:eastAsia="仿宋"/>
                <w:bCs/>
                <w:color w:val="000000"/>
                <w:szCs w:val="21"/>
              </w:rPr>
              <w:t>520.00</w:t>
            </w:r>
          </w:p>
        </w:tc>
      </w:tr>
      <w:tr w14:paraId="041E33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7904" w:type="dxa"/>
            <w:gridSpan w:val="3"/>
            <w:noWrap w:val="0"/>
            <w:vAlign w:val="center"/>
          </w:tcPr>
          <w:p w14:paraId="6400D47E">
            <w:pPr>
              <w:widowControl/>
              <w:spacing w:line="560" w:lineRule="exact"/>
              <w:jc w:val="center"/>
              <w:rPr>
                <w:rFonts w:ascii="仿宋" w:hAnsi="仿宋" w:eastAsia="仿宋" w:cs="宋体"/>
                <w:b/>
                <w:color w:val="000000"/>
                <w:kern w:val="0"/>
                <w:szCs w:val="21"/>
              </w:rPr>
            </w:pPr>
            <w:r>
              <w:rPr>
                <w:rFonts w:ascii="仿宋" w:hAnsi="仿宋" w:eastAsia="仿宋" w:cs="宋体"/>
                <w:b/>
                <w:color w:val="000000"/>
                <w:kern w:val="0"/>
                <w:szCs w:val="21"/>
              </w:rPr>
              <w:t>合计</w:t>
            </w:r>
          </w:p>
        </w:tc>
        <w:tc>
          <w:tcPr>
            <w:tcW w:w="1610" w:type="dxa"/>
            <w:noWrap w:val="0"/>
            <w:vAlign w:val="center"/>
          </w:tcPr>
          <w:p w14:paraId="39CEA0B7">
            <w:pPr>
              <w:widowControl/>
              <w:ind w:right="315"/>
              <w:jc w:val="right"/>
              <w:rPr>
                <w:rFonts w:hint="eastAsia" w:ascii="仿宋" w:hAnsi="仿宋" w:eastAsia="仿宋"/>
                <w:b/>
                <w:szCs w:val="21"/>
              </w:rPr>
            </w:pPr>
            <w:r>
              <w:rPr>
                <w:rFonts w:hint="eastAsia" w:ascii="仿宋" w:hAnsi="仿宋" w:eastAsia="仿宋"/>
                <w:b/>
                <w:szCs w:val="21"/>
              </w:rPr>
              <w:t>7,662.13</w:t>
            </w:r>
          </w:p>
        </w:tc>
      </w:tr>
    </w:tbl>
    <w:p w14:paraId="6D4A5DE4">
      <w:pPr>
        <w:spacing w:before="156" w:beforeLines="50" w:line="560" w:lineRule="exact"/>
        <w:ind w:firstLine="640" w:firstLineChars="200"/>
        <w:rPr>
          <w:rFonts w:ascii="仿宋" w:hAnsi="仿宋" w:eastAsia="仿宋"/>
          <w:bCs/>
          <w:sz w:val="32"/>
          <w:szCs w:val="32"/>
        </w:rPr>
      </w:pPr>
      <w:r>
        <w:rPr>
          <w:rFonts w:hint="eastAsia" w:ascii="仿宋" w:hAnsi="仿宋" w:eastAsia="仿宋"/>
          <w:bCs/>
          <w:sz w:val="32"/>
          <w:szCs w:val="32"/>
        </w:rPr>
        <w:t>截至2018年</w:t>
      </w:r>
      <w:r>
        <w:rPr>
          <w:rFonts w:ascii="仿宋" w:hAnsi="仿宋" w:eastAsia="仿宋"/>
          <w:bCs/>
          <w:sz w:val="32"/>
          <w:szCs w:val="32"/>
        </w:rPr>
        <w:t>12</w:t>
      </w:r>
      <w:r>
        <w:rPr>
          <w:rFonts w:hint="eastAsia" w:ascii="仿宋" w:hAnsi="仿宋" w:eastAsia="仿宋"/>
          <w:bCs/>
          <w:sz w:val="32"/>
          <w:szCs w:val="32"/>
        </w:rPr>
        <w:t>月3</w:t>
      </w:r>
      <w:r>
        <w:rPr>
          <w:rFonts w:ascii="仿宋" w:hAnsi="仿宋" w:eastAsia="仿宋"/>
          <w:bCs/>
          <w:sz w:val="32"/>
          <w:szCs w:val="32"/>
        </w:rPr>
        <w:t>1</w:t>
      </w:r>
      <w:r>
        <w:rPr>
          <w:rFonts w:hint="eastAsia" w:ascii="仿宋" w:hAnsi="仿宋" w:eastAsia="仿宋"/>
          <w:bCs/>
          <w:sz w:val="32"/>
          <w:szCs w:val="32"/>
        </w:rPr>
        <w:t>日，绩效跟踪选取的25个重点跟踪项目的预算完成情况见下表：</w:t>
      </w:r>
    </w:p>
    <w:p w14:paraId="5C7F4E3A">
      <w:pPr>
        <w:spacing w:before="156" w:beforeLines="50" w:line="560" w:lineRule="exact"/>
        <w:ind w:right="240"/>
        <w:jc w:val="right"/>
        <w:rPr>
          <w:rFonts w:hint="eastAsia" w:ascii="仿宋" w:hAnsi="仿宋" w:eastAsia="仿宋"/>
          <w:sz w:val="24"/>
          <w:szCs w:val="30"/>
        </w:rPr>
      </w:pPr>
      <w:r>
        <w:rPr>
          <w:rFonts w:hint="eastAsia" w:ascii="仿宋" w:hAnsi="仿宋" w:eastAsia="仿宋"/>
          <w:sz w:val="24"/>
          <w:szCs w:val="30"/>
        </w:rPr>
        <w:t xml:space="preserve">单位：万元 </w:t>
      </w:r>
    </w:p>
    <w:tbl>
      <w:tblPr>
        <w:tblStyle w:val="8"/>
        <w:tblW w:w="0" w:type="auto"/>
        <w:tblInd w:w="0" w:type="dxa"/>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782"/>
        <w:gridCol w:w="1507"/>
        <w:gridCol w:w="1540"/>
        <w:gridCol w:w="1541"/>
        <w:gridCol w:w="1030"/>
      </w:tblGrid>
      <w:tr w14:paraId="00D871E9">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blHeader/>
        </w:trPr>
        <w:tc>
          <w:tcPr>
            <w:tcW w:w="3782" w:type="dxa"/>
            <w:noWrap w:val="0"/>
            <w:vAlign w:val="center"/>
          </w:tcPr>
          <w:p w14:paraId="5879F94F">
            <w:pPr>
              <w:jc w:val="center"/>
              <w:rPr>
                <w:rFonts w:ascii="仿宋" w:hAnsi="仿宋" w:eastAsia="仿宋" w:cs="宋体"/>
                <w:b/>
                <w:color w:val="000000"/>
                <w:szCs w:val="21"/>
              </w:rPr>
            </w:pPr>
            <w:r>
              <w:rPr>
                <w:rFonts w:hint="eastAsia" w:ascii="仿宋" w:hAnsi="仿宋" w:eastAsia="仿宋"/>
                <w:b/>
                <w:color w:val="000000"/>
                <w:szCs w:val="21"/>
              </w:rPr>
              <w:t>项目名称</w:t>
            </w:r>
          </w:p>
        </w:tc>
        <w:tc>
          <w:tcPr>
            <w:tcW w:w="1507" w:type="dxa"/>
            <w:noWrap w:val="0"/>
            <w:vAlign w:val="center"/>
          </w:tcPr>
          <w:p w14:paraId="0D81DC26">
            <w:pPr>
              <w:jc w:val="center"/>
              <w:rPr>
                <w:rFonts w:ascii="仿宋" w:hAnsi="仿宋" w:eastAsia="仿宋" w:cs="宋体"/>
                <w:b/>
                <w:color w:val="000000"/>
                <w:szCs w:val="21"/>
              </w:rPr>
            </w:pPr>
            <w:r>
              <w:rPr>
                <w:rFonts w:hint="eastAsia" w:ascii="仿宋" w:hAnsi="仿宋" w:eastAsia="仿宋"/>
                <w:b/>
                <w:color w:val="000000"/>
                <w:szCs w:val="21"/>
              </w:rPr>
              <w:t>截止2018年12月31日项目支出金额</w:t>
            </w:r>
          </w:p>
        </w:tc>
        <w:tc>
          <w:tcPr>
            <w:tcW w:w="1540" w:type="dxa"/>
            <w:noWrap w:val="0"/>
            <w:vAlign w:val="center"/>
          </w:tcPr>
          <w:p w14:paraId="77D57E9B">
            <w:pPr>
              <w:rPr>
                <w:rFonts w:hint="eastAsia" w:ascii="仿宋" w:hAnsi="仿宋" w:eastAsia="仿宋"/>
                <w:b/>
                <w:color w:val="000000"/>
                <w:szCs w:val="21"/>
              </w:rPr>
            </w:pPr>
            <w:r>
              <w:rPr>
                <w:rFonts w:hint="eastAsia" w:ascii="仿宋" w:hAnsi="仿宋" w:eastAsia="仿宋"/>
                <w:b/>
                <w:color w:val="000000"/>
                <w:szCs w:val="21"/>
              </w:rPr>
              <w:t>预算调整后金额</w:t>
            </w:r>
          </w:p>
        </w:tc>
        <w:tc>
          <w:tcPr>
            <w:tcW w:w="1541" w:type="dxa"/>
            <w:noWrap w:val="0"/>
            <w:vAlign w:val="center"/>
          </w:tcPr>
          <w:p w14:paraId="0BE26109">
            <w:pPr>
              <w:jc w:val="center"/>
              <w:rPr>
                <w:rFonts w:ascii="仿宋" w:hAnsi="仿宋" w:eastAsia="仿宋" w:cs="宋体"/>
                <w:b/>
                <w:color w:val="000000"/>
                <w:szCs w:val="21"/>
              </w:rPr>
            </w:pPr>
            <w:r>
              <w:rPr>
                <w:rFonts w:hint="eastAsia" w:ascii="仿宋" w:hAnsi="仿宋" w:eastAsia="仿宋"/>
                <w:b/>
                <w:color w:val="000000"/>
                <w:szCs w:val="21"/>
              </w:rPr>
              <w:t>项目年初预算</w:t>
            </w:r>
          </w:p>
        </w:tc>
        <w:tc>
          <w:tcPr>
            <w:tcW w:w="1030" w:type="dxa"/>
            <w:noWrap w:val="0"/>
            <w:vAlign w:val="center"/>
          </w:tcPr>
          <w:p w14:paraId="4EDB28ED">
            <w:pPr>
              <w:jc w:val="center"/>
              <w:rPr>
                <w:rFonts w:ascii="仿宋" w:hAnsi="仿宋" w:eastAsia="仿宋" w:cs="宋体"/>
                <w:b/>
                <w:color w:val="000000"/>
                <w:szCs w:val="21"/>
                <w:highlight w:val="yellow"/>
              </w:rPr>
            </w:pPr>
            <w:r>
              <w:rPr>
                <w:rFonts w:hint="eastAsia" w:ascii="仿宋" w:hAnsi="仿宋" w:eastAsia="仿宋"/>
                <w:b/>
                <w:color w:val="000000"/>
                <w:szCs w:val="21"/>
              </w:rPr>
              <w:t>预算完成比例</w:t>
            </w:r>
          </w:p>
        </w:tc>
      </w:tr>
      <w:tr w14:paraId="7DF90ED4">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7C5409B1">
            <w:pPr>
              <w:spacing w:line="560" w:lineRule="exact"/>
              <w:rPr>
                <w:rFonts w:hint="eastAsia" w:ascii="仿宋" w:hAnsi="仿宋" w:eastAsia="仿宋" w:cs="仿宋"/>
                <w:szCs w:val="21"/>
              </w:rPr>
            </w:pPr>
            <w:bookmarkStart w:id="11" w:name="OLE_LINK1" w:colFirst="2" w:colLast="2"/>
            <w:r>
              <w:rPr>
                <w:rFonts w:hint="eastAsia" w:ascii="仿宋" w:hAnsi="仿宋" w:eastAsia="仿宋" w:cs="仿宋"/>
                <w:szCs w:val="21"/>
              </w:rPr>
              <w:t>残疾人职业康复劳动项目</w:t>
            </w:r>
          </w:p>
        </w:tc>
        <w:tc>
          <w:tcPr>
            <w:tcW w:w="1507" w:type="dxa"/>
            <w:noWrap w:val="0"/>
            <w:vAlign w:val="bottom"/>
          </w:tcPr>
          <w:p w14:paraId="0868723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137.50</w:t>
            </w:r>
          </w:p>
        </w:tc>
        <w:tc>
          <w:tcPr>
            <w:tcW w:w="1540" w:type="dxa"/>
            <w:noWrap w:val="0"/>
            <w:vAlign w:val="bottom"/>
          </w:tcPr>
          <w:p w14:paraId="7362BD8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137.85</w:t>
            </w:r>
          </w:p>
        </w:tc>
        <w:tc>
          <w:tcPr>
            <w:tcW w:w="1541" w:type="dxa"/>
            <w:noWrap w:val="0"/>
            <w:vAlign w:val="bottom"/>
          </w:tcPr>
          <w:p w14:paraId="761FCF19">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174.85</w:t>
            </w:r>
          </w:p>
        </w:tc>
        <w:tc>
          <w:tcPr>
            <w:tcW w:w="1030" w:type="dxa"/>
            <w:noWrap w:val="0"/>
            <w:vAlign w:val="bottom"/>
          </w:tcPr>
          <w:p w14:paraId="7D52FDB8">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99.74%</w:t>
            </w:r>
          </w:p>
        </w:tc>
      </w:tr>
      <w:tr w14:paraId="3AF14D08">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2D808A4A">
            <w:pPr>
              <w:spacing w:line="560" w:lineRule="exact"/>
              <w:rPr>
                <w:rFonts w:hint="eastAsia" w:ascii="仿宋" w:hAnsi="仿宋" w:eastAsia="仿宋" w:cs="仿宋"/>
                <w:szCs w:val="21"/>
              </w:rPr>
            </w:pPr>
            <w:r>
              <w:rPr>
                <w:rFonts w:hint="eastAsia" w:ascii="仿宋" w:hAnsi="仿宋" w:eastAsia="仿宋" w:cs="仿宋"/>
                <w:szCs w:val="21"/>
              </w:rPr>
              <w:t>全响应网格员保安服务费</w:t>
            </w:r>
          </w:p>
        </w:tc>
        <w:tc>
          <w:tcPr>
            <w:tcW w:w="1507" w:type="dxa"/>
            <w:noWrap w:val="0"/>
            <w:vAlign w:val="bottom"/>
          </w:tcPr>
          <w:p w14:paraId="31337F24">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486.60</w:t>
            </w:r>
          </w:p>
        </w:tc>
        <w:tc>
          <w:tcPr>
            <w:tcW w:w="1540" w:type="dxa"/>
            <w:noWrap w:val="0"/>
            <w:vAlign w:val="bottom"/>
          </w:tcPr>
          <w:p w14:paraId="2612FEB1">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486.60</w:t>
            </w:r>
          </w:p>
        </w:tc>
        <w:tc>
          <w:tcPr>
            <w:tcW w:w="1541" w:type="dxa"/>
            <w:noWrap w:val="0"/>
            <w:vAlign w:val="bottom"/>
          </w:tcPr>
          <w:p w14:paraId="7910F45C">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456.00</w:t>
            </w:r>
          </w:p>
        </w:tc>
        <w:tc>
          <w:tcPr>
            <w:tcW w:w="1030" w:type="dxa"/>
            <w:noWrap w:val="0"/>
            <w:vAlign w:val="bottom"/>
          </w:tcPr>
          <w:p w14:paraId="267C8278">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13D3E209">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4A2F182F">
            <w:pPr>
              <w:spacing w:line="560" w:lineRule="exact"/>
              <w:rPr>
                <w:rFonts w:hint="eastAsia" w:ascii="仿宋" w:hAnsi="仿宋" w:eastAsia="仿宋" w:cs="仿宋"/>
                <w:szCs w:val="21"/>
                <w:highlight w:val="yellow"/>
              </w:rPr>
            </w:pPr>
            <w:r>
              <w:rPr>
                <w:rFonts w:hint="eastAsia" w:ascii="仿宋" w:hAnsi="仿宋" w:eastAsia="仿宋" w:cs="仿宋"/>
                <w:szCs w:val="21"/>
              </w:rPr>
              <w:t>月坛地区保洁经费</w:t>
            </w:r>
          </w:p>
        </w:tc>
        <w:tc>
          <w:tcPr>
            <w:tcW w:w="1507" w:type="dxa"/>
            <w:noWrap w:val="0"/>
            <w:vAlign w:val="bottom"/>
          </w:tcPr>
          <w:p w14:paraId="6FF16FA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806.51</w:t>
            </w:r>
          </w:p>
        </w:tc>
        <w:tc>
          <w:tcPr>
            <w:tcW w:w="1540" w:type="dxa"/>
            <w:noWrap w:val="0"/>
            <w:vAlign w:val="bottom"/>
          </w:tcPr>
          <w:p w14:paraId="69E9C934">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806.51</w:t>
            </w:r>
          </w:p>
        </w:tc>
        <w:tc>
          <w:tcPr>
            <w:tcW w:w="1541" w:type="dxa"/>
            <w:noWrap w:val="0"/>
            <w:vAlign w:val="bottom"/>
          </w:tcPr>
          <w:p w14:paraId="5016BF1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806.51</w:t>
            </w:r>
          </w:p>
        </w:tc>
        <w:tc>
          <w:tcPr>
            <w:tcW w:w="1030" w:type="dxa"/>
            <w:noWrap w:val="0"/>
            <w:vAlign w:val="bottom"/>
          </w:tcPr>
          <w:p w14:paraId="5A62B2B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3503BBC2">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35" w:hRule="atLeast"/>
        </w:trPr>
        <w:tc>
          <w:tcPr>
            <w:tcW w:w="3782" w:type="dxa"/>
            <w:noWrap w:val="0"/>
            <w:vAlign w:val="top"/>
          </w:tcPr>
          <w:p w14:paraId="7DA2E735">
            <w:pPr>
              <w:spacing w:line="560" w:lineRule="exact"/>
              <w:rPr>
                <w:rFonts w:hint="eastAsia" w:ascii="仿宋" w:hAnsi="仿宋" w:eastAsia="仿宋" w:cs="仿宋"/>
                <w:szCs w:val="21"/>
              </w:rPr>
            </w:pPr>
            <w:r>
              <w:rPr>
                <w:rFonts w:hint="eastAsia" w:ascii="仿宋" w:hAnsi="仿宋" w:eastAsia="仿宋" w:cs="仿宋"/>
                <w:szCs w:val="21"/>
              </w:rPr>
              <w:t>月坛地区17个老旧小区环境保障经费</w:t>
            </w:r>
          </w:p>
        </w:tc>
        <w:tc>
          <w:tcPr>
            <w:tcW w:w="1507" w:type="dxa"/>
            <w:noWrap w:val="0"/>
            <w:vAlign w:val="bottom"/>
          </w:tcPr>
          <w:p w14:paraId="1ACC0C43">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382.58</w:t>
            </w:r>
          </w:p>
        </w:tc>
        <w:tc>
          <w:tcPr>
            <w:tcW w:w="1540" w:type="dxa"/>
            <w:noWrap w:val="0"/>
            <w:vAlign w:val="bottom"/>
          </w:tcPr>
          <w:p w14:paraId="01835176">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382.58</w:t>
            </w:r>
          </w:p>
        </w:tc>
        <w:tc>
          <w:tcPr>
            <w:tcW w:w="1541" w:type="dxa"/>
            <w:noWrap w:val="0"/>
            <w:vAlign w:val="bottom"/>
          </w:tcPr>
          <w:p w14:paraId="2CC42996">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390.00</w:t>
            </w:r>
          </w:p>
        </w:tc>
        <w:tc>
          <w:tcPr>
            <w:tcW w:w="1030" w:type="dxa"/>
            <w:noWrap w:val="0"/>
            <w:vAlign w:val="bottom"/>
          </w:tcPr>
          <w:p w14:paraId="61916B3E">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2CB20582">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079939F5">
            <w:pPr>
              <w:spacing w:line="560" w:lineRule="exact"/>
              <w:rPr>
                <w:rFonts w:hint="eastAsia" w:ascii="仿宋" w:hAnsi="仿宋" w:eastAsia="仿宋" w:cs="仿宋"/>
                <w:szCs w:val="21"/>
              </w:rPr>
            </w:pPr>
            <w:r>
              <w:rPr>
                <w:rFonts w:hint="eastAsia" w:ascii="仿宋" w:hAnsi="仿宋" w:eastAsia="仿宋" w:cs="仿宋"/>
                <w:szCs w:val="21"/>
              </w:rPr>
              <w:t>垃圾减量垃圾分类经费</w:t>
            </w:r>
          </w:p>
        </w:tc>
        <w:tc>
          <w:tcPr>
            <w:tcW w:w="1507" w:type="dxa"/>
            <w:noWrap w:val="0"/>
            <w:vAlign w:val="bottom"/>
          </w:tcPr>
          <w:p w14:paraId="1B089ED3">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595.56</w:t>
            </w:r>
          </w:p>
        </w:tc>
        <w:tc>
          <w:tcPr>
            <w:tcW w:w="1540" w:type="dxa"/>
            <w:noWrap w:val="0"/>
            <w:vAlign w:val="bottom"/>
          </w:tcPr>
          <w:p w14:paraId="072A9A99">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595.77</w:t>
            </w:r>
          </w:p>
        </w:tc>
        <w:tc>
          <w:tcPr>
            <w:tcW w:w="1541" w:type="dxa"/>
            <w:noWrap w:val="0"/>
            <w:vAlign w:val="bottom"/>
          </w:tcPr>
          <w:p w14:paraId="1A4CCCC0">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650.00</w:t>
            </w:r>
          </w:p>
        </w:tc>
        <w:tc>
          <w:tcPr>
            <w:tcW w:w="1030" w:type="dxa"/>
            <w:noWrap w:val="0"/>
            <w:vAlign w:val="bottom"/>
          </w:tcPr>
          <w:p w14:paraId="29DBCE0D">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99.97%</w:t>
            </w:r>
          </w:p>
        </w:tc>
      </w:tr>
      <w:tr w14:paraId="07AE3D9B">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5E2C8F6F">
            <w:pPr>
              <w:spacing w:line="560" w:lineRule="exact"/>
              <w:rPr>
                <w:rFonts w:hint="eastAsia" w:ascii="仿宋" w:hAnsi="仿宋" w:eastAsia="仿宋" w:cs="仿宋"/>
                <w:szCs w:val="21"/>
              </w:rPr>
            </w:pPr>
            <w:r>
              <w:rPr>
                <w:rFonts w:hint="eastAsia" w:ascii="仿宋" w:hAnsi="仿宋" w:eastAsia="仿宋" w:cs="仿宋"/>
                <w:szCs w:val="21"/>
              </w:rPr>
              <w:t>月坛街道街巷准物业管理服务</w:t>
            </w:r>
          </w:p>
        </w:tc>
        <w:tc>
          <w:tcPr>
            <w:tcW w:w="1507" w:type="dxa"/>
            <w:noWrap w:val="0"/>
            <w:vAlign w:val="bottom"/>
          </w:tcPr>
          <w:p w14:paraId="36D6AF30">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1,436.70</w:t>
            </w:r>
          </w:p>
        </w:tc>
        <w:tc>
          <w:tcPr>
            <w:tcW w:w="1540" w:type="dxa"/>
            <w:noWrap w:val="0"/>
            <w:vAlign w:val="bottom"/>
          </w:tcPr>
          <w:p w14:paraId="2BD5CCDE">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1,436.70</w:t>
            </w:r>
          </w:p>
        </w:tc>
        <w:tc>
          <w:tcPr>
            <w:tcW w:w="1541" w:type="dxa"/>
            <w:noWrap w:val="0"/>
            <w:vAlign w:val="bottom"/>
          </w:tcPr>
          <w:p w14:paraId="31C61A7B">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700.00</w:t>
            </w:r>
          </w:p>
        </w:tc>
        <w:tc>
          <w:tcPr>
            <w:tcW w:w="1030" w:type="dxa"/>
            <w:noWrap w:val="0"/>
            <w:vAlign w:val="bottom"/>
          </w:tcPr>
          <w:p w14:paraId="4967843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71180492">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5A5C5F16">
            <w:pPr>
              <w:spacing w:line="560" w:lineRule="exact"/>
              <w:rPr>
                <w:rFonts w:hint="eastAsia" w:ascii="仿宋" w:hAnsi="仿宋" w:eastAsia="仿宋" w:cs="仿宋"/>
                <w:szCs w:val="21"/>
              </w:rPr>
            </w:pPr>
            <w:r>
              <w:rPr>
                <w:rFonts w:hint="eastAsia" w:ascii="仿宋" w:hAnsi="仿宋" w:eastAsia="仿宋" w:cs="仿宋"/>
                <w:szCs w:val="21"/>
              </w:rPr>
              <w:t>地区民政事务经费</w:t>
            </w:r>
          </w:p>
        </w:tc>
        <w:tc>
          <w:tcPr>
            <w:tcW w:w="1507" w:type="dxa"/>
            <w:noWrap w:val="0"/>
            <w:vAlign w:val="bottom"/>
          </w:tcPr>
          <w:p w14:paraId="01FF517C">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93.01</w:t>
            </w:r>
          </w:p>
        </w:tc>
        <w:tc>
          <w:tcPr>
            <w:tcW w:w="1540" w:type="dxa"/>
            <w:noWrap w:val="0"/>
            <w:vAlign w:val="bottom"/>
          </w:tcPr>
          <w:p w14:paraId="7226C4B4">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93.05</w:t>
            </w:r>
          </w:p>
        </w:tc>
        <w:tc>
          <w:tcPr>
            <w:tcW w:w="1541" w:type="dxa"/>
            <w:noWrap w:val="0"/>
            <w:vAlign w:val="bottom"/>
          </w:tcPr>
          <w:p w14:paraId="0B087B8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136.38</w:t>
            </w:r>
          </w:p>
        </w:tc>
        <w:tc>
          <w:tcPr>
            <w:tcW w:w="1030" w:type="dxa"/>
            <w:noWrap w:val="0"/>
            <w:vAlign w:val="bottom"/>
          </w:tcPr>
          <w:p w14:paraId="5CA9B46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99.96%</w:t>
            </w:r>
          </w:p>
        </w:tc>
      </w:tr>
      <w:tr w14:paraId="5234D820">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1CAA57D7">
            <w:pPr>
              <w:spacing w:line="560" w:lineRule="exact"/>
              <w:rPr>
                <w:rFonts w:hint="eastAsia" w:ascii="仿宋" w:hAnsi="仿宋" w:eastAsia="仿宋" w:cs="仿宋"/>
                <w:szCs w:val="21"/>
              </w:rPr>
            </w:pPr>
            <w:r>
              <w:rPr>
                <w:rFonts w:hint="eastAsia" w:ascii="仿宋" w:hAnsi="仿宋" w:eastAsia="仿宋" w:cs="仿宋"/>
                <w:szCs w:val="21"/>
              </w:rPr>
              <w:t>在乡及伤残人员全年经费</w:t>
            </w:r>
          </w:p>
        </w:tc>
        <w:tc>
          <w:tcPr>
            <w:tcW w:w="1507" w:type="dxa"/>
            <w:noWrap w:val="0"/>
            <w:vAlign w:val="bottom"/>
          </w:tcPr>
          <w:p w14:paraId="6A47589F">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238.10</w:t>
            </w:r>
          </w:p>
        </w:tc>
        <w:tc>
          <w:tcPr>
            <w:tcW w:w="1540" w:type="dxa"/>
            <w:noWrap w:val="0"/>
            <w:vAlign w:val="bottom"/>
          </w:tcPr>
          <w:p w14:paraId="6A3BE1D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240.00</w:t>
            </w:r>
          </w:p>
        </w:tc>
        <w:tc>
          <w:tcPr>
            <w:tcW w:w="1541" w:type="dxa"/>
            <w:noWrap w:val="0"/>
            <w:vAlign w:val="bottom"/>
          </w:tcPr>
          <w:p w14:paraId="03786307">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290.00</w:t>
            </w:r>
          </w:p>
        </w:tc>
        <w:tc>
          <w:tcPr>
            <w:tcW w:w="1030" w:type="dxa"/>
            <w:noWrap w:val="0"/>
            <w:vAlign w:val="bottom"/>
          </w:tcPr>
          <w:p w14:paraId="6F672571">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99.21%</w:t>
            </w:r>
          </w:p>
        </w:tc>
      </w:tr>
      <w:tr w14:paraId="38E27DA7">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5C5C313B">
            <w:pPr>
              <w:spacing w:line="560" w:lineRule="exact"/>
              <w:rPr>
                <w:rFonts w:hint="eastAsia" w:ascii="仿宋" w:hAnsi="仿宋" w:eastAsia="仿宋" w:cs="仿宋"/>
                <w:szCs w:val="21"/>
              </w:rPr>
            </w:pPr>
            <w:r>
              <w:rPr>
                <w:rFonts w:hint="eastAsia" w:ascii="仿宋" w:hAnsi="仿宋" w:eastAsia="仿宋" w:cs="仿宋"/>
                <w:szCs w:val="21"/>
              </w:rPr>
              <w:t>残疾人两项补贴</w:t>
            </w:r>
          </w:p>
        </w:tc>
        <w:tc>
          <w:tcPr>
            <w:tcW w:w="1507" w:type="dxa"/>
            <w:noWrap w:val="0"/>
            <w:vAlign w:val="bottom"/>
          </w:tcPr>
          <w:p w14:paraId="40B60BF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368.81</w:t>
            </w:r>
          </w:p>
        </w:tc>
        <w:tc>
          <w:tcPr>
            <w:tcW w:w="1540" w:type="dxa"/>
            <w:noWrap w:val="0"/>
            <w:vAlign w:val="bottom"/>
          </w:tcPr>
          <w:p w14:paraId="4B6F7BAC">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375.00</w:t>
            </w:r>
          </w:p>
        </w:tc>
        <w:tc>
          <w:tcPr>
            <w:tcW w:w="1541" w:type="dxa"/>
            <w:noWrap w:val="0"/>
            <w:vAlign w:val="bottom"/>
          </w:tcPr>
          <w:p w14:paraId="5951F45B">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400.00</w:t>
            </w:r>
          </w:p>
        </w:tc>
        <w:tc>
          <w:tcPr>
            <w:tcW w:w="1030" w:type="dxa"/>
            <w:noWrap w:val="0"/>
            <w:vAlign w:val="bottom"/>
          </w:tcPr>
          <w:p w14:paraId="51B07B90">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98.35%</w:t>
            </w:r>
          </w:p>
        </w:tc>
      </w:tr>
      <w:tr w14:paraId="5C702683">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2BFBB22F">
            <w:pPr>
              <w:spacing w:line="560" w:lineRule="exact"/>
              <w:rPr>
                <w:rFonts w:hint="eastAsia" w:ascii="仿宋" w:hAnsi="仿宋" w:eastAsia="仿宋" w:cs="仿宋"/>
                <w:szCs w:val="21"/>
              </w:rPr>
            </w:pPr>
            <w:r>
              <w:rPr>
                <w:rFonts w:hint="eastAsia" w:ascii="仿宋" w:hAnsi="仿宋" w:eastAsia="仿宋" w:cs="仿宋"/>
                <w:szCs w:val="21"/>
              </w:rPr>
              <w:t>月坛街道移动办公经费</w:t>
            </w:r>
          </w:p>
        </w:tc>
        <w:tc>
          <w:tcPr>
            <w:tcW w:w="1507" w:type="dxa"/>
            <w:noWrap w:val="0"/>
            <w:vAlign w:val="bottom"/>
          </w:tcPr>
          <w:p w14:paraId="7F4D766D">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201.00</w:t>
            </w:r>
          </w:p>
        </w:tc>
        <w:tc>
          <w:tcPr>
            <w:tcW w:w="1540" w:type="dxa"/>
            <w:noWrap w:val="0"/>
            <w:vAlign w:val="bottom"/>
          </w:tcPr>
          <w:p w14:paraId="2A1C6097">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201.00</w:t>
            </w:r>
          </w:p>
        </w:tc>
        <w:tc>
          <w:tcPr>
            <w:tcW w:w="1541" w:type="dxa"/>
            <w:noWrap w:val="0"/>
            <w:vAlign w:val="bottom"/>
          </w:tcPr>
          <w:p w14:paraId="2090F90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201.00</w:t>
            </w:r>
          </w:p>
        </w:tc>
        <w:tc>
          <w:tcPr>
            <w:tcW w:w="1030" w:type="dxa"/>
            <w:noWrap w:val="0"/>
            <w:vAlign w:val="bottom"/>
          </w:tcPr>
          <w:p w14:paraId="2F3E457B">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1296A523">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36CAD2CC">
            <w:pPr>
              <w:spacing w:line="560" w:lineRule="exact"/>
              <w:rPr>
                <w:rFonts w:hint="eastAsia" w:ascii="仿宋" w:hAnsi="仿宋" w:eastAsia="仿宋" w:cs="仿宋"/>
                <w:szCs w:val="21"/>
              </w:rPr>
            </w:pPr>
            <w:r>
              <w:rPr>
                <w:rFonts w:hint="eastAsia" w:ascii="仿宋" w:hAnsi="仿宋" w:eastAsia="仿宋" w:cs="仿宋"/>
                <w:szCs w:val="21"/>
              </w:rPr>
              <w:t>机关及社区购计算机设备及软件</w:t>
            </w:r>
          </w:p>
        </w:tc>
        <w:tc>
          <w:tcPr>
            <w:tcW w:w="1507" w:type="dxa"/>
            <w:noWrap w:val="0"/>
            <w:vAlign w:val="bottom"/>
          </w:tcPr>
          <w:p w14:paraId="270922DF">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113.23</w:t>
            </w:r>
          </w:p>
        </w:tc>
        <w:tc>
          <w:tcPr>
            <w:tcW w:w="1540" w:type="dxa"/>
            <w:noWrap w:val="0"/>
            <w:vAlign w:val="bottom"/>
          </w:tcPr>
          <w:p w14:paraId="102A47C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113.23</w:t>
            </w:r>
          </w:p>
        </w:tc>
        <w:tc>
          <w:tcPr>
            <w:tcW w:w="1541" w:type="dxa"/>
            <w:noWrap w:val="0"/>
            <w:vAlign w:val="bottom"/>
          </w:tcPr>
          <w:p w14:paraId="57A61E25">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113.43</w:t>
            </w:r>
          </w:p>
        </w:tc>
        <w:tc>
          <w:tcPr>
            <w:tcW w:w="1030" w:type="dxa"/>
            <w:noWrap w:val="0"/>
            <w:vAlign w:val="bottom"/>
          </w:tcPr>
          <w:p w14:paraId="1941C1D1">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3B6B141E">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3553A15B">
            <w:pPr>
              <w:spacing w:line="560" w:lineRule="exact"/>
              <w:rPr>
                <w:rFonts w:hint="eastAsia" w:ascii="仿宋" w:hAnsi="仿宋" w:eastAsia="仿宋" w:cs="仿宋"/>
                <w:szCs w:val="21"/>
              </w:rPr>
            </w:pPr>
            <w:r>
              <w:rPr>
                <w:rFonts w:hint="eastAsia" w:ascii="仿宋" w:hAnsi="仿宋" w:eastAsia="仿宋" w:cs="仿宋"/>
                <w:szCs w:val="21"/>
              </w:rPr>
              <w:t>公益性就业组织岗位补贴经费</w:t>
            </w:r>
          </w:p>
        </w:tc>
        <w:tc>
          <w:tcPr>
            <w:tcW w:w="1507" w:type="dxa"/>
            <w:noWrap w:val="0"/>
            <w:vAlign w:val="bottom"/>
          </w:tcPr>
          <w:p w14:paraId="733CDF43">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337.40</w:t>
            </w:r>
          </w:p>
        </w:tc>
        <w:tc>
          <w:tcPr>
            <w:tcW w:w="1540" w:type="dxa"/>
            <w:noWrap w:val="0"/>
            <w:vAlign w:val="bottom"/>
          </w:tcPr>
          <w:p w14:paraId="46FE1DF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337.40</w:t>
            </w:r>
          </w:p>
        </w:tc>
        <w:tc>
          <w:tcPr>
            <w:tcW w:w="1541" w:type="dxa"/>
            <w:noWrap w:val="0"/>
            <w:vAlign w:val="bottom"/>
          </w:tcPr>
          <w:p w14:paraId="3C4CFE10">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500.00</w:t>
            </w:r>
          </w:p>
        </w:tc>
        <w:tc>
          <w:tcPr>
            <w:tcW w:w="1030" w:type="dxa"/>
            <w:noWrap w:val="0"/>
            <w:vAlign w:val="bottom"/>
          </w:tcPr>
          <w:p w14:paraId="33A9486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7C66C3F5">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3C08511E">
            <w:pPr>
              <w:spacing w:line="560" w:lineRule="exact"/>
              <w:rPr>
                <w:rFonts w:hint="eastAsia" w:ascii="仿宋" w:hAnsi="仿宋" w:eastAsia="仿宋" w:cs="仿宋"/>
                <w:szCs w:val="21"/>
              </w:rPr>
            </w:pPr>
            <w:r>
              <w:rPr>
                <w:rFonts w:hint="eastAsia" w:ascii="仿宋" w:hAnsi="仿宋" w:eastAsia="仿宋" w:cs="仿宋"/>
                <w:szCs w:val="21"/>
              </w:rPr>
              <w:t>低保、低收入医疗救助金</w:t>
            </w:r>
          </w:p>
        </w:tc>
        <w:tc>
          <w:tcPr>
            <w:tcW w:w="1507" w:type="dxa"/>
            <w:noWrap w:val="0"/>
            <w:vAlign w:val="bottom"/>
          </w:tcPr>
          <w:p w14:paraId="286332D4">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220.00</w:t>
            </w:r>
          </w:p>
        </w:tc>
        <w:tc>
          <w:tcPr>
            <w:tcW w:w="1540" w:type="dxa"/>
            <w:noWrap w:val="0"/>
            <w:vAlign w:val="bottom"/>
          </w:tcPr>
          <w:p w14:paraId="595C1C7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220.00</w:t>
            </w:r>
          </w:p>
        </w:tc>
        <w:tc>
          <w:tcPr>
            <w:tcW w:w="1541" w:type="dxa"/>
            <w:noWrap w:val="0"/>
            <w:vAlign w:val="bottom"/>
          </w:tcPr>
          <w:p w14:paraId="014EDD36">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220.00</w:t>
            </w:r>
          </w:p>
        </w:tc>
        <w:tc>
          <w:tcPr>
            <w:tcW w:w="1030" w:type="dxa"/>
            <w:noWrap w:val="0"/>
            <w:vAlign w:val="bottom"/>
          </w:tcPr>
          <w:p w14:paraId="60B5AC80">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76B2B88A">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38F0F5D1">
            <w:pPr>
              <w:spacing w:line="560" w:lineRule="exact"/>
              <w:rPr>
                <w:rFonts w:hint="eastAsia" w:ascii="仿宋" w:hAnsi="仿宋" w:eastAsia="仿宋" w:cs="仿宋"/>
                <w:szCs w:val="21"/>
              </w:rPr>
            </w:pPr>
            <w:r>
              <w:rPr>
                <w:rFonts w:hint="eastAsia" w:ascii="仿宋" w:hAnsi="仿宋" w:eastAsia="仿宋" w:cs="仿宋"/>
                <w:szCs w:val="21"/>
              </w:rPr>
              <w:t>退养人员二次报销药费</w:t>
            </w:r>
          </w:p>
        </w:tc>
        <w:tc>
          <w:tcPr>
            <w:tcW w:w="1507" w:type="dxa"/>
            <w:noWrap w:val="0"/>
            <w:vAlign w:val="bottom"/>
          </w:tcPr>
          <w:p w14:paraId="44A42649">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138.78</w:t>
            </w:r>
          </w:p>
        </w:tc>
        <w:tc>
          <w:tcPr>
            <w:tcW w:w="1540" w:type="dxa"/>
            <w:noWrap w:val="0"/>
            <w:vAlign w:val="bottom"/>
          </w:tcPr>
          <w:p w14:paraId="438728BC">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138.78</w:t>
            </w:r>
          </w:p>
        </w:tc>
        <w:tc>
          <w:tcPr>
            <w:tcW w:w="1541" w:type="dxa"/>
            <w:noWrap w:val="0"/>
            <w:vAlign w:val="bottom"/>
          </w:tcPr>
          <w:p w14:paraId="5C1C0E2C">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170.00</w:t>
            </w:r>
          </w:p>
        </w:tc>
        <w:tc>
          <w:tcPr>
            <w:tcW w:w="1030" w:type="dxa"/>
            <w:noWrap w:val="0"/>
            <w:vAlign w:val="bottom"/>
          </w:tcPr>
          <w:p w14:paraId="54CF74F5">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7492A1D4">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40EBE2FA">
            <w:pPr>
              <w:spacing w:line="560" w:lineRule="exact"/>
              <w:rPr>
                <w:rFonts w:hint="eastAsia" w:ascii="仿宋" w:hAnsi="仿宋" w:eastAsia="仿宋" w:cs="仿宋"/>
                <w:szCs w:val="21"/>
              </w:rPr>
            </w:pPr>
            <w:r>
              <w:rPr>
                <w:rFonts w:hint="eastAsia" w:ascii="仿宋" w:hAnsi="仿宋" w:eastAsia="仿宋" w:cs="仿宋"/>
                <w:szCs w:val="21"/>
              </w:rPr>
              <w:t>基层政权和社区建设经费</w:t>
            </w:r>
          </w:p>
        </w:tc>
        <w:tc>
          <w:tcPr>
            <w:tcW w:w="1507" w:type="dxa"/>
            <w:noWrap w:val="0"/>
            <w:vAlign w:val="bottom"/>
          </w:tcPr>
          <w:p w14:paraId="0E933854">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143.05</w:t>
            </w:r>
          </w:p>
        </w:tc>
        <w:tc>
          <w:tcPr>
            <w:tcW w:w="1540" w:type="dxa"/>
            <w:noWrap w:val="0"/>
            <w:vAlign w:val="bottom"/>
          </w:tcPr>
          <w:p w14:paraId="33228FD1">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143.05</w:t>
            </w:r>
          </w:p>
        </w:tc>
        <w:tc>
          <w:tcPr>
            <w:tcW w:w="1541" w:type="dxa"/>
            <w:noWrap w:val="0"/>
            <w:vAlign w:val="bottom"/>
          </w:tcPr>
          <w:p w14:paraId="10D05FDE">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118.00</w:t>
            </w:r>
          </w:p>
        </w:tc>
        <w:tc>
          <w:tcPr>
            <w:tcW w:w="1030" w:type="dxa"/>
            <w:noWrap w:val="0"/>
            <w:vAlign w:val="bottom"/>
          </w:tcPr>
          <w:p w14:paraId="7F2A4756">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7A7C099A">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06D41AD8">
            <w:pPr>
              <w:spacing w:line="560" w:lineRule="exact"/>
              <w:rPr>
                <w:rFonts w:hint="eastAsia" w:ascii="仿宋" w:hAnsi="仿宋" w:eastAsia="仿宋" w:cs="仿宋"/>
                <w:szCs w:val="21"/>
              </w:rPr>
            </w:pPr>
            <w:r>
              <w:rPr>
                <w:rFonts w:hint="eastAsia" w:ascii="仿宋" w:hAnsi="仿宋" w:eastAsia="仿宋" w:cs="仿宋"/>
                <w:szCs w:val="21"/>
              </w:rPr>
              <w:t>社区公益事业专项补助资金</w:t>
            </w:r>
          </w:p>
        </w:tc>
        <w:tc>
          <w:tcPr>
            <w:tcW w:w="1507" w:type="dxa"/>
            <w:noWrap w:val="0"/>
            <w:vAlign w:val="bottom"/>
          </w:tcPr>
          <w:p w14:paraId="79829BE4">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203.87</w:t>
            </w:r>
          </w:p>
        </w:tc>
        <w:tc>
          <w:tcPr>
            <w:tcW w:w="1540" w:type="dxa"/>
            <w:noWrap w:val="0"/>
            <w:vAlign w:val="bottom"/>
          </w:tcPr>
          <w:p w14:paraId="2DBFC8F1">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209.59</w:t>
            </w:r>
          </w:p>
        </w:tc>
        <w:tc>
          <w:tcPr>
            <w:tcW w:w="1541" w:type="dxa"/>
            <w:noWrap w:val="0"/>
            <w:vAlign w:val="bottom"/>
          </w:tcPr>
          <w:p w14:paraId="03252F47">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223.57</w:t>
            </w:r>
          </w:p>
        </w:tc>
        <w:tc>
          <w:tcPr>
            <w:tcW w:w="1030" w:type="dxa"/>
            <w:noWrap w:val="0"/>
            <w:vAlign w:val="bottom"/>
          </w:tcPr>
          <w:p w14:paraId="11617921">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97.27%</w:t>
            </w:r>
          </w:p>
        </w:tc>
      </w:tr>
      <w:tr w14:paraId="481C7E84">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6" w:hRule="atLeast"/>
        </w:trPr>
        <w:tc>
          <w:tcPr>
            <w:tcW w:w="3782" w:type="dxa"/>
            <w:noWrap w:val="0"/>
            <w:vAlign w:val="top"/>
          </w:tcPr>
          <w:p w14:paraId="40EE3A2C">
            <w:pPr>
              <w:spacing w:line="560" w:lineRule="exact"/>
              <w:rPr>
                <w:rFonts w:hint="eastAsia" w:ascii="仿宋" w:hAnsi="仿宋" w:eastAsia="仿宋" w:cs="仿宋"/>
                <w:szCs w:val="21"/>
              </w:rPr>
            </w:pPr>
            <w:r>
              <w:rPr>
                <w:rFonts w:hint="eastAsia" w:ascii="仿宋" w:hAnsi="仿宋" w:eastAsia="仿宋" w:cs="仿宋"/>
                <w:szCs w:val="21"/>
              </w:rPr>
              <w:t>月坛地区文化养老经费</w:t>
            </w:r>
          </w:p>
        </w:tc>
        <w:tc>
          <w:tcPr>
            <w:tcW w:w="1507" w:type="dxa"/>
            <w:noWrap w:val="0"/>
            <w:vAlign w:val="bottom"/>
          </w:tcPr>
          <w:p w14:paraId="62FFC7B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217.82</w:t>
            </w:r>
          </w:p>
        </w:tc>
        <w:tc>
          <w:tcPr>
            <w:tcW w:w="1540" w:type="dxa"/>
            <w:noWrap w:val="0"/>
            <w:vAlign w:val="bottom"/>
          </w:tcPr>
          <w:p w14:paraId="53B16DD9">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217.82</w:t>
            </w:r>
          </w:p>
        </w:tc>
        <w:tc>
          <w:tcPr>
            <w:tcW w:w="1541" w:type="dxa"/>
            <w:noWrap w:val="0"/>
            <w:vAlign w:val="bottom"/>
          </w:tcPr>
          <w:p w14:paraId="2FB62B4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217.87</w:t>
            </w:r>
          </w:p>
        </w:tc>
        <w:tc>
          <w:tcPr>
            <w:tcW w:w="1030" w:type="dxa"/>
            <w:noWrap w:val="0"/>
            <w:vAlign w:val="bottom"/>
          </w:tcPr>
          <w:p w14:paraId="5B9C846F">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13D41BEF">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2FDA8D97">
            <w:pPr>
              <w:spacing w:line="560" w:lineRule="exact"/>
              <w:rPr>
                <w:rFonts w:hint="eastAsia" w:ascii="仿宋" w:hAnsi="仿宋" w:eastAsia="仿宋" w:cs="仿宋"/>
                <w:szCs w:val="21"/>
              </w:rPr>
            </w:pPr>
            <w:r>
              <w:rPr>
                <w:rFonts w:hint="eastAsia" w:ascii="仿宋" w:hAnsi="仿宋" w:eastAsia="仿宋" w:cs="仿宋"/>
                <w:szCs w:val="21"/>
              </w:rPr>
              <w:t>社区教育经费</w:t>
            </w:r>
          </w:p>
        </w:tc>
        <w:tc>
          <w:tcPr>
            <w:tcW w:w="1507" w:type="dxa"/>
            <w:noWrap w:val="0"/>
            <w:vAlign w:val="bottom"/>
          </w:tcPr>
          <w:p w14:paraId="694E914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106.65</w:t>
            </w:r>
          </w:p>
        </w:tc>
        <w:tc>
          <w:tcPr>
            <w:tcW w:w="1540" w:type="dxa"/>
            <w:noWrap w:val="0"/>
            <w:vAlign w:val="bottom"/>
          </w:tcPr>
          <w:p w14:paraId="5CAEB69F">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107.00</w:t>
            </w:r>
          </w:p>
        </w:tc>
        <w:tc>
          <w:tcPr>
            <w:tcW w:w="1541" w:type="dxa"/>
            <w:noWrap w:val="0"/>
            <w:vAlign w:val="bottom"/>
          </w:tcPr>
          <w:p w14:paraId="371AAD2C">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112.00</w:t>
            </w:r>
          </w:p>
        </w:tc>
        <w:tc>
          <w:tcPr>
            <w:tcW w:w="1030" w:type="dxa"/>
            <w:noWrap w:val="0"/>
            <w:vAlign w:val="bottom"/>
          </w:tcPr>
          <w:p w14:paraId="2C08174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99.68%</w:t>
            </w:r>
          </w:p>
        </w:tc>
      </w:tr>
      <w:tr w14:paraId="41686615">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0DDF2B3F">
            <w:pPr>
              <w:spacing w:line="560" w:lineRule="exact"/>
              <w:rPr>
                <w:rFonts w:hint="eastAsia" w:ascii="仿宋" w:hAnsi="仿宋" w:eastAsia="仿宋" w:cs="仿宋"/>
                <w:szCs w:val="21"/>
              </w:rPr>
            </w:pPr>
            <w:r>
              <w:rPr>
                <w:rFonts w:hint="eastAsia" w:ascii="仿宋" w:hAnsi="仿宋" w:eastAsia="仿宋" w:cs="仿宋"/>
                <w:szCs w:val="21"/>
              </w:rPr>
              <w:t>宣传经费</w:t>
            </w:r>
          </w:p>
        </w:tc>
        <w:tc>
          <w:tcPr>
            <w:tcW w:w="1507" w:type="dxa"/>
            <w:noWrap w:val="0"/>
            <w:vAlign w:val="bottom"/>
          </w:tcPr>
          <w:p w14:paraId="0E380771">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182.00</w:t>
            </w:r>
          </w:p>
        </w:tc>
        <w:tc>
          <w:tcPr>
            <w:tcW w:w="1540" w:type="dxa"/>
            <w:noWrap w:val="0"/>
            <w:vAlign w:val="bottom"/>
          </w:tcPr>
          <w:p w14:paraId="7ABEFBA9">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182.00</w:t>
            </w:r>
          </w:p>
        </w:tc>
        <w:tc>
          <w:tcPr>
            <w:tcW w:w="1541" w:type="dxa"/>
            <w:noWrap w:val="0"/>
            <w:vAlign w:val="bottom"/>
          </w:tcPr>
          <w:p w14:paraId="1A92CDBC">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182.00</w:t>
            </w:r>
          </w:p>
        </w:tc>
        <w:tc>
          <w:tcPr>
            <w:tcW w:w="1030" w:type="dxa"/>
            <w:noWrap w:val="0"/>
            <w:vAlign w:val="bottom"/>
          </w:tcPr>
          <w:p w14:paraId="7680A510">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6A5E99B1">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01523E99">
            <w:pPr>
              <w:spacing w:line="560" w:lineRule="exact"/>
              <w:rPr>
                <w:rFonts w:hint="eastAsia" w:ascii="仿宋" w:hAnsi="仿宋" w:eastAsia="仿宋" w:cs="仿宋"/>
                <w:szCs w:val="21"/>
              </w:rPr>
            </w:pPr>
            <w:r>
              <w:rPr>
                <w:rFonts w:hint="eastAsia" w:ascii="仿宋" w:hAnsi="仿宋" w:eastAsia="仿宋" w:cs="仿宋"/>
                <w:szCs w:val="21"/>
              </w:rPr>
              <w:t>平安创建工作经费</w:t>
            </w:r>
          </w:p>
        </w:tc>
        <w:tc>
          <w:tcPr>
            <w:tcW w:w="1507" w:type="dxa"/>
            <w:noWrap w:val="0"/>
            <w:vAlign w:val="bottom"/>
          </w:tcPr>
          <w:p w14:paraId="7E09287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197.99</w:t>
            </w:r>
          </w:p>
        </w:tc>
        <w:tc>
          <w:tcPr>
            <w:tcW w:w="1540" w:type="dxa"/>
            <w:noWrap w:val="0"/>
            <w:vAlign w:val="bottom"/>
          </w:tcPr>
          <w:p w14:paraId="1CC10CD9">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207.24</w:t>
            </w:r>
          </w:p>
        </w:tc>
        <w:tc>
          <w:tcPr>
            <w:tcW w:w="1541" w:type="dxa"/>
            <w:noWrap w:val="0"/>
            <w:vAlign w:val="bottom"/>
          </w:tcPr>
          <w:p w14:paraId="32794409">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291.18</w:t>
            </w:r>
          </w:p>
        </w:tc>
        <w:tc>
          <w:tcPr>
            <w:tcW w:w="1030" w:type="dxa"/>
            <w:noWrap w:val="0"/>
            <w:vAlign w:val="bottom"/>
          </w:tcPr>
          <w:p w14:paraId="52F11E6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95.54%</w:t>
            </w:r>
          </w:p>
        </w:tc>
      </w:tr>
      <w:tr w14:paraId="126B894A">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774A2EF8">
            <w:pPr>
              <w:spacing w:line="560" w:lineRule="exact"/>
              <w:rPr>
                <w:rFonts w:hint="eastAsia" w:ascii="仿宋" w:hAnsi="仿宋" w:eastAsia="仿宋" w:cs="仿宋"/>
                <w:szCs w:val="21"/>
              </w:rPr>
            </w:pPr>
            <w:r>
              <w:rPr>
                <w:rFonts w:hint="eastAsia" w:ascii="仿宋" w:hAnsi="仿宋" w:eastAsia="仿宋" w:cs="仿宋"/>
                <w:szCs w:val="21"/>
              </w:rPr>
              <w:t>月坛街道综合防控视频系统扩建</w:t>
            </w:r>
          </w:p>
        </w:tc>
        <w:tc>
          <w:tcPr>
            <w:tcW w:w="1507" w:type="dxa"/>
            <w:noWrap w:val="0"/>
            <w:vAlign w:val="bottom"/>
          </w:tcPr>
          <w:p w14:paraId="758A8A26">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0.00</w:t>
            </w:r>
          </w:p>
        </w:tc>
        <w:tc>
          <w:tcPr>
            <w:tcW w:w="1540" w:type="dxa"/>
            <w:noWrap w:val="0"/>
            <w:vAlign w:val="bottom"/>
          </w:tcPr>
          <w:p w14:paraId="2EC986BC">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140</w:t>
            </w:r>
          </w:p>
        </w:tc>
        <w:tc>
          <w:tcPr>
            <w:tcW w:w="1541" w:type="dxa"/>
            <w:noWrap w:val="0"/>
            <w:vAlign w:val="bottom"/>
          </w:tcPr>
          <w:p w14:paraId="6A763A1F">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140.00</w:t>
            </w:r>
          </w:p>
        </w:tc>
        <w:tc>
          <w:tcPr>
            <w:tcW w:w="1030" w:type="dxa"/>
            <w:noWrap w:val="0"/>
            <w:vAlign w:val="bottom"/>
          </w:tcPr>
          <w:p w14:paraId="76FE3723">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0%</w:t>
            </w:r>
          </w:p>
        </w:tc>
      </w:tr>
      <w:tr w14:paraId="18D3BF05">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112861B8">
            <w:pPr>
              <w:spacing w:line="560" w:lineRule="exact"/>
              <w:rPr>
                <w:rFonts w:hint="eastAsia" w:ascii="仿宋" w:hAnsi="仿宋" w:eastAsia="仿宋" w:cs="仿宋"/>
                <w:szCs w:val="21"/>
              </w:rPr>
            </w:pPr>
            <w:r>
              <w:rPr>
                <w:rFonts w:hint="eastAsia" w:ascii="仿宋" w:hAnsi="仿宋" w:eastAsia="仿宋" w:cs="仿宋"/>
                <w:szCs w:val="21"/>
              </w:rPr>
              <w:t>反恐处突小分队保安服务费</w:t>
            </w:r>
          </w:p>
        </w:tc>
        <w:tc>
          <w:tcPr>
            <w:tcW w:w="1507" w:type="dxa"/>
            <w:noWrap w:val="0"/>
            <w:vAlign w:val="bottom"/>
          </w:tcPr>
          <w:p w14:paraId="4D683915">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234.50</w:t>
            </w:r>
          </w:p>
        </w:tc>
        <w:tc>
          <w:tcPr>
            <w:tcW w:w="1540" w:type="dxa"/>
            <w:noWrap w:val="0"/>
            <w:vAlign w:val="bottom"/>
          </w:tcPr>
          <w:p w14:paraId="7EA21A5C">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234.50</w:t>
            </w:r>
          </w:p>
        </w:tc>
        <w:tc>
          <w:tcPr>
            <w:tcW w:w="1541" w:type="dxa"/>
            <w:noWrap w:val="0"/>
            <w:vAlign w:val="bottom"/>
          </w:tcPr>
          <w:p w14:paraId="609B1F19">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228.00</w:t>
            </w:r>
          </w:p>
        </w:tc>
        <w:tc>
          <w:tcPr>
            <w:tcW w:w="1030" w:type="dxa"/>
            <w:noWrap w:val="0"/>
            <w:vAlign w:val="bottom"/>
          </w:tcPr>
          <w:p w14:paraId="09013CBE">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3BD493CB">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22C4CC62">
            <w:pPr>
              <w:spacing w:line="560" w:lineRule="exact"/>
              <w:rPr>
                <w:rFonts w:hint="eastAsia" w:ascii="仿宋" w:hAnsi="仿宋" w:eastAsia="仿宋" w:cs="仿宋"/>
                <w:szCs w:val="21"/>
              </w:rPr>
            </w:pPr>
            <w:r>
              <w:rPr>
                <w:rFonts w:hint="eastAsia" w:ascii="仿宋" w:hAnsi="仿宋" w:eastAsia="仿宋" w:cs="仿宋"/>
                <w:szCs w:val="21"/>
              </w:rPr>
              <w:t>治安志愿者经费</w:t>
            </w:r>
          </w:p>
        </w:tc>
        <w:tc>
          <w:tcPr>
            <w:tcW w:w="1507" w:type="dxa"/>
            <w:noWrap w:val="0"/>
            <w:vAlign w:val="bottom"/>
          </w:tcPr>
          <w:p w14:paraId="696668D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172.44</w:t>
            </w:r>
          </w:p>
        </w:tc>
        <w:tc>
          <w:tcPr>
            <w:tcW w:w="1540" w:type="dxa"/>
            <w:noWrap w:val="0"/>
            <w:vAlign w:val="bottom"/>
          </w:tcPr>
          <w:p w14:paraId="4DA924F4">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172.44</w:t>
            </w:r>
          </w:p>
        </w:tc>
        <w:tc>
          <w:tcPr>
            <w:tcW w:w="1541" w:type="dxa"/>
            <w:noWrap w:val="0"/>
            <w:vAlign w:val="bottom"/>
          </w:tcPr>
          <w:p w14:paraId="0F853E64">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209.34</w:t>
            </w:r>
          </w:p>
        </w:tc>
        <w:tc>
          <w:tcPr>
            <w:tcW w:w="1030" w:type="dxa"/>
            <w:noWrap w:val="0"/>
            <w:vAlign w:val="bottom"/>
          </w:tcPr>
          <w:p w14:paraId="2BE38580">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08C8056E">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0222A5A8">
            <w:pPr>
              <w:spacing w:line="560" w:lineRule="exact"/>
              <w:rPr>
                <w:rFonts w:hint="eastAsia" w:ascii="仿宋" w:hAnsi="仿宋" w:eastAsia="仿宋" w:cs="仿宋"/>
                <w:szCs w:val="21"/>
              </w:rPr>
            </w:pPr>
            <w:r>
              <w:rPr>
                <w:rFonts w:hint="eastAsia" w:ascii="仿宋" w:hAnsi="仿宋" w:eastAsia="仿宋" w:cs="仿宋"/>
                <w:szCs w:val="21"/>
              </w:rPr>
              <w:t>社区基层党组织活动经费</w:t>
            </w:r>
          </w:p>
        </w:tc>
        <w:tc>
          <w:tcPr>
            <w:tcW w:w="1507" w:type="dxa"/>
            <w:noWrap w:val="0"/>
            <w:vAlign w:val="bottom"/>
          </w:tcPr>
          <w:p w14:paraId="5A04267F">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191.31</w:t>
            </w:r>
          </w:p>
        </w:tc>
        <w:tc>
          <w:tcPr>
            <w:tcW w:w="1540" w:type="dxa"/>
            <w:noWrap w:val="0"/>
            <w:vAlign w:val="bottom"/>
          </w:tcPr>
          <w:p w14:paraId="551707A2">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212.00</w:t>
            </w:r>
          </w:p>
        </w:tc>
        <w:tc>
          <w:tcPr>
            <w:tcW w:w="1541" w:type="dxa"/>
            <w:noWrap w:val="0"/>
            <w:vAlign w:val="bottom"/>
          </w:tcPr>
          <w:p w14:paraId="564EB1D1">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212.00</w:t>
            </w:r>
          </w:p>
        </w:tc>
        <w:tc>
          <w:tcPr>
            <w:tcW w:w="1030" w:type="dxa"/>
            <w:noWrap w:val="0"/>
            <w:vAlign w:val="bottom"/>
          </w:tcPr>
          <w:p w14:paraId="137A3AAB">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90.24%</w:t>
            </w:r>
          </w:p>
        </w:tc>
      </w:tr>
      <w:tr w14:paraId="2B371372">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top"/>
          </w:tcPr>
          <w:p w14:paraId="6AEAD790">
            <w:pPr>
              <w:spacing w:line="560" w:lineRule="exact"/>
              <w:rPr>
                <w:rFonts w:hint="eastAsia" w:ascii="仿宋" w:hAnsi="仿宋" w:eastAsia="仿宋" w:cs="仿宋"/>
                <w:szCs w:val="21"/>
              </w:rPr>
            </w:pPr>
            <w:r>
              <w:rPr>
                <w:rFonts w:hint="eastAsia" w:ascii="仿宋" w:hAnsi="仿宋" w:eastAsia="仿宋" w:cs="仿宋"/>
                <w:szCs w:val="21"/>
              </w:rPr>
              <w:t>社区党组织服务群众经费</w:t>
            </w:r>
          </w:p>
        </w:tc>
        <w:tc>
          <w:tcPr>
            <w:tcW w:w="1507" w:type="dxa"/>
            <w:noWrap w:val="0"/>
            <w:vAlign w:val="bottom"/>
          </w:tcPr>
          <w:p w14:paraId="636B5EFE">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400.00</w:t>
            </w:r>
          </w:p>
        </w:tc>
        <w:tc>
          <w:tcPr>
            <w:tcW w:w="1540" w:type="dxa"/>
            <w:noWrap w:val="0"/>
            <w:vAlign w:val="bottom"/>
          </w:tcPr>
          <w:p w14:paraId="073C80DD">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400.00</w:t>
            </w:r>
          </w:p>
        </w:tc>
        <w:tc>
          <w:tcPr>
            <w:tcW w:w="1541" w:type="dxa"/>
            <w:noWrap w:val="0"/>
            <w:vAlign w:val="bottom"/>
          </w:tcPr>
          <w:p w14:paraId="2536A810">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520.00</w:t>
            </w:r>
          </w:p>
        </w:tc>
        <w:tc>
          <w:tcPr>
            <w:tcW w:w="1030" w:type="dxa"/>
            <w:noWrap w:val="0"/>
            <w:vAlign w:val="bottom"/>
          </w:tcPr>
          <w:p w14:paraId="7E30CC7F">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100.00%</w:t>
            </w:r>
          </w:p>
        </w:tc>
      </w:tr>
      <w:tr w14:paraId="35EFACAB">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782" w:type="dxa"/>
            <w:noWrap w:val="0"/>
            <w:vAlign w:val="center"/>
          </w:tcPr>
          <w:p w14:paraId="2DDBACDC">
            <w:pPr>
              <w:spacing w:line="560" w:lineRule="exact"/>
              <w:jc w:val="center"/>
              <w:rPr>
                <w:rFonts w:hint="eastAsia" w:ascii="仿宋" w:hAnsi="仿宋" w:eastAsia="仿宋" w:cs="仿宋"/>
                <w:b/>
                <w:color w:val="000000"/>
                <w:szCs w:val="21"/>
              </w:rPr>
            </w:pPr>
            <w:r>
              <w:rPr>
                <w:rFonts w:hint="eastAsia" w:ascii="仿宋" w:hAnsi="仿宋" w:eastAsia="仿宋" w:cs="仿宋"/>
                <w:b/>
                <w:color w:val="000000"/>
                <w:szCs w:val="21"/>
              </w:rPr>
              <w:t>合计</w:t>
            </w:r>
          </w:p>
        </w:tc>
        <w:tc>
          <w:tcPr>
            <w:tcW w:w="1507" w:type="dxa"/>
            <w:noWrap w:val="0"/>
            <w:vAlign w:val="bottom"/>
          </w:tcPr>
          <w:p w14:paraId="68C9D5BA">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7,643.80</w:t>
            </w:r>
          </w:p>
        </w:tc>
        <w:tc>
          <w:tcPr>
            <w:tcW w:w="1540" w:type="dxa"/>
            <w:noWrap w:val="0"/>
            <w:vAlign w:val="bottom"/>
          </w:tcPr>
          <w:p w14:paraId="2605A6F6">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7790.11</w:t>
            </w:r>
          </w:p>
        </w:tc>
        <w:tc>
          <w:tcPr>
            <w:tcW w:w="1541" w:type="dxa"/>
            <w:noWrap w:val="0"/>
            <w:vAlign w:val="bottom"/>
          </w:tcPr>
          <w:p w14:paraId="45A23E51">
            <w:pPr>
              <w:widowControl/>
              <w:jc w:val="center"/>
              <w:textAlignment w:val="bottom"/>
              <w:rPr>
                <w:rFonts w:hint="eastAsia" w:ascii="仿宋" w:hAnsi="仿宋" w:eastAsia="仿宋" w:cs="仿宋"/>
                <w:bCs/>
                <w:color w:val="000000"/>
                <w:szCs w:val="21"/>
              </w:rPr>
            </w:pPr>
            <w:r>
              <w:rPr>
                <w:rFonts w:hint="eastAsia" w:ascii="仿宋" w:hAnsi="仿宋" w:eastAsia="仿宋" w:cs="仿宋"/>
                <w:color w:val="000000"/>
                <w:kern w:val="0"/>
                <w:szCs w:val="21"/>
                <w:lang w:bidi="ar"/>
              </w:rPr>
              <w:t>7,662.13</w:t>
            </w:r>
          </w:p>
        </w:tc>
        <w:tc>
          <w:tcPr>
            <w:tcW w:w="1030" w:type="dxa"/>
            <w:noWrap w:val="0"/>
            <w:vAlign w:val="bottom"/>
          </w:tcPr>
          <w:p w14:paraId="2D1E3069">
            <w:pPr>
              <w:widowControl/>
              <w:jc w:val="center"/>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99.42%</w:t>
            </w:r>
          </w:p>
        </w:tc>
      </w:tr>
      <w:bookmarkEnd w:id="11"/>
    </w:tbl>
    <w:p w14:paraId="17207E8A">
      <w:pPr>
        <w:pStyle w:val="5"/>
        <w:spacing w:before="156" w:beforeLines="50" w:after="0" w:line="560" w:lineRule="exact"/>
        <w:ind w:firstLine="321" w:firstLineChars="100"/>
        <w:jc w:val="left"/>
        <w:rPr>
          <w:rFonts w:ascii="仿宋" w:hAnsi="仿宋" w:eastAsia="仿宋"/>
          <w:kern w:val="2"/>
        </w:rPr>
      </w:pPr>
      <w:bookmarkStart w:id="12" w:name="_Toc8674"/>
      <w:r>
        <w:rPr>
          <w:rFonts w:hint="eastAsia" w:ascii="仿宋" w:hAnsi="仿宋" w:eastAsia="仿宋"/>
          <w:kern w:val="2"/>
        </w:rPr>
        <w:t>（三）各项目绩效目标完成情况及原因分析</w:t>
      </w:r>
      <w:bookmarkEnd w:id="12"/>
    </w:p>
    <w:p w14:paraId="56B8760A">
      <w:pPr>
        <w:ind w:firstLine="640" w:firstLineChars="200"/>
        <w:rPr>
          <w:rFonts w:hint="eastAsia" w:ascii="仿宋" w:hAnsi="仿宋" w:eastAsia="仿宋" w:cs="仿宋"/>
          <w:sz w:val="32"/>
          <w:szCs w:val="32"/>
        </w:rPr>
      </w:pPr>
      <w:bookmarkStart w:id="13" w:name="_Toc487795133"/>
      <w:r>
        <w:rPr>
          <w:rFonts w:hint="eastAsia" w:ascii="仿宋" w:hAnsi="仿宋" w:eastAsia="仿宋" w:cs="仿宋"/>
          <w:sz w:val="32"/>
          <w:szCs w:val="32"/>
        </w:rPr>
        <w:t>截至2018年12月31日，按照项目调整后的预算金额计算，25个重点跟踪项目中预算执行率100%的项目有15个，预算执行率90%以上的项目有9个。因客观因素影响，实施进度滞后预算未执行的项目1个。</w:t>
      </w:r>
    </w:p>
    <w:p w14:paraId="3E4D7934">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预算执行率100%的15个项目具体完成情况如下： </w:t>
      </w:r>
      <w:bookmarkEnd w:id="13"/>
    </w:p>
    <w:p w14:paraId="06F3A9A1">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由城管队实施的全响应网格员保安服务费项目截至2018年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日实际支出金额486.60万元，预算调整后金额486.60万元，预算执行率</w:t>
      </w:r>
      <w:r>
        <w:rPr>
          <w:rFonts w:ascii="仿宋" w:hAnsi="仿宋" w:eastAsia="仿宋"/>
          <w:sz w:val="32"/>
          <w:szCs w:val="32"/>
        </w:rPr>
        <w:t>10</w:t>
      </w:r>
      <w:r>
        <w:rPr>
          <w:rFonts w:hint="eastAsia" w:ascii="仿宋" w:hAnsi="仿宋" w:eastAsia="仿宋"/>
          <w:sz w:val="32"/>
          <w:szCs w:val="32"/>
        </w:rPr>
        <w:t>0%。</w:t>
      </w:r>
    </w:p>
    <w:p w14:paraId="3A2899E9">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rPr>
        <w:t>该项目是</w:t>
      </w:r>
      <w:r>
        <w:rPr>
          <w:rFonts w:hint="eastAsia" w:ascii="仿宋_GB2312" w:hAnsi="仿宋" w:eastAsia="仿宋_GB2312"/>
          <w:sz w:val="32"/>
          <w:szCs w:val="32"/>
        </w:rPr>
        <w:t>为了维护街道办事处的正常工作秩序，更好的</w:t>
      </w:r>
      <w:r>
        <w:rPr>
          <w:rFonts w:hint="eastAsia" w:ascii="仿宋_GB2312" w:hAnsi="仿宋" w:eastAsia="仿宋_GB2312"/>
          <w:bCs/>
          <w:sz w:val="32"/>
          <w:szCs w:val="32"/>
        </w:rPr>
        <w:t>协助城管队员完成日常检查和管理工作,</w:t>
      </w:r>
      <w:r>
        <w:rPr>
          <w:rFonts w:hint="eastAsia" w:ascii="仿宋" w:hAnsi="仿宋" w:eastAsia="仿宋"/>
          <w:sz w:val="32"/>
          <w:szCs w:val="32"/>
        </w:rPr>
        <w:t>提高精细化管理水平；进一步规范社区网格的人员配备与管理，明确工作责任；通过政府购买服务的方式委托华信中安（北京）保安服务有限公司实施，</w:t>
      </w:r>
      <w:r>
        <w:rPr>
          <w:rFonts w:hint="eastAsia" w:ascii="仿宋_GB2312" w:hAnsi="仿宋" w:eastAsia="仿宋_GB2312"/>
          <w:sz w:val="32"/>
          <w:szCs w:val="32"/>
        </w:rPr>
        <w:t>第一季度聘用专业保安90人，</w:t>
      </w:r>
      <w:r>
        <w:rPr>
          <w:rFonts w:hint="eastAsia" w:ascii="仿宋" w:hAnsi="仿宋" w:eastAsia="仿宋"/>
          <w:sz w:val="32"/>
          <w:szCs w:val="32"/>
        </w:rPr>
        <w:t>每人3</w:t>
      </w:r>
      <w:r>
        <w:rPr>
          <w:rFonts w:ascii="仿宋" w:hAnsi="仿宋" w:eastAsia="仿宋"/>
          <w:sz w:val="32"/>
          <w:szCs w:val="32"/>
        </w:rPr>
        <w:t>,</w:t>
      </w:r>
      <w:r>
        <w:rPr>
          <w:rFonts w:hint="eastAsia" w:ascii="仿宋" w:hAnsi="仿宋" w:eastAsia="仿宋"/>
          <w:sz w:val="32"/>
          <w:szCs w:val="32"/>
        </w:rPr>
        <w:t>800元/月，</w:t>
      </w:r>
      <w:r>
        <w:rPr>
          <w:rFonts w:hint="eastAsia" w:ascii="仿宋_GB2312" w:hAnsi="仿宋" w:eastAsia="仿宋_GB2312"/>
          <w:sz w:val="32"/>
          <w:szCs w:val="32"/>
        </w:rPr>
        <w:t>第二季度聘用专业保安100人，</w:t>
      </w:r>
      <w:r>
        <w:rPr>
          <w:rFonts w:hint="eastAsia" w:ascii="仿宋" w:hAnsi="仿宋" w:eastAsia="仿宋"/>
          <w:sz w:val="32"/>
          <w:szCs w:val="32"/>
        </w:rPr>
        <w:t>每人3</w:t>
      </w:r>
      <w:r>
        <w:rPr>
          <w:rFonts w:ascii="仿宋" w:hAnsi="仿宋" w:eastAsia="仿宋"/>
          <w:sz w:val="32"/>
          <w:szCs w:val="32"/>
        </w:rPr>
        <w:t>,</w:t>
      </w:r>
      <w:r>
        <w:rPr>
          <w:rFonts w:hint="eastAsia" w:ascii="仿宋" w:hAnsi="仿宋" w:eastAsia="仿宋"/>
          <w:sz w:val="32"/>
          <w:szCs w:val="32"/>
        </w:rPr>
        <w:t>800元/月，</w:t>
      </w:r>
      <w:r>
        <w:rPr>
          <w:rFonts w:hint="eastAsia" w:ascii="仿宋_GB2312" w:hAnsi="仿宋" w:eastAsia="仿宋_GB2312"/>
          <w:sz w:val="32"/>
          <w:szCs w:val="32"/>
        </w:rPr>
        <w:t>第三至四季度，每季度聘用专业保安100人，</w:t>
      </w:r>
      <w:r>
        <w:rPr>
          <w:rFonts w:hint="eastAsia" w:ascii="仿宋" w:hAnsi="仿宋" w:eastAsia="仿宋"/>
          <w:sz w:val="32"/>
          <w:szCs w:val="32"/>
        </w:rPr>
        <w:t>每人4</w:t>
      </w:r>
      <w:r>
        <w:rPr>
          <w:rFonts w:ascii="仿宋" w:hAnsi="仿宋" w:eastAsia="仿宋"/>
          <w:sz w:val="32"/>
          <w:szCs w:val="32"/>
        </w:rPr>
        <w:t>,</w:t>
      </w:r>
      <w:r>
        <w:rPr>
          <w:rFonts w:hint="eastAsia" w:ascii="仿宋" w:hAnsi="仿宋" w:eastAsia="仿宋"/>
          <w:sz w:val="32"/>
          <w:szCs w:val="32"/>
        </w:rPr>
        <w:t xml:space="preserve">500元/月，全年合计 </w:t>
      </w:r>
      <w:r>
        <w:rPr>
          <w:rFonts w:ascii="仿宋_GB2312" w:hAnsi="仿宋" w:eastAsia="仿宋_GB2312"/>
          <w:sz w:val="32"/>
          <w:szCs w:val="32"/>
        </w:rPr>
        <w:t>4</w:t>
      </w:r>
      <w:r>
        <w:rPr>
          <w:rFonts w:hint="eastAsia" w:ascii="仿宋_GB2312" w:hAnsi="仿宋" w:eastAsia="仿宋_GB2312"/>
          <w:sz w:val="32"/>
          <w:szCs w:val="32"/>
        </w:rPr>
        <w:t>8</w:t>
      </w:r>
      <w:r>
        <w:rPr>
          <w:rFonts w:ascii="仿宋_GB2312" w:hAnsi="仿宋" w:eastAsia="仿宋_GB2312"/>
          <w:sz w:val="32"/>
          <w:szCs w:val="32"/>
        </w:rPr>
        <w:t>6</w:t>
      </w:r>
      <w:r>
        <w:rPr>
          <w:rFonts w:hint="eastAsia" w:ascii="仿宋_GB2312" w:hAnsi="仿宋" w:eastAsia="仿宋_GB2312"/>
          <w:sz w:val="32"/>
          <w:szCs w:val="32"/>
        </w:rPr>
        <w:t>.60</w:t>
      </w:r>
      <w:r>
        <w:rPr>
          <w:rFonts w:hint="eastAsia" w:ascii="仿宋" w:hAnsi="仿宋" w:eastAsia="仿宋"/>
          <w:sz w:val="32"/>
          <w:szCs w:val="32"/>
        </w:rPr>
        <w:t>万元。依据《保安服务合同》，</w:t>
      </w:r>
      <w:r>
        <w:rPr>
          <w:rFonts w:hint="eastAsia" w:ascii="仿宋_GB2312" w:hAnsi="仿宋" w:eastAsia="仿宋_GB2312"/>
          <w:sz w:val="32"/>
          <w:szCs w:val="32"/>
        </w:rPr>
        <w:t>服务期限以季度为准，每季度签订一次。</w:t>
      </w:r>
    </w:p>
    <w:p w14:paraId="5AAE8771">
      <w:pPr>
        <w:spacing w:line="560" w:lineRule="exact"/>
        <w:ind w:firstLine="640" w:firstLineChars="200"/>
        <w:rPr>
          <w:rFonts w:hint="eastAsia" w:ascii="仿宋_GB2312" w:eastAsia="仿宋_GB2312"/>
          <w:sz w:val="32"/>
          <w:szCs w:val="34"/>
        </w:rPr>
      </w:pPr>
      <w:r>
        <w:rPr>
          <w:rFonts w:hint="eastAsia" w:ascii="仿宋" w:hAnsi="仿宋" w:eastAsia="仿宋"/>
          <w:sz w:val="32"/>
          <w:szCs w:val="32"/>
        </w:rPr>
        <w:t>项目调整情况及原因分析：</w:t>
      </w:r>
      <w:r>
        <w:rPr>
          <w:rFonts w:hint="eastAsia" w:ascii="仿宋_GB2312" w:eastAsia="仿宋_GB2312"/>
          <w:sz w:val="32"/>
          <w:szCs w:val="34"/>
        </w:rPr>
        <w:t>随着北京市生活消费水平的不断提高，保安用工成本也大幅度提升，依据2017年10月北京市保安协会关于执行《2017年度北京市保安服务最低成本标准》的通知规定，2017年北京市保安服务最低成本标准为4396元/人/月，华信中安（北京）保安服务有限公司恳请自2018年6月30日后，新签订合同中提升保安员服务费从3800元/人/月增加到4600元/人/月。结合月坛地区城市管理辅助工作的具体工作要求，考虑到实际情况，增加到4500元/人/月。</w:t>
      </w:r>
      <w:r>
        <w:rPr>
          <w:rFonts w:hint="eastAsia" w:ascii="仿宋_GB2312" w:hAnsi="仿宋" w:eastAsia="仿宋_GB2312"/>
          <w:sz w:val="32"/>
          <w:szCs w:val="32"/>
        </w:rPr>
        <w:t>因此</w:t>
      </w:r>
      <w:r>
        <w:rPr>
          <w:rFonts w:hint="eastAsia" w:ascii="仿宋" w:hAnsi="仿宋" w:eastAsia="仿宋"/>
          <w:sz w:val="32"/>
          <w:szCs w:val="32"/>
        </w:rPr>
        <w:t>调增预算金额30.60万元。</w:t>
      </w:r>
      <w:r>
        <w:rPr>
          <w:rFonts w:hint="eastAsia" w:ascii="仿宋_GB2312" w:eastAsia="仿宋_GB2312"/>
          <w:sz w:val="32"/>
          <w:szCs w:val="34"/>
        </w:rPr>
        <w:t>全年合计支出共486.60万元。</w:t>
      </w:r>
    </w:p>
    <w:p w14:paraId="43A6A1E6">
      <w:pPr>
        <w:spacing w:before="156" w:beforeLines="50" w:line="560" w:lineRule="exact"/>
        <w:ind w:firstLine="640" w:firstLineChars="200"/>
        <w:rPr>
          <w:rFonts w:hint="eastAsia" w:ascii="仿宋" w:hAnsi="仿宋" w:eastAsia="仿宋"/>
          <w:sz w:val="32"/>
          <w:szCs w:val="32"/>
        </w:rPr>
      </w:pPr>
      <w:r>
        <w:rPr>
          <w:rFonts w:hint="eastAsia" w:ascii="仿宋" w:hAnsi="仿宋" w:eastAsia="仿宋"/>
          <w:sz w:val="32"/>
          <w:szCs w:val="32"/>
        </w:rPr>
        <w:t>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日，项目已完成全年服务费用的支付。项目整体完成情况良好。</w:t>
      </w:r>
    </w:p>
    <w:p w14:paraId="1D77A5E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2.由发展服务办公室实施的月坛地区保洁经费项目截至2018年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日实际支出金额806.51万元，预算申请金额806.51万元，已完成全年预算的</w:t>
      </w:r>
      <w:r>
        <w:rPr>
          <w:rFonts w:ascii="仿宋" w:hAnsi="仿宋" w:eastAsia="仿宋"/>
          <w:sz w:val="32"/>
          <w:szCs w:val="32"/>
        </w:rPr>
        <w:t>100</w:t>
      </w:r>
      <w:r>
        <w:rPr>
          <w:rFonts w:hint="eastAsia" w:ascii="仿宋" w:hAnsi="仿宋" w:eastAsia="仿宋"/>
          <w:sz w:val="32"/>
          <w:szCs w:val="32"/>
        </w:rPr>
        <w:t>%。</w:t>
      </w:r>
    </w:p>
    <w:p w14:paraId="0CEF7110">
      <w:pPr>
        <w:spacing w:line="560" w:lineRule="exact"/>
        <w:ind w:firstLine="640" w:firstLineChars="200"/>
        <w:rPr>
          <w:rFonts w:hint="eastAsia" w:ascii="仿宋_GB2312" w:hAnsi="仿宋" w:eastAsia="仿宋_GB2312"/>
          <w:sz w:val="32"/>
          <w:szCs w:val="32"/>
        </w:rPr>
      </w:pPr>
      <w:bookmarkStart w:id="14" w:name="_Hlk503343816"/>
      <w:r>
        <w:rPr>
          <w:rFonts w:hint="eastAsia" w:ascii="仿宋" w:hAnsi="仿宋" w:eastAsia="仿宋"/>
          <w:sz w:val="32"/>
          <w:szCs w:val="32"/>
        </w:rPr>
        <w:t>该项目</w:t>
      </w:r>
      <w:bookmarkEnd w:id="14"/>
      <w:r>
        <w:rPr>
          <w:rFonts w:hint="eastAsia" w:ascii="仿宋" w:hAnsi="仿宋" w:eastAsia="仿宋"/>
          <w:sz w:val="32"/>
          <w:szCs w:val="32"/>
        </w:rPr>
        <w:t>是保障月坛地区113条大街及背街小巷的清扫保洁，清扫保洁总面积为</w:t>
      </w:r>
      <w:r>
        <w:rPr>
          <w:rFonts w:ascii="仿宋" w:hAnsi="仿宋" w:eastAsia="仿宋"/>
          <w:sz w:val="32"/>
          <w:szCs w:val="32"/>
        </w:rPr>
        <w:t>581</w:t>
      </w:r>
      <w:r>
        <w:rPr>
          <w:rFonts w:hint="eastAsia" w:ascii="仿宋" w:hAnsi="仿宋" w:eastAsia="仿宋"/>
          <w:sz w:val="32"/>
          <w:szCs w:val="32"/>
        </w:rPr>
        <w:t>,</w:t>
      </w:r>
      <w:r>
        <w:rPr>
          <w:rFonts w:ascii="仿宋" w:hAnsi="仿宋" w:eastAsia="仿宋"/>
          <w:sz w:val="32"/>
          <w:szCs w:val="32"/>
        </w:rPr>
        <w:t>898.4</w:t>
      </w:r>
      <w:r>
        <w:rPr>
          <w:rFonts w:hint="eastAsia" w:ascii="仿宋" w:hAnsi="仿宋" w:eastAsia="仿宋"/>
          <w:sz w:val="32"/>
          <w:szCs w:val="32"/>
        </w:rPr>
        <w:t>0平方米。该项目由发展服务办公室通过</w:t>
      </w:r>
      <w:bookmarkStart w:id="15" w:name="_Hlk503343878"/>
      <w:r>
        <w:rPr>
          <w:rFonts w:hint="eastAsia" w:ascii="仿宋" w:hAnsi="仿宋" w:eastAsia="仿宋"/>
          <w:sz w:val="32"/>
          <w:szCs w:val="32"/>
        </w:rPr>
        <w:t>单一来源采购方式委托第三方机构北京城市之洁环卫服务中心</w:t>
      </w:r>
      <w:bookmarkEnd w:id="15"/>
      <w:r>
        <w:rPr>
          <w:rFonts w:hint="eastAsia" w:ascii="仿宋" w:hAnsi="仿宋" w:eastAsia="仿宋"/>
          <w:sz w:val="32"/>
          <w:szCs w:val="32"/>
        </w:rPr>
        <w:t>具体实施，于</w:t>
      </w:r>
      <w:r>
        <w:rPr>
          <w:rFonts w:ascii="仿宋_GB2312" w:hAnsi="仿宋" w:eastAsia="仿宋_GB2312"/>
          <w:sz w:val="32"/>
          <w:szCs w:val="32"/>
        </w:rPr>
        <w:t>2018</w:t>
      </w:r>
      <w:r>
        <w:rPr>
          <w:rFonts w:hint="eastAsia" w:ascii="仿宋_GB2312" w:hAnsi="仿宋" w:eastAsia="仿宋_GB2312"/>
          <w:sz w:val="32"/>
          <w:szCs w:val="32"/>
        </w:rPr>
        <w:t>年</w:t>
      </w: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16</w:t>
      </w:r>
      <w:r>
        <w:rPr>
          <w:rFonts w:hint="eastAsia" w:ascii="仿宋_GB2312" w:hAnsi="仿宋" w:eastAsia="仿宋_GB2312"/>
          <w:sz w:val="32"/>
          <w:szCs w:val="32"/>
        </w:rPr>
        <w:t>日</w:t>
      </w:r>
      <w:r>
        <w:rPr>
          <w:rFonts w:hint="eastAsia" w:ascii="仿宋" w:hAnsi="仿宋" w:eastAsia="仿宋"/>
          <w:sz w:val="32"/>
          <w:szCs w:val="32"/>
        </w:rPr>
        <w:t>拨付合同首付款</w:t>
      </w:r>
      <w:r>
        <w:rPr>
          <w:rFonts w:ascii="仿宋" w:hAnsi="仿宋" w:eastAsia="仿宋"/>
          <w:sz w:val="32"/>
          <w:szCs w:val="32"/>
        </w:rPr>
        <w:t>4</w:t>
      </w:r>
      <w:r>
        <w:rPr>
          <w:rFonts w:hint="eastAsia" w:ascii="仿宋" w:hAnsi="仿宋" w:eastAsia="仿宋"/>
          <w:sz w:val="32"/>
          <w:szCs w:val="32"/>
        </w:rPr>
        <w:t>85万元，</w:t>
      </w:r>
      <w:r>
        <w:rPr>
          <w:rFonts w:hint="eastAsia" w:ascii="仿宋_GB2312" w:hAnsi="仿宋" w:eastAsia="仿宋_GB2312"/>
          <w:sz w:val="32"/>
          <w:szCs w:val="32"/>
        </w:rPr>
        <w:t>11月26日支付尾款</w:t>
      </w:r>
      <w:r>
        <w:rPr>
          <w:rFonts w:ascii="仿宋_GB2312" w:hAnsi="仿宋" w:eastAsia="仿宋_GB2312"/>
          <w:sz w:val="32"/>
          <w:szCs w:val="32"/>
        </w:rPr>
        <w:t>321</w:t>
      </w:r>
      <w:r>
        <w:rPr>
          <w:rFonts w:hint="eastAsia" w:ascii="仿宋_GB2312" w:hAnsi="仿宋" w:eastAsia="仿宋_GB2312"/>
          <w:sz w:val="32"/>
          <w:szCs w:val="32"/>
        </w:rPr>
        <w:t>.</w:t>
      </w:r>
      <w:r>
        <w:rPr>
          <w:rFonts w:ascii="仿宋_GB2312" w:hAnsi="仿宋" w:eastAsia="仿宋_GB2312"/>
          <w:sz w:val="32"/>
          <w:szCs w:val="32"/>
        </w:rPr>
        <w:t>51</w:t>
      </w:r>
      <w:r>
        <w:rPr>
          <w:rFonts w:hint="eastAsia" w:ascii="仿宋_GB2312" w:hAnsi="仿宋" w:eastAsia="仿宋_GB2312"/>
          <w:sz w:val="32"/>
          <w:szCs w:val="32"/>
        </w:rPr>
        <w:t>万元。</w:t>
      </w:r>
    </w:p>
    <w:p w14:paraId="4E95E99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项目按计划完成，项目绩效目标未发生偏离。</w:t>
      </w:r>
    </w:p>
    <w:p w14:paraId="0CD0804C">
      <w:pPr>
        <w:spacing w:line="560" w:lineRule="exact"/>
        <w:ind w:firstLine="640" w:firstLineChars="200"/>
        <w:rPr>
          <w:rStyle w:val="10"/>
          <w:rFonts w:hint="eastAsia" w:ascii="仿宋" w:hAnsi="仿宋" w:eastAsia="仿宋"/>
          <w:sz w:val="32"/>
          <w:szCs w:val="32"/>
        </w:rPr>
      </w:pPr>
      <w:r>
        <w:rPr>
          <w:rFonts w:hint="eastAsia" w:ascii="仿宋" w:hAnsi="仿宋" w:eastAsia="仿宋"/>
          <w:sz w:val="32"/>
          <w:szCs w:val="32"/>
        </w:rPr>
        <w:t>3.由发展服务办公室实施的月坛地区17个老旧小区环境保障项目截至2018年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日实际支出金额382.58万元，预算调整后金额382.58万元，预算执行率</w:t>
      </w:r>
      <w:r>
        <w:rPr>
          <w:rFonts w:ascii="仿宋" w:hAnsi="仿宋" w:eastAsia="仿宋"/>
          <w:sz w:val="32"/>
          <w:szCs w:val="32"/>
        </w:rPr>
        <w:t>100</w:t>
      </w:r>
      <w:r>
        <w:rPr>
          <w:rFonts w:hint="eastAsia" w:ascii="仿宋" w:hAnsi="仿宋" w:eastAsia="仿宋"/>
          <w:sz w:val="32"/>
          <w:szCs w:val="32"/>
        </w:rPr>
        <w:t>%。</w:t>
      </w:r>
    </w:p>
    <w:p w14:paraId="23413105">
      <w:pPr>
        <w:spacing w:line="560" w:lineRule="exact"/>
        <w:ind w:firstLine="640" w:firstLineChars="200"/>
        <w:rPr>
          <w:rFonts w:ascii="仿宋" w:hAnsi="仿宋" w:eastAsia="仿宋"/>
          <w:sz w:val="32"/>
          <w:szCs w:val="32"/>
        </w:rPr>
      </w:pPr>
      <w:r>
        <w:rPr>
          <w:rFonts w:hint="eastAsia" w:ascii="仿宋" w:hAnsi="仿宋" w:eastAsia="仿宋"/>
          <w:sz w:val="32"/>
          <w:szCs w:val="32"/>
        </w:rPr>
        <w:t>该项目</w:t>
      </w:r>
      <w:r>
        <w:rPr>
          <w:rFonts w:hint="eastAsia" w:ascii="仿宋" w:hAnsi="仿宋" w:eastAsia="仿宋"/>
          <w:sz w:val="30"/>
          <w:szCs w:val="30"/>
        </w:rPr>
        <w:t>依据西城区《关于加强老旧小区物业管理长效机制建设的指导意见》（西房管发[2015]1号）文件精神，紧密结合辖区小区特征与管理实际，</w:t>
      </w:r>
      <w:r>
        <w:rPr>
          <w:rFonts w:hint="eastAsia" w:ascii="仿宋" w:hAnsi="仿宋" w:eastAsia="仿宋"/>
          <w:sz w:val="32"/>
          <w:szCs w:val="32"/>
        </w:rPr>
        <w:t>为月坛地区17个老旧小区的公共区域进行日常清扫保洁，保洁总面积为387,735.38平方米。在地区十七个无物业管理、由居委会现行代管保洁工作的小区 (含单栋住宅楼)实施有序的专业化、社会化保洁管理。通过管理模式的建立，着重解决目前社区非法用工及小区环境卫生和日常保洁不达标的问题，达到日常保洁标准，提升居民满意度。</w:t>
      </w:r>
    </w:p>
    <w:p w14:paraId="74A8171B">
      <w:pPr>
        <w:spacing w:line="560" w:lineRule="exact"/>
        <w:ind w:firstLine="640" w:firstLineChars="200"/>
        <w:rPr>
          <w:rFonts w:ascii="仿宋" w:hAnsi="仿宋" w:eastAsia="仿宋"/>
          <w:sz w:val="32"/>
          <w:szCs w:val="32"/>
        </w:rPr>
      </w:pPr>
      <w:r>
        <w:rPr>
          <w:rFonts w:hint="eastAsia" w:ascii="仿宋" w:hAnsi="仿宋" w:eastAsia="仿宋"/>
          <w:sz w:val="32"/>
          <w:szCs w:val="32"/>
        </w:rPr>
        <w:t>项目调整情况及原因分析：本项目年初预算3</w:t>
      </w:r>
      <w:r>
        <w:rPr>
          <w:rFonts w:ascii="仿宋" w:hAnsi="仿宋" w:eastAsia="仿宋"/>
          <w:sz w:val="32"/>
          <w:szCs w:val="32"/>
        </w:rPr>
        <w:t>90</w:t>
      </w:r>
      <w:r>
        <w:rPr>
          <w:rFonts w:hint="eastAsia" w:ascii="仿宋" w:hAnsi="仿宋" w:eastAsia="仿宋"/>
          <w:sz w:val="32"/>
          <w:szCs w:val="32"/>
        </w:rPr>
        <w:t>万元，2</w:t>
      </w:r>
      <w:r>
        <w:rPr>
          <w:rFonts w:ascii="仿宋" w:hAnsi="仿宋" w:eastAsia="仿宋"/>
          <w:sz w:val="32"/>
          <w:szCs w:val="32"/>
        </w:rPr>
        <w:t>01</w:t>
      </w:r>
      <w:r>
        <w:rPr>
          <w:rFonts w:hint="eastAsia" w:ascii="仿宋" w:hAnsi="仿宋" w:eastAsia="仿宋"/>
          <w:sz w:val="32"/>
          <w:szCs w:val="32"/>
        </w:rPr>
        <w:t>8年1月由发展服务办委托北京奇泰桥工程技术咨询有限公司实施公开招投标，最终</w:t>
      </w:r>
      <w:bookmarkStart w:id="16" w:name="_Hlk504048504"/>
      <w:r>
        <w:rPr>
          <w:rFonts w:hint="eastAsia" w:ascii="仿宋" w:hAnsi="仿宋" w:eastAsia="仿宋"/>
          <w:sz w:val="32"/>
          <w:szCs w:val="32"/>
        </w:rPr>
        <w:t>北京安恒泰物业管理有限公司</w:t>
      </w:r>
      <w:bookmarkEnd w:id="16"/>
      <w:r>
        <w:rPr>
          <w:rFonts w:hint="eastAsia" w:ascii="仿宋" w:hAnsi="仿宋" w:eastAsia="仿宋"/>
          <w:sz w:val="32"/>
          <w:szCs w:val="32"/>
        </w:rPr>
        <w:t>中标1</w:t>
      </w:r>
      <w:r>
        <w:rPr>
          <w:rFonts w:ascii="仿宋" w:hAnsi="仿宋" w:eastAsia="仿宋"/>
          <w:sz w:val="32"/>
          <w:szCs w:val="32"/>
        </w:rPr>
        <w:t>5</w:t>
      </w:r>
      <w:r>
        <w:rPr>
          <w:rFonts w:hint="eastAsia" w:ascii="仿宋" w:hAnsi="仿宋" w:eastAsia="仿宋"/>
          <w:sz w:val="32"/>
          <w:szCs w:val="32"/>
        </w:rPr>
        <w:t>个小区、北京同心物业管理有限公司中标2个小区，中标金额合计382.58万元，由于一区、真武庙、西便门、白云观等17个</w:t>
      </w:r>
      <w:r>
        <w:rPr>
          <w:rFonts w:hint="eastAsia" w:ascii="仿宋_GB2312" w:hAnsi="仿宋" w:eastAsia="仿宋_GB2312"/>
          <w:sz w:val="32"/>
          <w:szCs w:val="32"/>
        </w:rPr>
        <w:t>社区收取卫生费自主支付保洁费用，</w:t>
      </w:r>
      <w:r>
        <w:rPr>
          <w:rFonts w:hint="eastAsia" w:ascii="仿宋" w:hAnsi="仿宋" w:eastAsia="仿宋"/>
          <w:sz w:val="32"/>
          <w:szCs w:val="32"/>
        </w:rPr>
        <w:t>以此项目节约资金7</w:t>
      </w: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2</w:t>
      </w:r>
      <w:r>
        <w:rPr>
          <w:rFonts w:hint="eastAsia" w:ascii="仿宋" w:hAnsi="仿宋" w:eastAsia="仿宋"/>
          <w:sz w:val="32"/>
          <w:szCs w:val="32"/>
        </w:rPr>
        <w:t>万元，已于2</w:t>
      </w:r>
      <w:r>
        <w:rPr>
          <w:rFonts w:ascii="仿宋" w:hAnsi="仿宋" w:eastAsia="仿宋"/>
          <w:sz w:val="32"/>
          <w:szCs w:val="32"/>
        </w:rPr>
        <w:t>01</w:t>
      </w:r>
      <w:r>
        <w:rPr>
          <w:rFonts w:hint="eastAsia" w:ascii="仿宋" w:hAnsi="仿宋" w:eastAsia="仿宋"/>
          <w:sz w:val="32"/>
          <w:szCs w:val="32"/>
        </w:rPr>
        <w:t>8年11月份申请调减预算。</w:t>
      </w:r>
    </w:p>
    <w:p w14:paraId="1CDA1EE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本项目已按计划实施完成，项目整体完成情况良好。</w:t>
      </w:r>
    </w:p>
    <w:p w14:paraId="3B38EBBD">
      <w:pPr>
        <w:spacing w:before="156" w:beforeLines="50" w:line="560" w:lineRule="exact"/>
        <w:ind w:firstLine="640" w:firstLineChars="200"/>
        <w:rPr>
          <w:rFonts w:hint="eastAsia" w:ascii="仿宋" w:hAnsi="仿宋" w:eastAsia="仿宋"/>
          <w:sz w:val="32"/>
          <w:szCs w:val="32"/>
        </w:rPr>
      </w:pPr>
      <w:r>
        <w:rPr>
          <w:rFonts w:hint="eastAsia" w:ascii="仿宋" w:hAnsi="仿宋" w:eastAsia="仿宋"/>
          <w:sz w:val="32"/>
          <w:szCs w:val="32"/>
        </w:rPr>
        <w:t>4.由发展服务办公室实施的月坛街道街巷准物业管理服务项目截至2018年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日实际支出金额1,436.70万元，预算调整后金额1,436.70万元，预算执行率</w:t>
      </w:r>
      <w:r>
        <w:rPr>
          <w:rFonts w:ascii="仿宋" w:hAnsi="仿宋" w:eastAsia="仿宋"/>
          <w:sz w:val="32"/>
          <w:szCs w:val="32"/>
        </w:rPr>
        <w:t>100</w:t>
      </w:r>
      <w:r>
        <w:rPr>
          <w:rFonts w:hint="eastAsia" w:ascii="仿宋" w:hAnsi="仿宋" w:eastAsia="仿宋"/>
          <w:sz w:val="32"/>
          <w:szCs w:val="32"/>
        </w:rPr>
        <w:t>%。</w:t>
      </w:r>
    </w:p>
    <w:p w14:paraId="2E8B6AC6">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该项目根据《中华人民共和国合同法》、《物业管理条例》、《北京市人民政府关于组织开展“疏解整治促提升”专项行动（2017—2020年）的实施意见》（京政发〔2017〕8号）等有关法律、法规，在非首都功能疏解的大背景下，结合西城区提出的“十有十无一创建”、城市精细化管理目标，推进本区域内疏解整治提升工作。</w:t>
      </w:r>
    </w:p>
    <w:p w14:paraId="257E2E71">
      <w:pPr>
        <w:spacing w:line="560" w:lineRule="exact"/>
        <w:ind w:firstLine="640" w:firstLineChars="200"/>
        <w:rPr>
          <w:rFonts w:hint="eastAsia" w:ascii="仿宋_GB2312" w:hAnsi="仿宋" w:eastAsia="仿宋_GB2312"/>
          <w:sz w:val="32"/>
          <w:szCs w:val="32"/>
        </w:rPr>
      </w:pPr>
      <w:r>
        <w:rPr>
          <w:rFonts w:hint="eastAsia" w:ascii="仿宋" w:hAnsi="仿宋" w:eastAsia="仿宋"/>
          <w:sz w:val="32"/>
          <w:szCs w:val="32"/>
        </w:rPr>
        <w:t>通过该项目的实施，</w:t>
      </w:r>
      <w:r>
        <w:rPr>
          <w:rFonts w:hint="eastAsia" w:ascii="仿宋_GB2312" w:hAnsi="仿宋" w:eastAsia="仿宋_GB2312"/>
          <w:sz w:val="32"/>
          <w:szCs w:val="32"/>
        </w:rPr>
        <w:t>进一步加强月坛街道背街小巷精细化管理水平，着力提升城市的管理品质和宜居品质，全面加强背街小巷的秩序管控。</w:t>
      </w:r>
    </w:p>
    <w:p w14:paraId="4740D4BA">
      <w:pPr>
        <w:spacing w:line="560" w:lineRule="exact"/>
        <w:ind w:firstLine="640" w:firstLineChars="200"/>
        <w:rPr>
          <w:rFonts w:hint="eastAsia" w:ascii="仿宋_GB2312" w:hAnsi="仿宋" w:eastAsia="仿宋_GB2312"/>
          <w:sz w:val="32"/>
          <w:szCs w:val="32"/>
        </w:rPr>
      </w:pPr>
      <w:r>
        <w:rPr>
          <w:rFonts w:hint="eastAsia" w:ascii="仿宋" w:hAnsi="仿宋" w:eastAsia="仿宋"/>
          <w:sz w:val="32"/>
          <w:szCs w:val="32"/>
        </w:rPr>
        <w:t>项目调整情况及原因分析：</w:t>
      </w:r>
      <w:r>
        <w:rPr>
          <w:rFonts w:hint="eastAsia" w:ascii="仿宋_GB2312" w:hAnsi="宋体" w:eastAsia="仿宋_GB2312" w:cs="仿宋_GB2312"/>
          <w:sz w:val="32"/>
          <w:szCs w:val="32"/>
        </w:rPr>
        <w:t>2018年通过区政府和区城管委推荐意见由</w:t>
      </w:r>
      <w:r>
        <w:rPr>
          <w:rFonts w:ascii="仿宋_GB2312" w:hAnsi="宋体" w:eastAsia="仿宋_GB2312" w:cs="仿宋_GB2312"/>
          <w:sz w:val="32"/>
          <w:szCs w:val="32"/>
        </w:rPr>
        <w:t>北京</w:t>
      </w:r>
      <w:r>
        <w:rPr>
          <w:rFonts w:hint="eastAsia" w:ascii="仿宋_GB2312" w:hAnsi="宋体" w:eastAsia="仿宋_GB2312" w:cs="仿宋_GB2312"/>
          <w:sz w:val="32"/>
          <w:szCs w:val="32"/>
        </w:rPr>
        <w:t>市西城区房屋土地经营管理中心月坛管理所承接街巷准物业化管理工作，</w:t>
      </w:r>
      <w:r>
        <w:rPr>
          <w:rFonts w:ascii="仿宋_GB2312" w:hAnsi="宋体" w:eastAsia="仿宋_GB2312" w:cs="仿宋_GB2312"/>
          <w:sz w:val="32"/>
          <w:szCs w:val="32"/>
        </w:rPr>
        <w:t>服务</w:t>
      </w:r>
      <w:r>
        <w:rPr>
          <w:rFonts w:hint="eastAsia" w:ascii="仿宋_GB2312" w:hAnsi="宋体" w:eastAsia="仿宋_GB2312" w:cs="仿宋_GB2312"/>
          <w:sz w:val="32"/>
          <w:szCs w:val="32"/>
        </w:rPr>
        <w:t>辖区66条</w:t>
      </w:r>
      <w:r>
        <w:rPr>
          <w:rFonts w:ascii="仿宋_GB2312" w:hAnsi="宋体" w:eastAsia="仿宋_GB2312" w:cs="仿宋_GB2312"/>
          <w:sz w:val="32"/>
          <w:szCs w:val="32"/>
        </w:rPr>
        <w:t>街巷</w:t>
      </w:r>
      <w:r>
        <w:rPr>
          <w:rFonts w:hint="eastAsia" w:ascii="仿宋_GB2312" w:hAnsi="宋体" w:eastAsia="仿宋_GB2312" w:cs="仿宋_GB2312"/>
          <w:sz w:val="32"/>
          <w:szCs w:val="32"/>
        </w:rPr>
        <w:t>，面积为192,794.00平方米，单价为82.80元/平方米/年，拟向其支付服务经费共计1,596.33万元。2018年</w:t>
      </w:r>
      <w:r>
        <w:rPr>
          <w:rFonts w:hint="eastAsia" w:ascii="仿宋_GB2312" w:hAnsi="仿宋" w:eastAsia="仿宋_GB2312"/>
          <w:sz w:val="32"/>
          <w:szCs w:val="32"/>
        </w:rPr>
        <w:t>年初预算700万元，</w:t>
      </w:r>
      <w:r>
        <w:rPr>
          <w:rFonts w:hint="eastAsia" w:ascii="仿宋_GB2312" w:hAnsi="宋体" w:eastAsia="仿宋_GB2312" w:cs="仿宋_GB2312"/>
          <w:sz w:val="32"/>
          <w:szCs w:val="32"/>
        </w:rPr>
        <w:t>实际支付</w:t>
      </w:r>
      <w:r>
        <w:rPr>
          <w:rFonts w:hint="eastAsia" w:ascii="仿宋" w:hAnsi="仿宋" w:eastAsia="仿宋"/>
          <w:sz w:val="32"/>
          <w:szCs w:val="32"/>
        </w:rPr>
        <w:t>财政资金1,436.70万元</w:t>
      </w:r>
      <w:r>
        <w:rPr>
          <w:rFonts w:hint="eastAsia" w:ascii="仿宋_GB2312" w:hAnsi="仿宋" w:eastAsia="仿宋_GB2312"/>
          <w:sz w:val="32"/>
          <w:szCs w:val="32"/>
        </w:rPr>
        <w:t>，根据合同街巷服务面积计算，服务经费共计</w:t>
      </w:r>
      <w:r>
        <w:rPr>
          <w:rFonts w:hint="eastAsia" w:ascii="仿宋_GB2312" w:hAnsi="宋体" w:eastAsia="仿宋_GB2312" w:cs="仿宋_GB2312"/>
          <w:sz w:val="32"/>
          <w:szCs w:val="32"/>
        </w:rPr>
        <w:t>1,596.33万</w:t>
      </w:r>
      <w:r>
        <w:rPr>
          <w:rFonts w:hint="eastAsia" w:ascii="仿宋_GB2312" w:hAnsi="仿宋" w:eastAsia="仿宋_GB2312"/>
          <w:sz w:val="32"/>
          <w:szCs w:val="32"/>
        </w:rPr>
        <w:t>元，于2018年11月根据项目总额追加</w:t>
      </w:r>
      <w:r>
        <w:rPr>
          <w:rFonts w:ascii="仿宋_GB2312" w:hAnsi="仿宋" w:eastAsia="仿宋_GB2312"/>
          <w:sz w:val="32"/>
          <w:szCs w:val="32"/>
        </w:rPr>
        <w:t>896</w:t>
      </w:r>
      <w:r>
        <w:rPr>
          <w:rFonts w:hint="eastAsia" w:ascii="仿宋_GB2312" w:hAnsi="仿宋" w:eastAsia="仿宋_GB2312"/>
          <w:sz w:val="32"/>
          <w:szCs w:val="32"/>
        </w:rPr>
        <w:t>.</w:t>
      </w:r>
      <w:r>
        <w:rPr>
          <w:rFonts w:ascii="仿宋_GB2312" w:hAnsi="仿宋" w:eastAsia="仿宋_GB2312"/>
          <w:sz w:val="32"/>
          <w:szCs w:val="32"/>
        </w:rPr>
        <w:t>33</w:t>
      </w:r>
      <w:r>
        <w:rPr>
          <w:rFonts w:hint="eastAsia" w:ascii="仿宋_GB2312" w:hAnsi="仿宋" w:eastAsia="仿宋_GB2312"/>
          <w:sz w:val="32"/>
          <w:szCs w:val="32"/>
        </w:rPr>
        <w:t>万元，后减调10%服务款作为考核绩效，于2019年支付。2018年实际支付财政资金</w:t>
      </w:r>
      <w:r>
        <w:rPr>
          <w:rFonts w:hint="eastAsia" w:ascii="仿宋" w:hAnsi="仿宋" w:eastAsia="仿宋"/>
          <w:sz w:val="32"/>
          <w:szCs w:val="32"/>
        </w:rPr>
        <w:t>1,436.70万</w:t>
      </w:r>
      <w:r>
        <w:rPr>
          <w:rFonts w:hint="eastAsia" w:ascii="仿宋_GB2312" w:hAnsi="仿宋" w:eastAsia="仿宋_GB2312"/>
          <w:sz w:val="32"/>
          <w:szCs w:val="32"/>
        </w:rPr>
        <w:t>元。</w:t>
      </w:r>
    </w:p>
    <w:p w14:paraId="73AEC5CB">
      <w:pPr>
        <w:spacing w:line="560" w:lineRule="exact"/>
        <w:ind w:firstLine="640" w:firstLineChars="200"/>
        <w:rPr>
          <w:rFonts w:hint="eastAsia" w:ascii="仿宋" w:hAnsi="仿宋"/>
          <w:sz w:val="32"/>
          <w:szCs w:val="32"/>
          <w:highlight w:val="yellow"/>
        </w:rPr>
      </w:pPr>
      <w:r>
        <w:rPr>
          <w:rFonts w:hint="eastAsia" w:ascii="仿宋" w:hAnsi="仿宋" w:eastAsia="仿宋"/>
          <w:sz w:val="32"/>
          <w:szCs w:val="32"/>
        </w:rPr>
        <w:t>本项目已按计划实施完成。但合同签订金额</w:t>
      </w:r>
      <w:r>
        <w:rPr>
          <w:rFonts w:hint="eastAsia" w:ascii="仿宋_GB2312" w:hAnsi="宋体" w:eastAsia="仿宋_GB2312" w:cs="仿宋_GB2312"/>
          <w:sz w:val="32"/>
          <w:szCs w:val="32"/>
        </w:rPr>
        <w:t>1,596.33</w:t>
      </w:r>
      <w:r>
        <w:rPr>
          <w:rFonts w:hint="eastAsia" w:ascii="仿宋" w:hAnsi="仿宋" w:eastAsia="仿宋"/>
          <w:sz w:val="32"/>
          <w:szCs w:val="32"/>
        </w:rPr>
        <w:t>万元，超出年初预算额度。按照合同约定，应按季度支付合同款，实际情况为11月份支付了合同款的90%。反映项目预算申报的科学性、合同签订的规范性以及及合同执行的严谨性还需进一步加强。</w:t>
      </w:r>
    </w:p>
    <w:p w14:paraId="68D612A2">
      <w:pPr>
        <w:spacing w:before="156" w:beforeLines="50" w:line="560" w:lineRule="exact"/>
        <w:ind w:firstLine="640" w:firstLineChars="200"/>
        <w:rPr>
          <w:rFonts w:hint="eastAsia" w:ascii="仿宋" w:hAnsi="仿宋" w:eastAsia="仿宋"/>
          <w:sz w:val="32"/>
          <w:szCs w:val="32"/>
        </w:rPr>
      </w:pPr>
      <w:r>
        <w:rPr>
          <w:rFonts w:hint="eastAsia" w:ascii="仿宋" w:hAnsi="仿宋" w:eastAsia="仿宋"/>
          <w:sz w:val="32"/>
          <w:szCs w:val="32"/>
        </w:rPr>
        <w:t>5.由全响应实施的月坛街道移动办公经费项目截至2018年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日实际支出金额201万元，预算申请金额201万元，预算执行率100%。</w:t>
      </w:r>
    </w:p>
    <w:p w14:paraId="401F95E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该项目是为进一步提高工作效率，在街道全体工作人员手机上安装移动办公系统，实现系统管理、信息上报派发、支票申请审批以及操作行为审计和数据统计分析等功能，全面实现移动办公。</w:t>
      </w:r>
    </w:p>
    <w:p w14:paraId="677D374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项目于2017年下半年经街道主任办公会、工委会审核后立项，2018年全年支出的经费用于移动办公系统运行过程中街道工作人员手机终端所产生的移动数据流量使用费。</w:t>
      </w:r>
    </w:p>
    <w:p w14:paraId="42D743D6">
      <w:pPr>
        <w:spacing w:line="560" w:lineRule="exact"/>
        <w:ind w:firstLine="640" w:firstLineChars="200"/>
        <w:rPr>
          <w:rFonts w:ascii="仿宋" w:hAnsi="仿宋" w:eastAsia="仿宋"/>
          <w:sz w:val="32"/>
          <w:szCs w:val="32"/>
        </w:rPr>
      </w:pPr>
      <w:r>
        <w:rPr>
          <w:rFonts w:hint="eastAsia" w:ascii="仿宋" w:hAnsi="仿宋" w:eastAsia="仿宋"/>
          <w:sz w:val="32"/>
          <w:szCs w:val="32"/>
        </w:rPr>
        <w:t>本项目按计划实施，绩效目标未发生调整。</w:t>
      </w:r>
    </w:p>
    <w:p w14:paraId="267878D4">
      <w:pPr>
        <w:spacing w:line="560" w:lineRule="exact"/>
        <w:ind w:firstLine="600" w:firstLineChars="200"/>
        <w:rPr>
          <w:rFonts w:hint="eastAsia" w:ascii="仿宋" w:hAnsi="仿宋" w:eastAsia="仿宋"/>
          <w:sz w:val="32"/>
          <w:szCs w:val="32"/>
        </w:rPr>
      </w:pPr>
      <w:r>
        <w:rPr>
          <w:rFonts w:hint="eastAsia" w:ascii="仿宋" w:hAnsi="仿宋" w:eastAsia="仿宋"/>
          <w:sz w:val="30"/>
          <w:szCs w:val="30"/>
        </w:rPr>
        <w:t>6.</w:t>
      </w:r>
      <w:r>
        <w:rPr>
          <w:rFonts w:hint="eastAsia" w:ascii="仿宋" w:hAnsi="仿宋" w:eastAsia="仿宋"/>
          <w:sz w:val="32"/>
          <w:szCs w:val="32"/>
        </w:rPr>
        <w:t>由全响应实施的机关及社区购计算机设备及软件项目截至2018年12月31日实际支出金额113.23万元，预算调整后金额113.23万元，预算执行率100%。</w:t>
      </w:r>
    </w:p>
    <w:p w14:paraId="2CD6C4D4">
      <w:pPr>
        <w:spacing w:line="560" w:lineRule="exact"/>
        <w:ind w:firstLine="640" w:firstLineChars="200"/>
        <w:rPr>
          <w:rFonts w:ascii="仿宋" w:hAnsi="仿宋" w:eastAsia="仿宋"/>
          <w:sz w:val="32"/>
          <w:szCs w:val="32"/>
        </w:rPr>
      </w:pPr>
      <w:r>
        <w:rPr>
          <w:rFonts w:hint="eastAsia" w:ascii="仿宋" w:hAnsi="仿宋" w:eastAsia="仿宋"/>
          <w:sz w:val="32"/>
          <w:szCs w:val="32"/>
        </w:rPr>
        <w:t>该项目是机关网络中心机房服务器设备更换，新进人员用机及老旧电脑和办公设备的更换；为26社区购置信息化办公设备，满足社区居委会及社区服务站的正常办公需要。</w:t>
      </w:r>
    </w:p>
    <w:p w14:paraId="0FD598E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截止2</w:t>
      </w:r>
      <w:r>
        <w:rPr>
          <w:rFonts w:ascii="仿宋" w:hAnsi="仿宋" w:eastAsia="仿宋"/>
          <w:sz w:val="32"/>
          <w:szCs w:val="32"/>
        </w:rPr>
        <w:t>01</w:t>
      </w:r>
      <w:r>
        <w:rPr>
          <w:rFonts w:hint="eastAsia" w:ascii="仿宋" w:hAnsi="仿宋" w:eastAsia="仿宋"/>
          <w:sz w:val="32"/>
          <w:szCs w:val="32"/>
        </w:rPr>
        <w:t>8年12月31日，已完成台式机、笔记本电脑、KVM、打印机、磁盘阵列、服务器、碎纸机等设备的采购。</w:t>
      </w:r>
    </w:p>
    <w:p w14:paraId="12A94A0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项目调整情况及原因分析：</w:t>
      </w:r>
      <w:r>
        <w:rPr>
          <w:rFonts w:hint="eastAsia" w:ascii="仿宋_GB2312" w:hAnsi="仿宋" w:eastAsia="仿宋_GB2312"/>
          <w:sz w:val="32"/>
          <w:szCs w:val="32"/>
        </w:rPr>
        <w:t>本项目为全额财政拨款项目，项目立项时申报项目预算113.43万元。由于年中市财政局政府采购网内容调整等因素，</w:t>
      </w:r>
      <w:r>
        <w:rPr>
          <w:rFonts w:hint="eastAsia" w:ascii="仿宋" w:hAnsi="仿宋" w:eastAsia="仿宋"/>
          <w:sz w:val="32"/>
          <w:szCs w:val="32"/>
        </w:rPr>
        <w:t>原协议供货的部分设备改为询价方式，</w:t>
      </w:r>
      <w:r>
        <w:rPr>
          <w:rFonts w:hint="eastAsia" w:ascii="仿宋_GB2312" w:hAnsi="仿宋" w:eastAsia="仿宋_GB2312"/>
          <w:sz w:val="32"/>
          <w:szCs w:val="32"/>
        </w:rPr>
        <w:t>导致部分产品价格发生变化，于2018年10月，项目预算调减金额为0.20万元，全年合计支出金额为113.23万元。</w:t>
      </w:r>
    </w:p>
    <w:p w14:paraId="0B65E1DC">
      <w:pPr>
        <w:spacing w:line="560" w:lineRule="exact"/>
        <w:ind w:firstLine="640" w:firstLineChars="200"/>
        <w:rPr>
          <w:rFonts w:ascii="仿宋" w:hAnsi="仿宋" w:eastAsia="仿宋"/>
          <w:sz w:val="32"/>
          <w:szCs w:val="32"/>
        </w:rPr>
      </w:pPr>
      <w:r>
        <w:rPr>
          <w:rFonts w:hint="eastAsia" w:ascii="仿宋" w:hAnsi="仿宋" w:eastAsia="仿宋"/>
          <w:sz w:val="32"/>
          <w:szCs w:val="32"/>
        </w:rPr>
        <w:t>本项目按计划实施，绩效目标未发生调整。</w:t>
      </w:r>
    </w:p>
    <w:p w14:paraId="768B2196">
      <w:pPr>
        <w:spacing w:line="560" w:lineRule="exact"/>
        <w:ind w:firstLine="600" w:firstLineChars="200"/>
        <w:rPr>
          <w:rFonts w:hint="eastAsia" w:ascii="仿宋" w:hAnsi="仿宋" w:eastAsia="仿宋"/>
          <w:sz w:val="32"/>
          <w:szCs w:val="32"/>
        </w:rPr>
      </w:pPr>
      <w:r>
        <w:rPr>
          <w:rFonts w:hint="eastAsia" w:ascii="仿宋" w:hAnsi="仿宋" w:eastAsia="仿宋"/>
          <w:sz w:val="30"/>
          <w:szCs w:val="30"/>
        </w:rPr>
        <w:t>7.</w:t>
      </w:r>
      <w:r>
        <w:rPr>
          <w:rFonts w:hint="eastAsia" w:ascii="仿宋" w:hAnsi="仿宋" w:eastAsia="仿宋"/>
          <w:sz w:val="32"/>
          <w:szCs w:val="32"/>
        </w:rPr>
        <w:t>由社保所实施的</w:t>
      </w:r>
      <w:bookmarkStart w:id="17" w:name="_Hlk503356723"/>
      <w:r>
        <w:rPr>
          <w:rFonts w:hint="eastAsia" w:ascii="仿宋" w:hAnsi="仿宋" w:eastAsia="仿宋"/>
          <w:sz w:val="32"/>
          <w:szCs w:val="32"/>
        </w:rPr>
        <w:t>公益性就业组织岗位经费项目</w:t>
      </w:r>
      <w:bookmarkEnd w:id="17"/>
      <w:r>
        <w:rPr>
          <w:rFonts w:hint="eastAsia" w:ascii="仿宋" w:hAnsi="仿宋" w:eastAsia="仿宋"/>
          <w:sz w:val="32"/>
          <w:szCs w:val="32"/>
        </w:rPr>
        <w:t>截至2018年12月31日实际支出金额337.40万元，预算调整后金额337.40万元，预算执行率100%。</w:t>
      </w:r>
    </w:p>
    <w:p w14:paraId="61AD8876">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为延续性项目，依据《北京市社会公益性就业组织管理试行办法》（京人社就发〔2014〕170号）及《西城区社会公益性就业组织管理办法（试行）》（西人社发〔2016〕31号）文件内容，由月坛街道社会保障事务所具体实施。项目资金依据（西人社发〔2016〕31号）文件内容，按每人每月2,682元标准予以申报，用于支付社会公益性岗位人员基本工资、社会保险、住房公积金个人应缴部分、防暑降温费、体检费及管理费等项目。项目申报是由社保所以当年岗位补贴实际使用总额，测算下一年度的经费资金需求，制定年度公益性就业组织岗位补贴经费预算量，并会同街道财政部门审核预算量的准确性和可执行性，保障公益性就业组织岗位补贴经费及时到位。</w:t>
      </w:r>
    </w:p>
    <w:p w14:paraId="0041CAE5">
      <w:pPr>
        <w:spacing w:line="560" w:lineRule="exact"/>
        <w:ind w:firstLine="640" w:firstLineChars="200"/>
        <w:rPr>
          <w:rFonts w:ascii="仿宋" w:hAnsi="仿宋" w:eastAsia="仿宋"/>
          <w:sz w:val="32"/>
          <w:szCs w:val="32"/>
        </w:rPr>
      </w:pPr>
      <w:r>
        <w:rPr>
          <w:rFonts w:hint="eastAsia" w:ascii="仿宋" w:hAnsi="仿宋" w:eastAsia="仿宋"/>
          <w:sz w:val="32"/>
          <w:szCs w:val="32"/>
        </w:rPr>
        <w:t>在经费执行过程中，月坛街道公益性就业组织在每季度末次月月初按上季度实有社会公益性岗位安置人员数量和补贴期限核算申报上季度经费。经街道财政科审核无误后，将经费下拨至社会公益性就业组织专用财务账户。</w:t>
      </w:r>
    </w:p>
    <w:p w14:paraId="6F99828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截止2018年12月31日，月坛街道公益性就业组织实有职工98人，均为 “4050人员”或“3540零就业家庭成员”等就业困难人员。岗位设置包含：劳动保障协管、城管协管、公共设施维护及社区保安等4个方面，工作地点分布于月坛街道办事处、社保所、社区工作站及政府其它职能部门。具体负责完成社保所、社区日常的社保接待办理工作以及按各职能部门、科室的工作职能开展工作。其中：劳动保障协管员20人，具体负责社区社保工作的宣传及审核工作；城管协管员40人，具体负责月坛辖区城市市容管理的辅助性工作；公共设施维护人员5人，具体负责月坛辖区健身器械的日常保洁维护，并对发现的安全隐患及时排除；社区保安33人，具体负责月坛辖区内公共秩序维护、值班巡逻、安全检查等群防群治工作并辅助公安系统维护地区安全。</w:t>
      </w:r>
    </w:p>
    <w:p w14:paraId="338B9DBB">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调整情况及原因分析：截止2018年12月31日，月坛街道公益性组织共收入572.83万元，均为公益性就业组织岗位补贴，其中：市级财政拨付235.43万元，街道财政拨付337.40万元。由于2017年度申报预算时，参照【京人社就发〔2014〕170号】及【西人社发〔2016〕31号】文件内容，按每人每月3,060元予以申报，预算总额为500万元。但在2018年度执行预算工作时，按照2017年12月19日下发的《关于对&lt;西城区社会公益性就业组织管理办法（试行）&gt;的补充通知》【西人社发〔2017〕96号】文件中第二条内容：对31号文件第三十四条第（一）款“社会公益性就业组织岗位补贴以北京市上年职工社会平均工资70%为申请标准”，自2017年底开始，调整为“各公益性组织在申请下一年度区级经费预算时，以当年岗位补贴实际使用总额申请下一年度经费预算”，即：按每人每月2,682元予以申报。于2018年11月项目预算调减人民币162.60万元，</w:t>
      </w:r>
      <w:r>
        <w:rPr>
          <w:rFonts w:hint="eastAsia" w:ascii="仿宋_GB2312" w:hAnsi="仿宋" w:eastAsia="仿宋_GB2312"/>
          <w:sz w:val="32"/>
          <w:szCs w:val="32"/>
        </w:rPr>
        <w:t>调减后预算为337.40万元，实际支出337.40万元。</w:t>
      </w:r>
    </w:p>
    <w:p w14:paraId="1872EA2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本项目依据具体工作开展情况支付项目资金，项目预算调整受相关政策进行调整，项目整体实施按计划完成。</w:t>
      </w:r>
    </w:p>
    <w:p w14:paraId="2CDFA607">
      <w:pPr>
        <w:spacing w:line="560" w:lineRule="exact"/>
        <w:ind w:firstLine="600" w:firstLineChars="200"/>
        <w:rPr>
          <w:rFonts w:hint="eastAsia" w:ascii="仿宋" w:hAnsi="仿宋" w:eastAsia="仿宋"/>
          <w:sz w:val="32"/>
          <w:szCs w:val="32"/>
        </w:rPr>
      </w:pPr>
      <w:r>
        <w:rPr>
          <w:rFonts w:hint="eastAsia" w:ascii="仿宋" w:hAnsi="仿宋" w:eastAsia="仿宋"/>
          <w:sz w:val="30"/>
          <w:szCs w:val="30"/>
        </w:rPr>
        <w:t>8.</w:t>
      </w:r>
      <w:r>
        <w:rPr>
          <w:rFonts w:hint="eastAsia" w:ascii="仿宋" w:hAnsi="仿宋" w:eastAsia="仿宋"/>
          <w:sz w:val="32"/>
          <w:szCs w:val="32"/>
        </w:rPr>
        <w:t>由社保所实施的低保、低收入医疗救助金项目截至2018年12月31日实际支出金额220万元，预算金额220万元，预算执行率100%。</w:t>
      </w:r>
    </w:p>
    <w:p w14:paraId="744C324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项目依据《社会救助暂行办法》（国务院令第649号）、《北京市民政局、北京市人力资源和社会保障局、北京市卫生计划生育委员会、北京市财政局关于调整完善我市城乡医疗救助制度的意见》（京民社救发〔2014〕219号）的文件要求，对困难群众就医实施医疗救助。</w:t>
      </w:r>
    </w:p>
    <w:p w14:paraId="38DC19C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项目预算依据以上两个文件以及2017年全年实际发生的医疗救助费进行测算。截至2018年12月31日，对社会救助对象共进行医疗救助1,221人次,有效缓解困难群众就医负担，不断提高社会救助对象健康水平。</w:t>
      </w:r>
    </w:p>
    <w:p w14:paraId="280D261B">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本项目按政策文件执行，绩效目标未发生调整。</w:t>
      </w:r>
    </w:p>
    <w:p w14:paraId="7C3C11E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9.由社保所实施的退养人员二次报销药费项目截至2018年12月31日实际支出金额138.78万元，预算调整后金额138.78万元，预算执行率100%。</w:t>
      </w:r>
    </w:p>
    <w:p w14:paraId="37FEFB3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项目依据《关于西城区退养人员医疗待遇有关问题的通知》（西劳社发〔2007〕42号）、《关于规范和统筹本市城乡医疗救助制度的通知》（京民救发〔2008〕545号）、《关于西城区退养人员医疗救助待遇衔接有关问题的通知》（西人社发〔2012〕73号）、《调整完善我市城乡医疗救助制度的意见》（京民社救发〔2014〕219号）、关于调整社会救助对象医疗救助相关标准的通知（京民社救发〔2017〕76号）的文件要求，对退养人员二次报销药费。</w:t>
      </w:r>
    </w:p>
    <w:p w14:paraId="3D63866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项目预算依据相关政策文件以及2017年全年实际发生的退养人员二次报销费用进行测算，</w:t>
      </w:r>
      <w:r>
        <w:rPr>
          <w:rFonts w:ascii="仿宋" w:hAnsi="仿宋" w:eastAsia="仿宋"/>
          <w:sz w:val="32"/>
          <w:szCs w:val="32"/>
        </w:rPr>
        <w:t>项目实施过程中</w:t>
      </w:r>
      <w:r>
        <w:rPr>
          <w:rFonts w:hint="eastAsia" w:ascii="仿宋" w:hAnsi="仿宋" w:eastAsia="仿宋"/>
          <w:sz w:val="32"/>
          <w:szCs w:val="32"/>
        </w:rPr>
        <w:t>定期召开退养单位例会，每季度至少召开一次，退养人员药费报销安排两名工作人员负责，每季度药费报销工作业结束后，两人进行工作互查，确保业务操作的准确性。截止2018年12月31日，对退养人员二次报销共计252人次。</w:t>
      </w:r>
    </w:p>
    <w:p w14:paraId="6A52926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项目调整情况及原因分析：截止</w:t>
      </w:r>
      <w:r>
        <w:rPr>
          <w:rFonts w:hint="eastAsia" w:ascii="仿宋_GB2312" w:hAnsi="仿宋" w:eastAsia="仿宋_GB2312"/>
          <w:sz w:val="32"/>
          <w:szCs w:val="32"/>
        </w:rPr>
        <w:t>2018年9月，社保所依据2018年前9个月退养人员实际发生的二次报销药费金额，进行了重新核算，核算后决定核减预算金额</w:t>
      </w:r>
      <w:r>
        <w:rPr>
          <w:rFonts w:ascii="仿宋_GB2312" w:hAnsi="仿宋" w:eastAsia="仿宋_GB2312"/>
          <w:sz w:val="32"/>
          <w:szCs w:val="32"/>
        </w:rPr>
        <w:t>31</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2万元，预算调整后金额为</w:t>
      </w:r>
      <w:r>
        <w:rPr>
          <w:rFonts w:ascii="仿宋_GB2312" w:hAnsi="仿宋" w:eastAsia="仿宋_GB2312"/>
          <w:sz w:val="32"/>
          <w:szCs w:val="32"/>
        </w:rPr>
        <w:t>138</w:t>
      </w:r>
      <w:r>
        <w:rPr>
          <w:rFonts w:hint="eastAsia" w:ascii="仿宋_GB2312" w:hAnsi="仿宋" w:eastAsia="仿宋_GB2312"/>
          <w:sz w:val="32"/>
          <w:szCs w:val="32"/>
        </w:rPr>
        <w:t>.</w:t>
      </w:r>
      <w:r>
        <w:rPr>
          <w:rFonts w:ascii="仿宋_GB2312" w:hAnsi="仿宋" w:eastAsia="仿宋_GB2312"/>
          <w:sz w:val="32"/>
          <w:szCs w:val="32"/>
        </w:rPr>
        <w:t>78</w:t>
      </w:r>
      <w:r>
        <w:rPr>
          <w:rFonts w:hint="eastAsia" w:ascii="仿宋_GB2312" w:hAnsi="仿宋" w:eastAsia="仿宋_GB2312"/>
          <w:sz w:val="32"/>
          <w:szCs w:val="32"/>
        </w:rPr>
        <w:t>万元，项目实际支出金额为</w:t>
      </w:r>
      <w:r>
        <w:rPr>
          <w:rFonts w:ascii="仿宋_GB2312" w:hAnsi="仿宋" w:eastAsia="仿宋_GB2312"/>
          <w:sz w:val="32"/>
          <w:szCs w:val="32"/>
        </w:rPr>
        <w:t>138</w:t>
      </w:r>
      <w:r>
        <w:rPr>
          <w:rFonts w:hint="eastAsia" w:ascii="仿宋_GB2312" w:hAnsi="仿宋" w:eastAsia="仿宋_GB2312"/>
          <w:sz w:val="32"/>
          <w:szCs w:val="32"/>
        </w:rPr>
        <w:t>.</w:t>
      </w:r>
      <w:r>
        <w:rPr>
          <w:rFonts w:ascii="仿宋_GB2312" w:hAnsi="仿宋" w:eastAsia="仿宋_GB2312"/>
          <w:sz w:val="32"/>
          <w:szCs w:val="32"/>
        </w:rPr>
        <w:t>78</w:t>
      </w:r>
      <w:r>
        <w:rPr>
          <w:rFonts w:hint="eastAsia" w:ascii="仿宋_GB2312" w:hAnsi="仿宋" w:eastAsia="仿宋_GB2312"/>
          <w:sz w:val="32"/>
          <w:szCs w:val="32"/>
        </w:rPr>
        <w:t>万元，经费已全部按时到账。</w:t>
      </w:r>
    </w:p>
    <w:p w14:paraId="5203D719">
      <w:pPr>
        <w:spacing w:line="560" w:lineRule="exact"/>
        <w:ind w:firstLine="640" w:firstLineChars="200"/>
        <w:rPr>
          <w:rFonts w:hint="eastAsia" w:ascii="仿宋" w:hAnsi="仿宋" w:eastAsia="仿宋"/>
          <w:sz w:val="30"/>
          <w:szCs w:val="30"/>
        </w:rPr>
      </w:pPr>
      <w:r>
        <w:rPr>
          <w:rFonts w:hint="eastAsia" w:ascii="仿宋" w:hAnsi="仿宋" w:eastAsia="仿宋"/>
          <w:sz w:val="32"/>
          <w:szCs w:val="32"/>
        </w:rPr>
        <w:t>本项目按政策文件执行，绩效目标未发生调整。</w:t>
      </w:r>
    </w:p>
    <w:p w14:paraId="3AB57B1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10.由社会办实施的基层政权和社区建设经费项目截至2018年12月31日实际支出金额143.05万元，预算调整后金额143.05万元，预算执行率100%。</w:t>
      </w:r>
    </w:p>
    <w:p w14:paraId="4529D38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该项目按照</w:t>
      </w:r>
      <w:r>
        <w:rPr>
          <w:rFonts w:ascii="仿宋" w:hAnsi="仿宋" w:eastAsia="仿宋"/>
          <w:sz w:val="32"/>
          <w:szCs w:val="32"/>
        </w:rPr>
        <w:t>《关于加强和改进城市社区居民委员会建设工作的意见》(中办发〔2010〕27号</w:t>
      </w:r>
      <w:r>
        <w:rPr>
          <w:rFonts w:hint="eastAsia" w:ascii="仿宋" w:hAnsi="仿宋" w:eastAsia="仿宋"/>
          <w:sz w:val="32"/>
          <w:szCs w:val="32"/>
        </w:rPr>
        <w:t>)、北京市“1+4”文件精神，为进一步提升社区服务，加强社区专职工作者队伍建设，推进全国社区治理和服务创新实验区建设，提升社区自治水平，改进为民服务，设立本项目经费，主要用于推进全国社区治理和服务创新实验区建设、社工队伍建设以及“参与型”民主协商落地实施等项目。</w:t>
      </w:r>
    </w:p>
    <w:p w14:paraId="4C53481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截至2018年12月31日，该项目已完成：1.社工培训项目，主要内容是分批次、分层次组织社工培训，组织社工拓展；2.民生工程民意立项项目，主要内容是组织召开社区建设工作半年总结会暨重点工作推进会，对社区重点工作进行交流及部署；3.</w:t>
      </w:r>
      <w:r>
        <w:rPr>
          <w:rFonts w:hint="eastAsia" w:ascii="仿宋_GB2312" w:hAnsi="仿宋" w:eastAsia="仿宋_GB2312"/>
          <w:sz w:val="32"/>
          <w:szCs w:val="32"/>
        </w:rPr>
        <w:t>社工继续教育培训学费项目，主要内容是鼓励社工积极参加社工继续教育培训，报销继续教育学费；</w:t>
      </w:r>
      <w:r>
        <w:rPr>
          <w:rFonts w:hint="eastAsia" w:ascii="仿宋" w:hAnsi="仿宋" w:eastAsia="仿宋"/>
          <w:sz w:val="32"/>
          <w:szCs w:val="32"/>
        </w:rPr>
        <w:t>4.慰问看望社区生病人员项目，主要是走访慰问老积极分子、看望社区生病楼门院长、居民代表；5.</w:t>
      </w:r>
      <w:r>
        <w:rPr>
          <w:rFonts w:hint="eastAsia" w:ascii="仿宋_GB2312" w:hAnsi="仿宋" w:eastAsia="仿宋_GB2312"/>
          <w:sz w:val="32"/>
          <w:szCs w:val="32"/>
        </w:rPr>
        <w:t>中心职能发现和评价机制执行和完善项目，主要内容是</w:t>
      </w:r>
      <w:r>
        <w:rPr>
          <w:rFonts w:hint="eastAsia" w:eastAsia="仿宋_GB2312"/>
          <w:sz w:val="32"/>
          <w:szCs w:val="32"/>
        </w:rPr>
        <w:t>通过“全响应”网格化治理系统、</w:t>
      </w:r>
      <w:r>
        <w:rPr>
          <w:rFonts w:hint="eastAsia" w:ascii="仿宋_GB2312" w:eastAsia="仿宋_GB2312"/>
          <w:sz w:val="32"/>
          <w:szCs w:val="32"/>
        </w:rPr>
        <w:t>人大代表、政协委员，27个社区（居民、楼门院长、志愿者、重点单位等），社会组织，</w:t>
      </w:r>
      <w:r>
        <w:rPr>
          <w:rFonts w:hint="eastAsia" w:eastAsia="仿宋_GB2312"/>
          <w:sz w:val="32"/>
          <w:szCs w:val="32"/>
        </w:rPr>
        <w:t>各部科办、驻街道科站队所</w:t>
      </w:r>
      <w:r>
        <w:rPr>
          <w:rFonts w:hint="eastAsia" w:ascii="仿宋_GB2312" w:eastAsia="仿宋_GB2312"/>
          <w:sz w:val="32"/>
          <w:szCs w:val="32"/>
        </w:rPr>
        <w:t>等渠道，将涉及月坛街道八个中心工作各类问题进行收集并分类简析</w:t>
      </w:r>
      <w:r>
        <w:rPr>
          <w:rFonts w:hint="eastAsia" w:ascii="仿宋_GB2312" w:hAnsi="仿宋" w:eastAsia="仿宋_GB2312"/>
          <w:sz w:val="32"/>
          <w:szCs w:val="32"/>
        </w:rPr>
        <w:t>，为街道工委、办事处服务地区居民提供更精准的依据；</w:t>
      </w:r>
      <w:r>
        <w:rPr>
          <w:rFonts w:hint="eastAsia" w:ascii="仿宋" w:hAnsi="仿宋" w:eastAsia="仿宋"/>
          <w:sz w:val="32"/>
          <w:szCs w:val="32"/>
        </w:rPr>
        <w:t>6.先进表彰项目，主要是表彰2017年14个街道级先进社区居委会、服务站；7.探索“参与型”民主协商项目，主要是制作完成“参与型”协商案例汇编，组织完成协商议事主持人能力培训，制作社区协商议事规则制度展板；8.社区工作者体检项目，主要是组织360名社区工作者完成体检工作；9.社区工作者选聘项目，主要是完成2018年新招聘社工体检及入职；10.社区治理和服务创新实验区建设项目，主要是制作完成全总社区老旧小区信息公开栏制作安装，制作完成实验区建设成果资料汇编，修订社区联系册。</w:t>
      </w:r>
    </w:p>
    <w:p w14:paraId="7836719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项目调整情况及原因分析：</w:t>
      </w:r>
      <w:r>
        <w:rPr>
          <w:rFonts w:hint="eastAsia" w:ascii="仿宋_GB2312" w:hAnsi="仿宋" w:eastAsia="仿宋_GB2312"/>
          <w:sz w:val="32"/>
          <w:szCs w:val="32"/>
        </w:rPr>
        <w:t>项目立项时申报预算金额为118万元。因社工继续教育培训人数增加和社区治理服务创新试验区建设项目中由为全总一个社区安装信息公开栏增加到为12个社区共同安装，于2018年11月调增金额25.05万元，项目实际支出金额为</w:t>
      </w:r>
      <w:r>
        <w:rPr>
          <w:rFonts w:ascii="仿宋_GB2312" w:hAnsi="仿宋" w:eastAsia="仿宋_GB2312"/>
          <w:sz w:val="32"/>
          <w:szCs w:val="32"/>
        </w:rPr>
        <w:t>143</w:t>
      </w:r>
      <w:r>
        <w:rPr>
          <w:rFonts w:hint="eastAsia" w:ascii="仿宋_GB2312" w:hAnsi="仿宋" w:eastAsia="仿宋_GB2312"/>
          <w:sz w:val="32"/>
          <w:szCs w:val="32"/>
        </w:rPr>
        <w:t>.</w:t>
      </w:r>
      <w:r>
        <w:rPr>
          <w:rFonts w:ascii="仿宋_GB2312" w:hAnsi="仿宋" w:eastAsia="仿宋_GB2312"/>
          <w:sz w:val="32"/>
          <w:szCs w:val="32"/>
        </w:rPr>
        <w:t>05</w:t>
      </w:r>
      <w:r>
        <w:rPr>
          <w:rFonts w:hint="eastAsia" w:ascii="仿宋_GB2312" w:hAnsi="仿宋" w:eastAsia="仿宋_GB2312"/>
          <w:sz w:val="32"/>
          <w:szCs w:val="32"/>
        </w:rPr>
        <w:t>万元。</w:t>
      </w:r>
    </w:p>
    <w:p w14:paraId="510C6DC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本项目按计划实施，绩效目标未发生调整。</w:t>
      </w:r>
    </w:p>
    <w:p w14:paraId="230C161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11.由社区服务中心实施的月坛地区文化养老经费项目截至2018年12月31日实际支出金额为217.82万元，预算调整后金额为</w:t>
      </w:r>
      <w:r>
        <w:rPr>
          <w:rFonts w:ascii="仿宋" w:hAnsi="仿宋" w:eastAsia="仿宋"/>
          <w:sz w:val="32"/>
          <w:szCs w:val="32"/>
        </w:rPr>
        <w:t>2</w:t>
      </w:r>
      <w:r>
        <w:rPr>
          <w:rFonts w:hint="eastAsia" w:ascii="仿宋" w:hAnsi="仿宋" w:eastAsia="仿宋"/>
          <w:sz w:val="32"/>
          <w:szCs w:val="32"/>
        </w:rPr>
        <w:t>17.82万元，预算执行率100%。</w:t>
      </w:r>
    </w:p>
    <w:p w14:paraId="7CA84E2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项目为延续性项目，打造以文化养老为核心，每年投入资金组织开展普惠型、专业型相结合的文化养老项目，按照不同的等级设定课程内容，使之可持续的开展形式多样、内容丰富的文体活动。我街道着力打造以文化养老为核心的社区养老服务模式的逐步推进，充分发挥地区社会组织的专业优势，提升社区老年文化资源共享的受益率，创新开展社区文化养老项目，为各社区老年文化组织提供业务指导，为地区老年人提供就近、丰富的精神文化养老服务。</w:t>
      </w:r>
    </w:p>
    <w:p w14:paraId="3BF58AE7">
      <w:pPr>
        <w:spacing w:line="560" w:lineRule="exact"/>
        <w:ind w:firstLine="640" w:firstLineChars="200"/>
        <w:jc w:val="left"/>
        <w:rPr>
          <w:rFonts w:hint="eastAsia" w:ascii="仿宋" w:hAnsi="仿宋" w:eastAsia="仿宋"/>
          <w:color w:val="000000"/>
          <w:sz w:val="30"/>
          <w:szCs w:val="30"/>
        </w:rPr>
      </w:pPr>
      <w:r>
        <w:rPr>
          <w:rFonts w:hint="eastAsia" w:ascii="仿宋" w:hAnsi="仿宋" w:eastAsia="仿宋"/>
          <w:sz w:val="32"/>
          <w:szCs w:val="32"/>
        </w:rPr>
        <w:t>截至2018年12月31日，该项目已完成：1. 陶瓷文化进社区科普讲堂培训项目，</w:t>
      </w:r>
      <w:r>
        <w:rPr>
          <w:rFonts w:hint="eastAsia" w:ascii="仿宋" w:hAnsi="仿宋" w:eastAsia="仿宋"/>
          <w:sz w:val="30"/>
          <w:szCs w:val="30"/>
        </w:rPr>
        <w:t>从原有的月坛社区，复外社区，白云观社区，西便门社区，汽北社区，铁二社区，三里河社区，三里河二区八所社区，到目前新增的三里河一区，南沙沟社区，全总社区，真武庙社区，社会路社区共计14个社区，覆盖约300余人；</w:t>
      </w:r>
      <w:r>
        <w:rPr>
          <w:rFonts w:hint="eastAsia" w:ascii="仿宋" w:hAnsi="仿宋" w:eastAsia="仿宋"/>
          <w:sz w:val="32"/>
          <w:szCs w:val="32"/>
        </w:rPr>
        <w:t>2. “剪纸艺术、家庭园艺推广”培训项目，</w:t>
      </w:r>
      <w:r>
        <w:rPr>
          <w:rFonts w:hint="eastAsia" w:ascii="仿宋" w:hAnsi="仿宋" w:eastAsia="仿宋"/>
          <w:color w:val="000000"/>
          <w:sz w:val="30"/>
          <w:szCs w:val="30"/>
        </w:rPr>
        <w:t>2018年已覆盖13个社区，其中剪纸班7个社区，包括广一，广二，真武庙，汽北，南礼士路，社会路，铁四，参与人数240余人。家庭园艺推广班共6个社区，包括白云观，全总，西便门，南沙沟，公安，三区三，参与人数210余人；</w:t>
      </w:r>
      <w:r>
        <w:rPr>
          <w:rFonts w:hint="eastAsia" w:ascii="仿宋" w:hAnsi="仿宋" w:eastAsia="仿宋"/>
          <w:sz w:val="32"/>
          <w:szCs w:val="32"/>
        </w:rPr>
        <w:t>3.快乐养老项目，</w:t>
      </w:r>
      <w:r>
        <w:rPr>
          <w:rFonts w:hint="eastAsia" w:ascii="仿宋" w:hAnsi="仿宋" w:eastAsia="仿宋"/>
          <w:color w:val="000000"/>
          <w:sz w:val="30"/>
          <w:szCs w:val="30"/>
        </w:rPr>
        <w:t>2018年已覆盖16个社区，包括汽北，白云观，公安，木樨地，铁四，广二，三里河民族社区，南沙沟，铁二一，贴二二，复北，复外，二区，铁三，月坛，全总社区。共计开展525余场服务，开展志愿者培训20次，举办大型活动20次；</w:t>
      </w:r>
      <w:r>
        <w:rPr>
          <w:rFonts w:hint="eastAsia" w:ascii="仿宋" w:hAnsi="仿宋" w:eastAsia="仿宋"/>
          <w:sz w:val="32"/>
          <w:szCs w:val="32"/>
        </w:rPr>
        <w:t>4.开展夕阳茶座系列项目，</w:t>
      </w:r>
      <w:r>
        <w:rPr>
          <w:rFonts w:ascii="仿宋" w:hAnsi="仿宋" w:eastAsia="仿宋"/>
          <w:color w:val="000000"/>
          <w:sz w:val="30"/>
          <w:szCs w:val="30"/>
        </w:rPr>
        <w:t>建立了2</w:t>
      </w:r>
      <w:r>
        <w:rPr>
          <w:rFonts w:hint="eastAsia" w:ascii="仿宋" w:hAnsi="仿宋" w:eastAsia="仿宋"/>
          <w:color w:val="000000"/>
          <w:sz w:val="30"/>
          <w:szCs w:val="30"/>
        </w:rPr>
        <w:t>2</w:t>
      </w:r>
      <w:r>
        <w:rPr>
          <w:rFonts w:ascii="仿宋" w:hAnsi="仿宋" w:eastAsia="仿宋"/>
          <w:color w:val="000000"/>
          <w:sz w:val="30"/>
          <w:szCs w:val="30"/>
        </w:rPr>
        <w:t>个夕阳茶座</w:t>
      </w:r>
      <w:r>
        <w:rPr>
          <w:rFonts w:hint="eastAsia" w:ascii="仿宋" w:hAnsi="仿宋" w:eastAsia="仿宋"/>
          <w:color w:val="000000"/>
          <w:sz w:val="30"/>
          <w:szCs w:val="30"/>
        </w:rPr>
        <w:t>，</w:t>
      </w:r>
      <w:r>
        <w:rPr>
          <w:rFonts w:ascii="仿宋" w:hAnsi="仿宋" w:eastAsia="仿宋"/>
          <w:color w:val="000000"/>
          <w:sz w:val="30"/>
          <w:szCs w:val="30"/>
        </w:rPr>
        <w:t>为社区老人传递居养知识和自我照料技能，主要服务于社区老人、志愿者。</w:t>
      </w:r>
      <w:r>
        <w:rPr>
          <w:rFonts w:hint="eastAsia" w:ascii="仿宋" w:hAnsi="仿宋" w:eastAsia="仿宋"/>
          <w:color w:val="000000"/>
          <w:sz w:val="30"/>
          <w:szCs w:val="30"/>
        </w:rPr>
        <w:t>2018年共计开展夕阳茶座活动808次，服务老人500余人，15000余人次；已完成居养照料知识技能培训23次培训，服务老人600余人次。</w:t>
      </w:r>
    </w:p>
    <w:p w14:paraId="03EA1977">
      <w:pPr>
        <w:spacing w:line="5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项目调整情况及原因分析：截止2018年12月31日，项目实际支出217.82万元，对比预算金额节约0.5万元，于2018年11月进行调减。项目已按合同内容完成全年计划内容，绩效目标未发生调整。</w:t>
      </w:r>
    </w:p>
    <w:p w14:paraId="2BBA91CE">
      <w:pPr>
        <w:spacing w:line="560" w:lineRule="exact"/>
        <w:ind w:firstLine="600" w:firstLineChars="200"/>
        <w:rPr>
          <w:rFonts w:hint="eastAsia" w:ascii="仿宋" w:hAnsi="仿宋" w:eastAsia="仿宋"/>
          <w:sz w:val="32"/>
          <w:szCs w:val="32"/>
        </w:rPr>
      </w:pPr>
      <w:r>
        <w:rPr>
          <w:rFonts w:hint="eastAsia" w:ascii="仿宋" w:hAnsi="仿宋" w:eastAsia="仿宋"/>
          <w:color w:val="000000"/>
          <w:sz w:val="30"/>
          <w:szCs w:val="30"/>
        </w:rPr>
        <w:t>12.</w:t>
      </w:r>
      <w:r>
        <w:rPr>
          <w:rFonts w:hint="eastAsia" w:ascii="仿宋" w:hAnsi="仿宋" w:eastAsia="仿宋"/>
          <w:sz w:val="32"/>
          <w:szCs w:val="32"/>
        </w:rPr>
        <w:t>由宣传部实施的宣传经费项目截至2018年12月31日实际支出金额182万元，预算金额为182万元，预算执行率100%。</w:t>
      </w:r>
    </w:p>
    <w:p w14:paraId="5FC50AE8">
      <w:pPr>
        <w:spacing w:line="560" w:lineRule="exact"/>
        <w:ind w:firstLine="640" w:firstLineChars="200"/>
        <w:rPr>
          <w:rFonts w:ascii="仿宋" w:hAnsi="仿宋" w:eastAsia="仿宋"/>
          <w:sz w:val="32"/>
          <w:szCs w:val="32"/>
        </w:rPr>
      </w:pPr>
      <w:r>
        <w:rPr>
          <w:rFonts w:hint="eastAsia" w:ascii="仿宋" w:hAnsi="仿宋" w:eastAsia="仿宋"/>
          <w:sz w:val="32"/>
          <w:szCs w:val="32"/>
        </w:rPr>
        <w:t>本项目旨在通过开展特色活动、宣传报道、地区文化及精神文明建设等工作，为“四型月坛”建设提供强大的思想保证、精神动力、舆论支持和文化条件，达到提高地区精神文明建设水平，丰富和传承月坛精神，凝聚辖区居民的共同价值取向和精神追求的效果。</w:t>
      </w:r>
    </w:p>
    <w:p w14:paraId="594065D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截至2018年12月31日，该项目已完成：1.组织街道和社区道德讲堂活动100余场，一万余人次；2.组织宣传教育和精神文明相关活动，制作各类主题宣传展板，发放国旗；组织相关活动，制作、发放十九大精神、烟花炮竹禁放等宣传展板、倡议书、致居民一封信千余份，宣传横幅；上报材料等各类宣传物资（展板、横幅、宣传品）；3.上报舆情信息数量315条；4.开展外宣工作，共接待媒体50次，街道各项工作在中央、市级报纸、电台、电视台被报道合计190余篇次，网络媒体报道100余次（包含转载）；5.开展网络文明传播工作，组织5个首都级文明单位和9个文明社区各建立的3人为一组的网络文明志愿者小组共42人，发表博文2千余篇，微博6000余篇，网络论坛留言万余篇；开展151次微信推送；6.党报党刊发行管理工作，为机关、社区征订人民日报140份、北京日报480份、前线杂志115份、求是杂志70份、新华每日电讯70份等刊物的发行核对，确保到位；对机关干部及社区工作者、地区居民发放学习刊物3万余册（本）；7.组织“两学一做”系列学习交流及中心组学习30次；8.组织假期小记者团活动，开展各类青少年活动95余次；9.百姓宣讲150场,7500余人次；10.开展社区宣传教育活动，“绿色交换空间”30场、“我们的节日”活动60次、社区清洁志愿服务等宣传教育活动80次，加强汽北、复北、南礼士路、月坛等社区楼门文化建设工作；11.组织地区20个文明单位及区文明办人员到燕京小天鹅小学参加城乡手拉手共建活动1次；12.《穿过幸福时差》特色品牌活动；13.制作完成街道工作纪实宣传片；14.对街道各项工作进行视频拍摄150余次；15.文明城区创建工作，按指标体系制作核心价值观标牌、围挡，开展文明餐桌宣传，地区清洁整治、入户宣传等工作，并上报材料、图片万余份；16.宣传栏制作和维修，电子屏维修；17.组织人文月坛十一周年活动27场；18.开展文明社区、文明单位评选工作，评选1个全国文明社区，1个全国文明单位，1个首都文明单位标兵，4个首都文明单位，9个首都文明社区。组织上报材料及配合上级单位实地考察；19.背街小巷整治和文化提升工作，复兴门外夹道文化墙、首都博物馆西南侧路文化墙制作。</w:t>
      </w:r>
    </w:p>
    <w:p w14:paraId="4D0A8BF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项目按计划实施，绩效目标未发生调整。</w:t>
      </w:r>
    </w:p>
    <w:p w14:paraId="5E0DF3C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13.由综合治理办公室实施的反恐处突小分队保安服务费项目截至2018年12月31日实际支出金额234.50万元，预算调整后金额234.50万元，预算执行率100%。</w:t>
      </w:r>
    </w:p>
    <w:p w14:paraId="0DFC6B7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本项目是为了贯彻落实中央反恐斗争一系列重要指示精神和决策部署，根据《西城区反恐怖工作小组关于强化反恐防恐基础工作的意见》</w:t>
      </w:r>
      <w:r>
        <w:rPr>
          <w:rFonts w:hint="eastAsia" w:ascii="华文仿宋" w:hAnsi="华文仿宋" w:eastAsia="华文仿宋"/>
          <w:sz w:val="32"/>
          <w:szCs w:val="32"/>
        </w:rPr>
        <w:t>(内部)西反恐领导小组字</w:t>
      </w:r>
      <w:r>
        <w:rPr>
          <w:rFonts w:ascii="仿宋" w:hAnsi="仿宋" w:eastAsia="仿宋"/>
          <w:sz w:val="32"/>
          <w:szCs w:val="32"/>
        </w:rPr>
        <w:t>〔201</w:t>
      </w:r>
      <w:r>
        <w:rPr>
          <w:rFonts w:hint="eastAsia" w:ascii="仿宋" w:hAnsi="仿宋" w:eastAsia="仿宋"/>
          <w:sz w:val="32"/>
          <w:szCs w:val="32"/>
        </w:rPr>
        <w:t>4</w:t>
      </w:r>
      <w:r>
        <w:rPr>
          <w:rFonts w:ascii="仿宋" w:hAnsi="仿宋" w:eastAsia="仿宋"/>
          <w:sz w:val="32"/>
          <w:szCs w:val="32"/>
        </w:rPr>
        <w:t>〕</w:t>
      </w:r>
      <w:r>
        <w:rPr>
          <w:rFonts w:hint="eastAsia" w:ascii="华文仿宋" w:hAnsi="华文仿宋" w:eastAsia="华文仿宋"/>
          <w:sz w:val="32"/>
          <w:szCs w:val="32"/>
        </w:rPr>
        <w:t>1号、</w:t>
      </w:r>
      <w:r>
        <w:rPr>
          <w:rFonts w:hint="eastAsia" w:ascii="仿宋" w:hAnsi="仿宋" w:eastAsia="仿宋"/>
          <w:sz w:val="32"/>
          <w:szCs w:val="32"/>
        </w:rPr>
        <w:t>《西城区反恐怖工作领导小组关于各街道反恐处突小分队组建工作的意见》</w:t>
      </w:r>
      <w:r>
        <w:rPr>
          <w:rFonts w:hint="eastAsia" w:ascii="华文仿宋" w:hAnsi="华文仿宋" w:eastAsia="华文仿宋"/>
          <w:sz w:val="32"/>
          <w:szCs w:val="32"/>
        </w:rPr>
        <w:t>(机密)西反恐领导小组</w:t>
      </w:r>
      <w:r>
        <w:rPr>
          <w:rFonts w:ascii="仿宋" w:hAnsi="仿宋" w:eastAsia="仿宋"/>
          <w:sz w:val="32"/>
          <w:szCs w:val="32"/>
        </w:rPr>
        <w:t>〔201</w:t>
      </w:r>
      <w:r>
        <w:rPr>
          <w:rFonts w:hint="eastAsia" w:ascii="仿宋" w:hAnsi="仿宋" w:eastAsia="仿宋"/>
          <w:sz w:val="32"/>
          <w:szCs w:val="32"/>
        </w:rPr>
        <w:t>5</w:t>
      </w:r>
      <w:r>
        <w:rPr>
          <w:rFonts w:ascii="仿宋" w:hAnsi="仿宋" w:eastAsia="仿宋"/>
          <w:sz w:val="32"/>
          <w:szCs w:val="32"/>
        </w:rPr>
        <w:t>〕</w:t>
      </w:r>
      <w:r>
        <w:rPr>
          <w:rFonts w:hint="eastAsia" w:ascii="华文仿宋" w:hAnsi="华文仿宋" w:eastAsia="华文仿宋"/>
          <w:sz w:val="32"/>
          <w:szCs w:val="32"/>
        </w:rPr>
        <w:t>03号</w:t>
      </w:r>
      <w:r>
        <w:rPr>
          <w:rFonts w:hint="eastAsia" w:ascii="仿宋" w:hAnsi="仿宋" w:eastAsia="仿宋"/>
          <w:sz w:val="32"/>
          <w:szCs w:val="32"/>
        </w:rPr>
        <w:t>，我街道于2015年7月成立反恐处突小分队，委托北京荣军保安服务有限公司派遣保安人员提供服务，反恐处突小分队现有队员50人，按每人每月3800元标准。合同约定，派遣保安人数50人，服务期限2018年1月1日至2018年12月31日，合同金额228万，每季度支付57万。已完成全年经费的支付。</w:t>
      </w:r>
    </w:p>
    <w:p w14:paraId="0256A77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反恐小分队主要任务：1.承担日常巡逻任务，对辖区突发性案事件第一事件发现，第一时间报告；2.</w:t>
      </w:r>
      <w:r>
        <w:rPr>
          <w:rFonts w:hint="eastAsia" w:ascii="仿宋_GB2312" w:hAnsi="仿宋" w:eastAsia="仿宋_GB2312"/>
          <w:sz w:val="32"/>
          <w:szCs w:val="32"/>
        </w:rPr>
        <w:t>协助专业队伍对各类群体性事件处置现场进行秩序维护</w:t>
      </w:r>
      <w:r>
        <w:rPr>
          <w:rFonts w:hint="eastAsia" w:ascii="华文仿宋" w:hAnsi="华文仿宋" w:eastAsia="华文仿宋"/>
          <w:sz w:val="32"/>
          <w:szCs w:val="32"/>
        </w:rPr>
        <w:t>36次</w:t>
      </w:r>
      <w:r>
        <w:rPr>
          <w:rFonts w:hint="eastAsia" w:ascii="仿宋" w:hAnsi="仿宋" w:eastAsia="仿宋"/>
          <w:sz w:val="32"/>
          <w:szCs w:val="32"/>
        </w:rPr>
        <w:t>；3.协助专业队伍对暴力性、恐怖性犯罪，暴乱、骚乱事件进行秩序维护；4.承担街道的临时性工作任务；5.其他应当由反恐处突小分队承担的任务。</w:t>
      </w:r>
    </w:p>
    <w:p w14:paraId="3CEE35C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反恐处突小分队由月坛派出所直接管理，承担月坛辖区内56条街巷的保安值勤、巡逻、巡视、安全防范等安全保卫任务；承担各重大会议、节假日及敏感时期的安全保卫任务，确保社会安全稳定工作万无一失。</w:t>
      </w:r>
    </w:p>
    <w:p w14:paraId="4B22BA96">
      <w:pPr>
        <w:spacing w:line="560" w:lineRule="exact"/>
        <w:ind w:firstLine="600" w:firstLineChars="200"/>
        <w:rPr>
          <w:rFonts w:hint="eastAsia" w:ascii="仿宋" w:hAnsi="仿宋" w:eastAsia="仿宋"/>
          <w:sz w:val="32"/>
          <w:szCs w:val="32"/>
        </w:rPr>
      </w:pPr>
      <w:r>
        <w:rPr>
          <w:rFonts w:hint="eastAsia" w:ascii="仿宋" w:hAnsi="仿宋" w:eastAsia="仿宋"/>
          <w:color w:val="000000"/>
          <w:sz w:val="30"/>
          <w:szCs w:val="30"/>
        </w:rPr>
        <w:t>项目调整情况及原因分析：</w:t>
      </w:r>
      <w:r>
        <w:rPr>
          <w:rFonts w:hint="eastAsia" w:ascii="仿宋_GB2312" w:hAnsi="仿宋" w:eastAsia="仿宋_GB2312"/>
          <w:sz w:val="32"/>
          <w:szCs w:val="32"/>
        </w:rPr>
        <w:t>项目立项时申报预算228万元，因2018年10月反恐任务繁重，经常加班加点，经协商，2018年11月至12月每名保安员增加保安服务费650元，于2018年11月调增项目金额6.50万元。</w:t>
      </w:r>
    </w:p>
    <w:p w14:paraId="29825F5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项目按计划实施，绩效目标未发生调整。</w:t>
      </w:r>
    </w:p>
    <w:p w14:paraId="11CACF55">
      <w:pPr>
        <w:spacing w:line="560" w:lineRule="exact"/>
        <w:ind w:firstLine="640" w:firstLineChars="200"/>
        <w:rPr>
          <w:rFonts w:ascii="仿宋" w:hAnsi="仿宋" w:eastAsia="仿宋"/>
          <w:sz w:val="32"/>
          <w:szCs w:val="32"/>
        </w:rPr>
      </w:pPr>
      <w:r>
        <w:rPr>
          <w:rFonts w:hint="eastAsia" w:ascii="仿宋" w:hAnsi="仿宋" w:eastAsia="仿宋"/>
          <w:sz w:val="32"/>
          <w:szCs w:val="32"/>
        </w:rPr>
        <w:t>14.由综合治理办公室实施的治安志愿者经费项目截至2018年12月31日实际支出金额172.44万元，预算调整后金额172.44万元，预算执行率100%。</w:t>
      </w:r>
    </w:p>
    <w:p w14:paraId="78B4ACB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是在各重点时期建立以奖代补机制，对各社区及社区治保主任、治安志愿者等进行慰问，鼓励更多志愿者参与到社区的群防群治工作中,提高社区居民参与群防群治工作的积极性，促进社会和谐，维护社会稳定。</w:t>
      </w:r>
    </w:p>
    <w:p w14:paraId="62766F2C">
      <w:pPr>
        <w:spacing w:line="560" w:lineRule="exact"/>
        <w:ind w:firstLine="640" w:firstLineChars="200"/>
        <w:rPr>
          <w:rFonts w:hint="eastAsia" w:ascii="仿宋_GB2312" w:eastAsia="仿宋_GB2312"/>
          <w:sz w:val="32"/>
          <w:szCs w:val="32"/>
        </w:rPr>
      </w:pPr>
      <w:r>
        <w:rPr>
          <w:rFonts w:hint="eastAsia" w:ascii="仿宋" w:hAnsi="仿宋" w:eastAsia="仿宋"/>
          <w:sz w:val="32"/>
          <w:szCs w:val="32"/>
        </w:rPr>
        <w:t>截至2018年12月31日，月坛地区共有实名制治安志愿者3,600余名，全年预计重点安保时间</w:t>
      </w:r>
      <w:r>
        <w:rPr>
          <w:rFonts w:hint="eastAsia" w:ascii="仿宋_GB2312" w:eastAsia="仿宋_GB2312"/>
          <w:sz w:val="32"/>
          <w:szCs w:val="32"/>
        </w:rPr>
        <w:t>有58天</w:t>
      </w:r>
      <w:r>
        <w:rPr>
          <w:rFonts w:hint="eastAsia" w:ascii="仿宋" w:hAnsi="仿宋" w:eastAsia="仿宋"/>
          <w:sz w:val="32"/>
          <w:szCs w:val="32"/>
        </w:rPr>
        <w:t>，发动志愿者</w:t>
      </w:r>
      <w:r>
        <w:rPr>
          <w:rFonts w:hint="eastAsia" w:ascii="仿宋_GB2312" w:eastAsia="仿宋_GB2312"/>
          <w:sz w:val="32"/>
          <w:szCs w:val="32"/>
        </w:rPr>
        <w:t>10,375</w:t>
      </w:r>
      <w:r>
        <w:rPr>
          <w:rFonts w:hint="eastAsia" w:ascii="仿宋" w:hAnsi="仿宋" w:eastAsia="仿宋"/>
          <w:sz w:val="32"/>
          <w:szCs w:val="32"/>
        </w:rPr>
        <w:t>人次，</w:t>
      </w:r>
      <w:r>
        <w:rPr>
          <w:rFonts w:hint="eastAsia" w:ascii="仿宋_GB2312" w:eastAsia="仿宋_GB2312"/>
          <w:sz w:val="32"/>
          <w:szCs w:val="32"/>
        </w:rPr>
        <w:t>发放物品数量10,375件，上勤总小时数141,161小时，全年人均上勤13.6小时，发放慰问品金额90.21万元；按照区综办统一要求对治安志愿者提供了服装保障，发放志愿者冲锋衣(含抓绒衣)3,800套，志愿者红T恤3,910件，志愿者网眼红马甲3,910件，对重点时期及时处理突发事件的12名治安志愿者进行现金奖励。</w:t>
      </w:r>
    </w:p>
    <w:p w14:paraId="7CCCF5CC">
      <w:pPr>
        <w:spacing w:line="560" w:lineRule="exact"/>
        <w:ind w:firstLine="600" w:firstLineChars="200"/>
        <w:rPr>
          <w:rFonts w:hint="eastAsia" w:ascii="仿宋" w:hAnsi="仿宋" w:eastAsia="仿宋"/>
          <w:sz w:val="32"/>
          <w:szCs w:val="32"/>
        </w:rPr>
      </w:pPr>
      <w:r>
        <w:rPr>
          <w:rFonts w:hint="eastAsia" w:ascii="仿宋" w:hAnsi="仿宋" w:eastAsia="仿宋"/>
          <w:color w:val="000000"/>
          <w:sz w:val="30"/>
          <w:szCs w:val="30"/>
        </w:rPr>
        <w:t>项目调整情况及原因分析：</w:t>
      </w:r>
      <w:r>
        <w:rPr>
          <w:rFonts w:hint="eastAsia" w:ascii="仿宋_GB2312" w:hAnsi="仿宋" w:eastAsia="仿宋_GB2312"/>
          <w:sz w:val="32"/>
          <w:szCs w:val="32"/>
        </w:rPr>
        <w:t>本项目为全额财政拨款项目，项目立项时申报预算209.34万元， 2018年度因客观因素影响较多，治安志愿者实际上勤次数低于预估数量，故2018年11月调减项目金额36.89万元，项目实际支出金额为172.45万元。</w:t>
      </w:r>
    </w:p>
    <w:p w14:paraId="1EEFB00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本项目受相关政策影响较大，项目资金支付比例偏低。绩效目标未发生调整。</w:t>
      </w:r>
    </w:p>
    <w:p w14:paraId="11DC1B3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15.由组织部实施的社区党组织服务群众经费项目截至2018年12月31日实际支出金额400万元，预算调整后金额400万元，预算执行率100%。</w:t>
      </w:r>
    </w:p>
    <w:p w14:paraId="6AEEFE7D">
      <w:pPr>
        <w:spacing w:line="560" w:lineRule="exact"/>
        <w:ind w:firstLine="640" w:firstLineChars="200"/>
        <w:rPr>
          <w:rFonts w:ascii="仿宋" w:hAnsi="仿宋" w:eastAsia="仿宋"/>
          <w:sz w:val="32"/>
          <w:szCs w:val="32"/>
        </w:rPr>
      </w:pPr>
      <w:r>
        <w:rPr>
          <w:rFonts w:hint="eastAsia" w:ascii="仿宋" w:hAnsi="仿宋" w:eastAsia="仿宋"/>
          <w:sz w:val="32"/>
          <w:szCs w:val="32"/>
        </w:rPr>
        <w:t>本项目为延续性项目，主要工作内容：1.培育实施党建服务项目；2.培育发展党员群众共同参与的服务团队和志愿者队伍；3.党组织牵头负责的与群众生产生活密切相关的公共服务类项目或活动；4</w:t>
      </w:r>
      <w:r>
        <w:rPr>
          <w:rFonts w:ascii="仿宋" w:hAnsi="仿宋" w:eastAsia="仿宋"/>
          <w:sz w:val="32"/>
          <w:szCs w:val="32"/>
        </w:rPr>
        <w:t>.</w:t>
      </w:r>
      <w:r>
        <w:rPr>
          <w:rFonts w:hint="eastAsia" w:ascii="仿宋" w:hAnsi="仿宋" w:eastAsia="仿宋"/>
          <w:sz w:val="32"/>
          <w:szCs w:val="32"/>
        </w:rPr>
        <w:t>社区服务设施和党建阵地建设；5</w:t>
      </w:r>
      <w:r>
        <w:rPr>
          <w:rFonts w:ascii="仿宋" w:hAnsi="仿宋" w:eastAsia="仿宋"/>
          <w:sz w:val="32"/>
          <w:szCs w:val="32"/>
        </w:rPr>
        <w:t>.</w:t>
      </w:r>
      <w:r>
        <w:rPr>
          <w:rFonts w:hint="eastAsia" w:ascii="仿宋" w:hAnsi="仿宋" w:eastAsia="仿宋"/>
          <w:sz w:val="32"/>
          <w:szCs w:val="32"/>
        </w:rPr>
        <w:t>社区群众迫切需要解决的其它服务事项。</w:t>
      </w:r>
    </w:p>
    <w:p w14:paraId="4D53788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规范本项目经费的管理和使用，提升基层党组织直接服务群众的能力水平，根据《西城区社区党组织服务群众经费管理办法（试行）》，结合我街道实际，按照每个社区每年20万元的标准核定社区党组织服务群众经费。街道成立了基层党组织服务群众项目领导小组，每个项目均上会集体讨论，并制定了《月坛街道社区党组织服务群众经费使用管理实施细则（试行）》，严格按合同规定的支付方式和数额进行支付，审批手续严密。</w:t>
      </w:r>
    </w:p>
    <w:p w14:paraId="3FF79F54">
      <w:pPr>
        <w:snapToGrid w:val="0"/>
        <w:spacing w:line="560" w:lineRule="exact"/>
        <w:ind w:firstLine="600" w:firstLineChars="200"/>
        <w:rPr>
          <w:rFonts w:hint="eastAsia" w:ascii="仿宋" w:hAnsi="仿宋" w:eastAsia="仿宋"/>
          <w:sz w:val="32"/>
          <w:szCs w:val="32"/>
        </w:rPr>
      </w:pPr>
      <w:r>
        <w:rPr>
          <w:rFonts w:hint="eastAsia" w:ascii="仿宋" w:hAnsi="仿宋" w:eastAsia="仿宋"/>
          <w:color w:val="000000"/>
          <w:sz w:val="30"/>
          <w:szCs w:val="30"/>
        </w:rPr>
        <w:t>项目调整情况及原因分析：</w:t>
      </w:r>
      <w:r>
        <w:rPr>
          <w:rFonts w:hint="eastAsia" w:ascii="仿宋_GB2312" w:hAnsi="仿宋" w:eastAsia="仿宋_GB2312"/>
          <w:sz w:val="32"/>
          <w:szCs w:val="32"/>
        </w:rPr>
        <w:t>本项目为全额财政拨款项目，项目立项时申报预算金额520万元，由于2018年8月开始已经启动“两委”换届选举工作，对26个社区党组织项目的进度造成影响，故2018年11月调减项目金额120万元，项目实际支出金额为400万元。</w:t>
      </w:r>
    </w:p>
    <w:p w14:paraId="6EBABF0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项目整体预算执行率较低，反映项目前期调研不够深入，对客观因素的影响预估不足，项目的整体计划性有待加强。</w:t>
      </w:r>
    </w:p>
    <w:p w14:paraId="0350E2D5">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预算执行率90%以上的9个项目具体完成情况如下：</w:t>
      </w:r>
    </w:p>
    <w:p w14:paraId="219D692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16.由残联实施的残疾人职业康复劳动项目截至2018年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日实际支出金额137.50万元，预算调整后金额137.85万元，预算执行率99.74%。</w:t>
      </w:r>
    </w:p>
    <w:p w14:paraId="5D11C73A">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该项目根据京残发</w:t>
      </w:r>
      <w:r>
        <w:rPr>
          <w:rFonts w:ascii="仿宋" w:hAnsi="仿宋" w:eastAsia="仿宋"/>
          <w:sz w:val="32"/>
          <w:szCs w:val="32"/>
        </w:rPr>
        <w:t>〔201</w:t>
      </w:r>
      <w:r>
        <w:rPr>
          <w:rFonts w:hint="eastAsia" w:ascii="仿宋" w:hAnsi="仿宋" w:eastAsia="仿宋"/>
          <w:sz w:val="32"/>
          <w:szCs w:val="32"/>
        </w:rPr>
        <w:t>4</w:t>
      </w:r>
      <w:r>
        <w:rPr>
          <w:rFonts w:ascii="仿宋" w:hAnsi="仿宋" w:eastAsia="仿宋"/>
          <w:sz w:val="32"/>
          <w:szCs w:val="32"/>
        </w:rPr>
        <w:t>〕</w:t>
      </w:r>
      <w:r>
        <w:rPr>
          <w:rFonts w:hint="eastAsia" w:ascii="仿宋_GB2312" w:hAnsi="仿宋" w:eastAsia="仿宋_GB2312"/>
          <w:sz w:val="32"/>
          <w:szCs w:val="32"/>
        </w:rPr>
        <w:t>3号、京残发</w:t>
      </w:r>
      <w:r>
        <w:rPr>
          <w:rFonts w:ascii="仿宋" w:hAnsi="仿宋" w:eastAsia="仿宋"/>
          <w:sz w:val="32"/>
          <w:szCs w:val="32"/>
        </w:rPr>
        <w:t>〔201</w:t>
      </w:r>
      <w:r>
        <w:rPr>
          <w:rFonts w:hint="eastAsia" w:ascii="仿宋" w:hAnsi="仿宋" w:eastAsia="仿宋"/>
          <w:sz w:val="32"/>
          <w:szCs w:val="32"/>
        </w:rPr>
        <w:t>4</w:t>
      </w:r>
      <w:r>
        <w:rPr>
          <w:rFonts w:ascii="仿宋" w:hAnsi="仿宋" w:eastAsia="仿宋"/>
          <w:sz w:val="32"/>
          <w:szCs w:val="32"/>
        </w:rPr>
        <w:t>〕</w:t>
      </w:r>
      <w:r>
        <w:rPr>
          <w:rFonts w:hint="eastAsia" w:ascii="仿宋_GB2312" w:hAnsi="仿宋" w:eastAsia="仿宋_GB2312"/>
          <w:sz w:val="32"/>
          <w:szCs w:val="32"/>
        </w:rPr>
        <w:t xml:space="preserve">25号文件要求，按照职康项目的实际服务残疾人对象人数，以每人每月1100元标准给予运行经费补助。月坛街道残联共有5个残疾人手拉手职业康复站，目前共有工作人员10名，学员51名，其中智力残疾学员32名，精神残疾学员13名，多重残疾学员6名。 </w:t>
      </w:r>
    </w:p>
    <w:p w14:paraId="5C3AC6D2">
      <w:pPr>
        <w:spacing w:line="560" w:lineRule="exact"/>
        <w:ind w:firstLine="640" w:firstLineChars="200"/>
        <w:rPr>
          <w:rFonts w:ascii="仿宋_GB2312" w:hAnsi="仿宋" w:eastAsia="仿宋_GB2312"/>
          <w:sz w:val="32"/>
          <w:szCs w:val="32"/>
        </w:rPr>
      </w:pPr>
      <w:r>
        <w:rPr>
          <w:rFonts w:hint="eastAsia" w:ascii="仿宋" w:hAnsi="仿宋" w:eastAsia="仿宋"/>
          <w:sz w:val="32"/>
          <w:szCs w:val="32"/>
        </w:rPr>
        <w:t>通过该项目的实施，</w:t>
      </w:r>
      <w:r>
        <w:rPr>
          <w:rFonts w:ascii="仿宋_GB2312" w:hAnsi="仿宋" w:eastAsia="仿宋_GB2312"/>
          <w:sz w:val="32"/>
          <w:szCs w:val="32"/>
        </w:rPr>
        <w:t>陆续有80余名残疾人参加职业劳动康复训练，经过多年来的训练，每个成员无论是性格还是对事物认识的态度，都有了不小的进步和变化。不仅受到康复学员的喜爱，也受到家长的好评与称赞。街道 “手拉手”职业康复站的成立，不仅给孩子们有了一个归宿，也给家长们一份安心，为社会稳定发挥了作用。</w:t>
      </w:r>
    </w:p>
    <w:p w14:paraId="7F8B19F4">
      <w:pPr>
        <w:spacing w:line="560" w:lineRule="exact"/>
        <w:ind w:firstLine="600" w:firstLineChars="200"/>
        <w:rPr>
          <w:rFonts w:hint="eastAsia" w:ascii="仿宋_GB2312" w:hAnsi="仿宋" w:eastAsia="仿宋_GB2312"/>
          <w:sz w:val="32"/>
          <w:szCs w:val="32"/>
        </w:rPr>
      </w:pPr>
      <w:r>
        <w:rPr>
          <w:rFonts w:hint="eastAsia" w:ascii="仿宋" w:hAnsi="仿宋" w:eastAsia="仿宋"/>
          <w:color w:val="000000"/>
          <w:sz w:val="30"/>
          <w:szCs w:val="30"/>
        </w:rPr>
        <w:t>项目调整情况及原因分析：</w:t>
      </w:r>
      <w:r>
        <w:rPr>
          <w:rFonts w:hint="eastAsia" w:ascii="仿宋_GB2312" w:hAnsi="仿宋" w:eastAsia="仿宋_GB2312"/>
          <w:sz w:val="32"/>
          <w:szCs w:val="32"/>
        </w:rPr>
        <w:t>本项目为全额财政拨款项目，项目立项时申报预算174.85万元。</w:t>
      </w:r>
      <w:r>
        <w:rPr>
          <w:rFonts w:hint="eastAsia" w:ascii="仿宋_GB2312" w:hAnsi="仿宋" w:eastAsia="仿宋_GB2312"/>
          <w:color w:val="000000"/>
          <w:sz w:val="32"/>
          <w:szCs w:val="32"/>
        </w:rPr>
        <w:t>因</w:t>
      </w:r>
      <w:r>
        <w:rPr>
          <w:rFonts w:ascii="仿宋_GB2312" w:hAnsi="仿宋" w:eastAsia="仿宋_GB2312"/>
          <w:color w:val="000000"/>
          <w:sz w:val="32"/>
          <w:szCs w:val="32"/>
        </w:rPr>
        <w:t>职康站对部分学员逐步实现了帮扶性就业</w:t>
      </w:r>
      <w:r>
        <w:rPr>
          <w:rFonts w:hint="eastAsia" w:ascii="仿宋_GB2312" w:hAnsi="仿宋" w:eastAsia="仿宋_GB2312"/>
          <w:color w:val="000000"/>
          <w:sz w:val="32"/>
          <w:szCs w:val="32"/>
        </w:rPr>
        <w:t>以及学员</w:t>
      </w:r>
      <w:r>
        <w:rPr>
          <w:rFonts w:ascii="仿宋_GB2312" w:hAnsi="仿宋" w:eastAsia="仿宋_GB2312"/>
          <w:color w:val="000000"/>
          <w:sz w:val="32"/>
          <w:szCs w:val="32"/>
        </w:rPr>
        <w:t>户口迁出等</w:t>
      </w:r>
      <w:r>
        <w:rPr>
          <w:rFonts w:hint="eastAsia" w:ascii="仿宋_GB2312" w:hAnsi="仿宋" w:eastAsia="仿宋_GB2312"/>
          <w:color w:val="000000"/>
          <w:sz w:val="32"/>
          <w:szCs w:val="32"/>
        </w:rPr>
        <w:t>因素</w:t>
      </w:r>
      <w:r>
        <w:rPr>
          <w:rFonts w:hint="eastAsia" w:ascii="仿宋_GB2312" w:hAnsi="仿宋" w:eastAsia="仿宋_GB2312"/>
          <w:sz w:val="32"/>
          <w:szCs w:val="32"/>
        </w:rPr>
        <w:t>，于2018年10月项目预算调减37万元，调减后预算为137.85万元。实际支出137.50万元，是由于12月份职康站两名老师因自身原因辞职，工资发放有所减少，结余0.36万元已上交财政。</w:t>
      </w:r>
    </w:p>
    <w:p w14:paraId="5507732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17.由发展服务办公室实施的垃圾减量垃圾分类经费项目截至2018年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日实际支出金额595.56万元，预算调整后金额595.77万元，预算执行率99.97%。</w:t>
      </w:r>
    </w:p>
    <w:p w14:paraId="104770CF">
      <w:pPr>
        <w:widowControl/>
        <w:spacing w:line="560" w:lineRule="exact"/>
        <w:ind w:firstLine="640" w:firstLineChars="200"/>
        <w:jc w:val="left"/>
        <w:rPr>
          <w:rFonts w:hint="eastAsia" w:ascii="仿宋" w:hAnsi="仿宋" w:eastAsia="仿宋"/>
          <w:sz w:val="32"/>
          <w:szCs w:val="32"/>
        </w:rPr>
      </w:pPr>
      <w:bookmarkStart w:id="18" w:name="_Hlk503344776"/>
      <w:r>
        <w:rPr>
          <w:rFonts w:hint="eastAsia" w:ascii="仿宋" w:hAnsi="仿宋" w:eastAsia="仿宋"/>
          <w:sz w:val="32"/>
          <w:szCs w:val="32"/>
        </w:rPr>
        <w:t>该项目</w:t>
      </w:r>
      <w:bookmarkEnd w:id="18"/>
      <w:r>
        <w:rPr>
          <w:rFonts w:hint="eastAsia" w:ascii="仿宋" w:hAnsi="仿宋" w:eastAsia="仿宋"/>
          <w:sz w:val="32"/>
          <w:szCs w:val="32"/>
        </w:rPr>
        <w:t>是根据北京市垃圾分类相关条例规定，小区垃圾分类状况的提升涉及到的各街道（乡镇）、社区均应按照相关责任标准组织落实垃圾分类工作，随着垃圾分类制度化、规范化、专业化、程序化、常态化考核出台，促进街道（乡镇）垃圾分类管理水平和作业水平的提高，从总体上提高垃圾捡分工作的管理水平。本项目共涉及26个社区，委托第三方公司及物业单位聘任670名指导员。</w:t>
      </w:r>
    </w:p>
    <w:p w14:paraId="43F442A5">
      <w:pPr>
        <w:widowControl/>
        <w:spacing w:line="560" w:lineRule="exact"/>
        <w:ind w:firstLine="640" w:firstLineChars="200"/>
        <w:jc w:val="left"/>
        <w:rPr>
          <w:rFonts w:hint="eastAsia" w:ascii="仿宋" w:hAnsi="仿宋" w:eastAsia="仿宋" w:cs="宋体"/>
          <w:kern w:val="0"/>
          <w:sz w:val="32"/>
          <w:szCs w:val="32"/>
          <w:highlight w:val="yellow"/>
        </w:rPr>
      </w:pPr>
      <w:r>
        <w:rPr>
          <w:rFonts w:hint="eastAsia" w:ascii="仿宋" w:hAnsi="仿宋" w:eastAsia="仿宋"/>
          <w:sz w:val="32"/>
          <w:szCs w:val="32"/>
        </w:rPr>
        <w:t>其中，16000户居民的垃圾分类工作沿用</w:t>
      </w:r>
      <w:r>
        <w:rPr>
          <w:rFonts w:ascii="仿宋" w:hAnsi="仿宋" w:eastAsia="仿宋"/>
          <w:sz w:val="32"/>
          <w:szCs w:val="32"/>
        </w:rPr>
        <w:t>2016</w:t>
      </w:r>
      <w:r>
        <w:rPr>
          <w:rFonts w:hint="eastAsia" w:ascii="仿宋" w:hAnsi="仿宋" w:eastAsia="仿宋"/>
          <w:sz w:val="32"/>
          <w:szCs w:val="32"/>
        </w:rPr>
        <w:t>年度公开招标所确定的供应商绿景盛世（北京）环境技术服务有限公司实施；27000户居民的垃圾分类工作通过2018年度公开招标确定的供应商北京必发世纪科技发展有限公司实施。根据政策条例依据小区户数对小区物业进行补贴。与绿景盛世（北京）环境技术服务有限公司签订的合同期限为2</w:t>
      </w:r>
      <w:r>
        <w:rPr>
          <w:rFonts w:ascii="仿宋" w:hAnsi="仿宋" w:eastAsia="仿宋"/>
          <w:sz w:val="32"/>
          <w:szCs w:val="32"/>
        </w:rPr>
        <w:t>01</w:t>
      </w:r>
      <w:r>
        <w:rPr>
          <w:rFonts w:hint="eastAsia" w:ascii="仿宋" w:hAnsi="仿宋" w:eastAsia="仿宋"/>
          <w:sz w:val="32"/>
          <w:szCs w:val="32"/>
        </w:rPr>
        <w:t>8年3月2</w:t>
      </w:r>
      <w:r>
        <w:rPr>
          <w:rFonts w:ascii="仿宋" w:hAnsi="仿宋" w:eastAsia="仿宋"/>
          <w:sz w:val="32"/>
          <w:szCs w:val="32"/>
        </w:rPr>
        <w:t>4</w:t>
      </w:r>
      <w:r>
        <w:rPr>
          <w:rFonts w:hint="eastAsia" w:ascii="仿宋" w:hAnsi="仿宋" w:eastAsia="仿宋"/>
          <w:sz w:val="32"/>
          <w:szCs w:val="32"/>
        </w:rPr>
        <w:t>日至2</w:t>
      </w:r>
      <w:r>
        <w:rPr>
          <w:rFonts w:ascii="仿宋" w:hAnsi="仿宋" w:eastAsia="仿宋"/>
          <w:sz w:val="32"/>
          <w:szCs w:val="32"/>
        </w:rPr>
        <w:t>01</w:t>
      </w:r>
      <w:r>
        <w:rPr>
          <w:rFonts w:hint="eastAsia" w:ascii="仿宋" w:hAnsi="仿宋" w:eastAsia="仿宋"/>
          <w:sz w:val="32"/>
          <w:szCs w:val="32"/>
        </w:rPr>
        <w:t>9年3月2</w:t>
      </w:r>
      <w:r>
        <w:rPr>
          <w:rFonts w:ascii="仿宋" w:hAnsi="仿宋" w:eastAsia="仿宋"/>
          <w:sz w:val="32"/>
          <w:szCs w:val="32"/>
        </w:rPr>
        <w:t>3</w:t>
      </w:r>
      <w:r>
        <w:rPr>
          <w:rFonts w:hint="eastAsia" w:ascii="仿宋" w:hAnsi="仿宋" w:eastAsia="仿宋"/>
          <w:sz w:val="32"/>
          <w:szCs w:val="32"/>
        </w:rPr>
        <w:t>日，合同金额189</w:t>
      </w:r>
      <w:r>
        <w:rPr>
          <w:rFonts w:ascii="仿宋" w:hAnsi="仿宋" w:eastAsia="仿宋"/>
          <w:sz w:val="32"/>
          <w:szCs w:val="32"/>
        </w:rPr>
        <w:t>.</w:t>
      </w:r>
      <w:r>
        <w:rPr>
          <w:rFonts w:hint="eastAsia" w:ascii="仿宋" w:hAnsi="仿宋" w:eastAsia="仿宋"/>
          <w:sz w:val="32"/>
          <w:szCs w:val="32"/>
        </w:rPr>
        <w:t>36万元，于4月20日支付首付款80万元，9月25日支付中期款80万，尾款29.36万元已调至2019年度支付；支付补充协议款项合计4.32万元；支付上年度合同尾款41.32万元；支付购买宣传用水、宣传折页合计4.32万元。6月1日支付北京必发世纪科技发展有限公司2018年垃圾分类服务费首付款192.80万，9月25日支付北京必发世纪科技发展有限公司2018年垃圾分类服务费中期款192.80万。</w:t>
      </w:r>
    </w:p>
    <w:p w14:paraId="5760F903">
      <w:pPr>
        <w:spacing w:line="560" w:lineRule="exact"/>
        <w:ind w:firstLine="600" w:firstLineChars="200"/>
        <w:rPr>
          <w:rFonts w:hint="eastAsia" w:ascii="仿宋" w:hAnsi="仿宋" w:eastAsia="仿宋"/>
          <w:sz w:val="32"/>
          <w:szCs w:val="32"/>
        </w:rPr>
      </w:pPr>
      <w:r>
        <w:rPr>
          <w:rFonts w:hint="eastAsia" w:ascii="仿宋" w:hAnsi="仿宋" w:eastAsia="仿宋"/>
          <w:color w:val="000000"/>
          <w:sz w:val="30"/>
          <w:szCs w:val="30"/>
        </w:rPr>
        <w:t>项目调整情况及原因分析：</w:t>
      </w:r>
      <w:r>
        <w:rPr>
          <w:rFonts w:hint="eastAsia" w:ascii="仿宋" w:hAnsi="仿宋" w:eastAsia="仿宋"/>
          <w:sz w:val="32"/>
          <w:szCs w:val="32"/>
        </w:rPr>
        <w:t>本项目年初预算650万元，</w:t>
      </w:r>
      <w:r>
        <w:rPr>
          <w:rFonts w:hint="eastAsia" w:ascii="仿宋_GB2312" w:hAnsi="仿宋" w:eastAsia="仿宋_GB2312"/>
          <w:sz w:val="32"/>
          <w:szCs w:val="32"/>
        </w:rPr>
        <w:t>根据实际工作量</w:t>
      </w:r>
      <w:r>
        <w:rPr>
          <w:rFonts w:hint="eastAsia" w:ascii="仿宋" w:hAnsi="仿宋" w:eastAsia="仿宋"/>
          <w:sz w:val="32"/>
          <w:szCs w:val="32"/>
        </w:rPr>
        <w:t>，由于在年初预算编制中，对上年度尾款以及本年度尾款的支付进度考虑不够全面，造成预算调减54</w:t>
      </w:r>
      <w:r>
        <w:rPr>
          <w:rFonts w:ascii="仿宋" w:hAnsi="仿宋" w:eastAsia="仿宋"/>
          <w:sz w:val="32"/>
          <w:szCs w:val="32"/>
        </w:rPr>
        <w:t>.</w:t>
      </w:r>
      <w:r>
        <w:rPr>
          <w:rFonts w:hint="eastAsia" w:ascii="仿宋" w:hAnsi="仿宋" w:eastAsia="仿宋"/>
          <w:sz w:val="32"/>
          <w:szCs w:val="32"/>
        </w:rPr>
        <w:t>23万元。</w:t>
      </w:r>
    </w:p>
    <w:p w14:paraId="2A41982A">
      <w:pPr>
        <w:spacing w:line="560" w:lineRule="exact"/>
        <w:ind w:firstLine="640" w:firstLineChars="200"/>
        <w:rPr>
          <w:rFonts w:hint="eastAsia" w:ascii="仿宋_GB2312" w:hAnsi="仿宋" w:eastAsia="仿宋_GB2312"/>
          <w:sz w:val="32"/>
          <w:szCs w:val="32"/>
        </w:rPr>
      </w:pPr>
      <w:r>
        <w:rPr>
          <w:rFonts w:hint="eastAsia" w:ascii="仿宋" w:hAnsi="仿宋" w:eastAsia="仿宋"/>
          <w:sz w:val="32"/>
          <w:szCs w:val="32"/>
        </w:rPr>
        <w:t>截止2</w:t>
      </w:r>
      <w:r>
        <w:rPr>
          <w:rFonts w:ascii="仿宋" w:hAnsi="仿宋" w:eastAsia="仿宋"/>
          <w:sz w:val="32"/>
          <w:szCs w:val="32"/>
        </w:rPr>
        <w:t>01</w:t>
      </w:r>
      <w:r>
        <w:rPr>
          <w:rFonts w:hint="eastAsia" w:ascii="仿宋" w:hAnsi="仿宋" w:eastAsia="仿宋"/>
          <w:sz w:val="32"/>
          <w:szCs w:val="32"/>
        </w:rPr>
        <w:t>8年1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日，项目完成26个社区共计43000余户居民的垃圾分类工作。项目整体计划内容已完成。</w:t>
      </w:r>
    </w:p>
    <w:p w14:paraId="3BCEFA60">
      <w:pPr>
        <w:spacing w:line="560" w:lineRule="exact"/>
        <w:ind w:firstLine="640" w:firstLineChars="200"/>
        <w:rPr>
          <w:rFonts w:hint="eastAsia" w:ascii="仿宋" w:hAnsi="仿宋" w:eastAsia="仿宋"/>
          <w:sz w:val="32"/>
          <w:szCs w:val="32"/>
        </w:rPr>
      </w:pPr>
      <w:r>
        <w:rPr>
          <w:rFonts w:hint="eastAsia" w:ascii="仿宋_GB2312" w:hAnsi="仿宋" w:eastAsia="仿宋_GB2312"/>
          <w:sz w:val="32"/>
          <w:szCs w:val="32"/>
        </w:rPr>
        <w:t>18.</w:t>
      </w:r>
      <w:r>
        <w:rPr>
          <w:rFonts w:hint="eastAsia" w:ascii="仿宋" w:hAnsi="仿宋" w:eastAsia="仿宋"/>
          <w:sz w:val="32"/>
          <w:szCs w:val="32"/>
        </w:rPr>
        <w:t>由民政科实施的地区民政事务项目截至2018年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日实际支出金额93</w:t>
      </w:r>
      <w:r>
        <w:rPr>
          <w:rFonts w:ascii="仿宋" w:hAnsi="仿宋" w:eastAsia="仿宋"/>
          <w:sz w:val="32"/>
          <w:szCs w:val="32"/>
        </w:rPr>
        <w:t>.</w:t>
      </w:r>
      <w:r>
        <w:rPr>
          <w:rFonts w:hint="eastAsia" w:ascii="仿宋" w:hAnsi="仿宋" w:eastAsia="仿宋"/>
          <w:sz w:val="32"/>
          <w:szCs w:val="32"/>
        </w:rPr>
        <w:t>01万元，预算调整后金额93.05万元，预算执行率</w:t>
      </w:r>
      <w:r>
        <w:rPr>
          <w:rFonts w:ascii="仿宋" w:hAnsi="仿宋" w:eastAsia="仿宋"/>
          <w:sz w:val="32"/>
          <w:szCs w:val="32"/>
        </w:rPr>
        <w:t>99.9</w:t>
      </w:r>
      <w:r>
        <w:rPr>
          <w:rFonts w:hint="eastAsia" w:ascii="仿宋" w:hAnsi="仿宋" w:eastAsia="仿宋"/>
          <w:sz w:val="32"/>
          <w:szCs w:val="32"/>
        </w:rPr>
        <w:t>6%。</w:t>
      </w:r>
    </w:p>
    <w:p w14:paraId="6EEB00D6">
      <w:pPr>
        <w:spacing w:line="560" w:lineRule="exact"/>
        <w:ind w:firstLine="640" w:firstLineChars="200"/>
        <w:rPr>
          <w:rFonts w:ascii="仿宋" w:hAnsi="仿宋" w:eastAsia="仿宋"/>
          <w:sz w:val="32"/>
          <w:szCs w:val="32"/>
        </w:rPr>
      </w:pPr>
      <w:r>
        <w:rPr>
          <w:rFonts w:hint="eastAsia" w:ascii="仿宋" w:hAnsi="仿宋" w:eastAsia="仿宋"/>
          <w:sz w:val="32"/>
          <w:szCs w:val="32"/>
        </w:rPr>
        <w:t>该项目按照国家民政部和市、区民政局的统一部署和要求，对地区民政事务开展统筹管理和服务工作。包括孤儿安置救助、防灾减灾建设、联合募捐、慈善救助、殡葬宣传、民族宗教及地退、军退人员走访慰问等工作。</w:t>
      </w:r>
    </w:p>
    <w:p w14:paraId="26C2BD1C">
      <w:pPr>
        <w:spacing w:line="560" w:lineRule="exact"/>
        <w:ind w:firstLine="600" w:firstLineChars="200"/>
        <w:rPr>
          <w:rFonts w:ascii="仿宋" w:hAnsi="仿宋" w:eastAsia="仿宋"/>
          <w:sz w:val="32"/>
          <w:szCs w:val="32"/>
        </w:rPr>
      </w:pPr>
      <w:r>
        <w:rPr>
          <w:rFonts w:hint="eastAsia" w:ascii="仿宋" w:hAnsi="仿宋" w:eastAsia="仿宋"/>
          <w:color w:val="000000"/>
          <w:sz w:val="30"/>
          <w:szCs w:val="30"/>
        </w:rPr>
        <w:t>项目调整情况及原因分析：</w:t>
      </w:r>
      <w:r>
        <w:rPr>
          <w:rFonts w:hint="eastAsia" w:ascii="仿宋" w:hAnsi="仿宋" w:eastAsia="仿宋"/>
          <w:sz w:val="32"/>
          <w:szCs w:val="32"/>
        </w:rPr>
        <w:t>本项目年初预算136</w:t>
      </w:r>
      <w:r>
        <w:rPr>
          <w:rFonts w:ascii="仿宋" w:hAnsi="仿宋" w:eastAsia="仿宋"/>
          <w:sz w:val="32"/>
          <w:szCs w:val="32"/>
        </w:rPr>
        <w:t>.</w:t>
      </w:r>
      <w:r>
        <w:rPr>
          <w:rFonts w:hint="eastAsia" w:ascii="仿宋" w:hAnsi="仿宋" w:eastAsia="仿宋"/>
          <w:sz w:val="32"/>
          <w:szCs w:val="32"/>
        </w:rPr>
        <w:t xml:space="preserve">38万元，由于爱心超市关闭，市财政拨专款用于军退、地退人员经费补贴，故调减预算金额为74.97万元，另外爱心超市关闭后，区里通知要求相关补贴以货币形式打入卡中，故调增金额为31.64万元，调整后预算为93.05万元。 </w:t>
      </w:r>
    </w:p>
    <w:p w14:paraId="59C7540B">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rPr>
        <w:t>截止2</w:t>
      </w:r>
      <w:r>
        <w:rPr>
          <w:rFonts w:ascii="仿宋" w:hAnsi="仿宋" w:eastAsia="仿宋"/>
          <w:sz w:val="32"/>
          <w:szCs w:val="32"/>
        </w:rPr>
        <w:t>01</w:t>
      </w:r>
      <w:r>
        <w:rPr>
          <w:rFonts w:hint="eastAsia" w:ascii="仿宋" w:hAnsi="仿宋" w:eastAsia="仿宋"/>
          <w:sz w:val="32"/>
          <w:szCs w:val="32"/>
        </w:rPr>
        <w:t>8年1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日完成：孤儿安置救助4人，共28人次、防灾减灾自救互救培训3次、联合募捐2次、慈善救助政策培训12次、殡葬宣传27场、伊斯兰教重大节日慰问清真寺5次、地退人员走访慰问125人、军退人员走访慰问283人。</w:t>
      </w:r>
    </w:p>
    <w:p w14:paraId="25761414">
      <w:pPr>
        <w:spacing w:line="560" w:lineRule="exact"/>
        <w:ind w:firstLine="640" w:firstLineChars="200"/>
        <w:rPr>
          <w:rFonts w:hint="eastAsia" w:ascii="仿宋_GB2312" w:hAnsi="仿宋" w:eastAsia="仿宋_GB2312"/>
          <w:sz w:val="32"/>
          <w:szCs w:val="32"/>
        </w:rPr>
      </w:pPr>
      <w:r>
        <w:rPr>
          <w:rFonts w:hint="eastAsia" w:ascii="仿宋" w:hAnsi="仿宋" w:eastAsia="仿宋"/>
          <w:sz w:val="32"/>
          <w:szCs w:val="32"/>
        </w:rPr>
        <w:t>项目绩效目标申报表中产出数量指标不够明确，对跟踪项目整体完成情况造成一定影响。项目实施过程中涉及调增调减，预算编制的科学性与准确性有待进一步加强。</w:t>
      </w:r>
    </w:p>
    <w:p w14:paraId="72E8C104">
      <w:pPr>
        <w:spacing w:line="560" w:lineRule="exact"/>
        <w:ind w:firstLine="640" w:firstLineChars="200"/>
        <w:rPr>
          <w:rFonts w:hint="eastAsia" w:ascii="仿宋" w:hAnsi="仿宋" w:eastAsia="仿宋"/>
          <w:sz w:val="32"/>
          <w:szCs w:val="32"/>
        </w:rPr>
      </w:pPr>
      <w:r>
        <w:rPr>
          <w:rFonts w:hint="eastAsia" w:ascii="仿宋_GB2312" w:hAnsi="仿宋" w:eastAsia="仿宋_GB2312"/>
          <w:sz w:val="32"/>
          <w:szCs w:val="32"/>
        </w:rPr>
        <w:t>19.</w:t>
      </w:r>
      <w:r>
        <w:rPr>
          <w:rFonts w:hint="eastAsia" w:ascii="仿宋" w:hAnsi="仿宋" w:eastAsia="仿宋"/>
          <w:sz w:val="32"/>
          <w:szCs w:val="32"/>
        </w:rPr>
        <w:t>由民政科实施的在乡及伤残人员全年经费项目截至2018年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日实际支出金额238</w:t>
      </w:r>
      <w:r>
        <w:rPr>
          <w:rFonts w:ascii="仿宋" w:hAnsi="仿宋" w:eastAsia="仿宋"/>
          <w:sz w:val="32"/>
          <w:szCs w:val="32"/>
        </w:rPr>
        <w:t>.</w:t>
      </w:r>
      <w:r>
        <w:rPr>
          <w:rFonts w:hint="eastAsia" w:ascii="仿宋" w:hAnsi="仿宋" w:eastAsia="仿宋"/>
          <w:sz w:val="32"/>
          <w:szCs w:val="32"/>
        </w:rPr>
        <w:t>10万元，预算调整后金额240万元，预算执行率</w:t>
      </w:r>
      <w:r>
        <w:rPr>
          <w:rFonts w:ascii="仿宋" w:hAnsi="仿宋" w:eastAsia="仿宋"/>
          <w:sz w:val="32"/>
          <w:szCs w:val="32"/>
        </w:rPr>
        <w:t>9</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21%。</w:t>
      </w:r>
    </w:p>
    <w:p w14:paraId="2DF4B5AA">
      <w:pPr>
        <w:spacing w:line="560" w:lineRule="exact"/>
        <w:ind w:firstLine="640" w:firstLineChars="200"/>
        <w:rPr>
          <w:rFonts w:ascii="仿宋" w:hAnsi="仿宋" w:eastAsia="仿宋"/>
          <w:sz w:val="32"/>
          <w:szCs w:val="32"/>
        </w:rPr>
      </w:pPr>
      <w:bookmarkStart w:id="19" w:name="_Hlk503346239"/>
      <w:r>
        <w:rPr>
          <w:rFonts w:hint="eastAsia" w:ascii="仿宋" w:hAnsi="仿宋" w:eastAsia="仿宋"/>
          <w:sz w:val="32"/>
          <w:szCs w:val="32"/>
        </w:rPr>
        <w:t>该项目</w:t>
      </w:r>
      <w:bookmarkEnd w:id="19"/>
      <w:r>
        <w:rPr>
          <w:rFonts w:hint="eastAsia" w:ascii="仿宋" w:hAnsi="仿宋" w:eastAsia="仿宋"/>
          <w:sz w:val="32"/>
          <w:szCs w:val="32"/>
        </w:rPr>
        <w:t>是按照区民政局和财政局的统一部署，对在乡及伤残军人进行抚恤补助，保证地区登记在册的</w:t>
      </w:r>
      <w:bookmarkStart w:id="20" w:name="_Hlk503346291"/>
      <w:r>
        <w:rPr>
          <w:rFonts w:hint="eastAsia" w:ascii="仿宋" w:hAnsi="仿宋" w:eastAsia="仿宋"/>
          <w:sz w:val="32"/>
          <w:szCs w:val="32"/>
        </w:rPr>
        <w:t>伤残军人、伤残人民警察和伤残国家机关工作人员</w:t>
      </w:r>
      <w:bookmarkEnd w:id="20"/>
      <w:r>
        <w:rPr>
          <w:rFonts w:hint="eastAsia" w:ascii="仿宋" w:hAnsi="仿宋" w:eastAsia="仿宋"/>
          <w:sz w:val="32"/>
          <w:szCs w:val="32"/>
        </w:rPr>
        <w:t>按时、足额领取到伤残抚恤补助金；保证地区登记在册的、享受定期抚恤补助参战参试人员按时、足额领取到抚恤补助金；保证地区登记在册的、去世的伤残军人及时、足额领取到丧葬补助。</w:t>
      </w:r>
    </w:p>
    <w:p w14:paraId="2FB6FC1A">
      <w:pPr>
        <w:spacing w:line="560" w:lineRule="exact"/>
        <w:ind w:firstLine="600" w:firstLineChars="200"/>
        <w:rPr>
          <w:rFonts w:ascii="仿宋" w:hAnsi="仿宋" w:eastAsia="仿宋"/>
          <w:sz w:val="32"/>
          <w:szCs w:val="32"/>
        </w:rPr>
      </w:pPr>
      <w:r>
        <w:rPr>
          <w:rFonts w:hint="eastAsia" w:ascii="仿宋" w:hAnsi="仿宋" w:eastAsia="仿宋"/>
          <w:color w:val="000000"/>
          <w:sz w:val="30"/>
          <w:szCs w:val="30"/>
        </w:rPr>
        <w:t>项目调整情况及原因分析：</w:t>
      </w:r>
      <w:r>
        <w:rPr>
          <w:rFonts w:hint="eastAsia" w:ascii="仿宋" w:hAnsi="仿宋" w:eastAsia="仿宋"/>
          <w:sz w:val="32"/>
          <w:szCs w:val="32"/>
        </w:rPr>
        <w:t>本项目年初预算29</w:t>
      </w:r>
      <w:r>
        <w:rPr>
          <w:rFonts w:ascii="仿宋" w:hAnsi="仿宋" w:eastAsia="仿宋"/>
          <w:sz w:val="32"/>
          <w:szCs w:val="32"/>
        </w:rPr>
        <w:t>0</w:t>
      </w:r>
      <w:r>
        <w:rPr>
          <w:rFonts w:hint="eastAsia" w:ascii="仿宋" w:hAnsi="仿宋" w:eastAsia="仿宋"/>
          <w:sz w:val="32"/>
          <w:szCs w:val="32"/>
        </w:rPr>
        <w:t>万元，由于市区拨付了2</w:t>
      </w:r>
      <w:r>
        <w:rPr>
          <w:rFonts w:ascii="仿宋" w:hAnsi="仿宋" w:eastAsia="仿宋"/>
          <w:sz w:val="32"/>
          <w:szCs w:val="32"/>
        </w:rPr>
        <w:t>01</w:t>
      </w:r>
      <w:r>
        <w:rPr>
          <w:rFonts w:hint="eastAsia" w:ascii="仿宋" w:hAnsi="仿宋" w:eastAsia="仿宋"/>
          <w:sz w:val="32"/>
          <w:szCs w:val="32"/>
        </w:rPr>
        <w:t xml:space="preserve">8年中央优抚对象补助经费，跟本项目实施内容有所重合，导致预算调减50万元，预算调整后为240万元。 </w:t>
      </w:r>
    </w:p>
    <w:p w14:paraId="2824D1F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截止2</w:t>
      </w:r>
      <w:r>
        <w:rPr>
          <w:rFonts w:ascii="仿宋" w:hAnsi="仿宋" w:eastAsia="仿宋"/>
          <w:sz w:val="32"/>
          <w:szCs w:val="32"/>
        </w:rPr>
        <w:t>01</w:t>
      </w:r>
      <w:r>
        <w:rPr>
          <w:rFonts w:hint="eastAsia" w:ascii="仿宋" w:hAnsi="仿宋" w:eastAsia="仿宋"/>
          <w:sz w:val="32"/>
          <w:szCs w:val="32"/>
        </w:rPr>
        <w:t>8年1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日完成：已完成对138人的伤残优抚对象抚恤金发放，参战参试人员生活补助4人，伤残军人发放丧葬补助和逝世抚恤金2人。</w:t>
      </w:r>
    </w:p>
    <w:p w14:paraId="2417C1F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本项目因市区拨付了专项资金导致预算调整金额较大，根据调整后的实施内容，已完成年度内相关工作。</w:t>
      </w:r>
    </w:p>
    <w:p w14:paraId="784DB7B5">
      <w:pPr>
        <w:spacing w:line="560" w:lineRule="exact"/>
        <w:ind w:firstLine="640" w:firstLineChars="200"/>
        <w:rPr>
          <w:rFonts w:hint="eastAsia" w:ascii="仿宋" w:hAnsi="仿宋" w:eastAsia="仿宋"/>
          <w:sz w:val="32"/>
          <w:szCs w:val="32"/>
        </w:rPr>
      </w:pPr>
      <w:r>
        <w:rPr>
          <w:rFonts w:hint="eastAsia" w:ascii="仿宋_GB2312" w:hAnsi="仿宋" w:eastAsia="仿宋_GB2312"/>
          <w:sz w:val="32"/>
          <w:szCs w:val="32"/>
        </w:rPr>
        <w:t>20.</w:t>
      </w:r>
      <w:r>
        <w:rPr>
          <w:rFonts w:hint="eastAsia" w:ascii="仿宋" w:hAnsi="仿宋" w:eastAsia="仿宋"/>
          <w:sz w:val="32"/>
          <w:szCs w:val="32"/>
        </w:rPr>
        <w:t>由民政科实施的残疾人两项补贴项目截至2018年</w:t>
      </w:r>
      <w:r>
        <w:rPr>
          <w:rFonts w:ascii="仿宋" w:hAnsi="仿宋" w:eastAsia="仿宋"/>
          <w:sz w:val="32"/>
          <w:szCs w:val="32"/>
        </w:rPr>
        <w:t>12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日实际支出金额368</w:t>
      </w:r>
      <w:r>
        <w:rPr>
          <w:rFonts w:ascii="仿宋" w:hAnsi="仿宋" w:eastAsia="仿宋"/>
          <w:sz w:val="32"/>
          <w:szCs w:val="32"/>
        </w:rPr>
        <w:t>.</w:t>
      </w:r>
      <w:r>
        <w:rPr>
          <w:rFonts w:hint="eastAsia" w:ascii="仿宋" w:hAnsi="仿宋" w:eastAsia="仿宋"/>
          <w:sz w:val="32"/>
          <w:szCs w:val="32"/>
        </w:rPr>
        <w:t>81万元，预算调整后金额375万元，预算执行率</w:t>
      </w:r>
      <w:r>
        <w:rPr>
          <w:rFonts w:ascii="仿宋" w:hAnsi="仿宋" w:eastAsia="仿宋"/>
          <w:sz w:val="32"/>
          <w:szCs w:val="32"/>
        </w:rPr>
        <w:t>9</w:t>
      </w: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35%。</w:t>
      </w:r>
    </w:p>
    <w:p w14:paraId="534A4E11">
      <w:pPr>
        <w:spacing w:line="560" w:lineRule="exact"/>
        <w:ind w:firstLine="640" w:firstLineChars="200"/>
        <w:rPr>
          <w:rFonts w:hint="eastAsia" w:ascii="仿宋_GB2312" w:hAnsi="仿宋" w:eastAsia="仿宋_GB2312"/>
          <w:sz w:val="32"/>
          <w:szCs w:val="32"/>
        </w:rPr>
      </w:pPr>
      <w:r>
        <w:rPr>
          <w:rFonts w:hint="eastAsia" w:ascii="仿宋" w:hAnsi="仿宋" w:eastAsia="仿宋"/>
          <w:sz w:val="32"/>
          <w:szCs w:val="32"/>
        </w:rPr>
        <w:t>该项目是</w:t>
      </w:r>
      <w:r>
        <w:rPr>
          <w:rFonts w:hint="eastAsia" w:ascii="仿宋_GB2312" w:hAnsi="仿宋" w:eastAsia="仿宋_GB2312"/>
          <w:sz w:val="32"/>
          <w:szCs w:val="32"/>
        </w:rPr>
        <w:t>按照国家民政部和市、区民政局的统一部署和要求，对地区内符合条件的残疾人,按照伤残等级和具体情况的不同,发放生活补贴和护理补贴。</w:t>
      </w:r>
    </w:p>
    <w:p w14:paraId="45627451">
      <w:pPr>
        <w:spacing w:line="560" w:lineRule="exact"/>
        <w:ind w:firstLine="600" w:firstLineChars="200"/>
        <w:rPr>
          <w:rFonts w:ascii="仿宋" w:hAnsi="仿宋" w:eastAsia="仿宋"/>
          <w:sz w:val="32"/>
          <w:szCs w:val="32"/>
        </w:rPr>
      </w:pPr>
      <w:r>
        <w:rPr>
          <w:rFonts w:hint="eastAsia" w:ascii="仿宋" w:hAnsi="仿宋" w:eastAsia="仿宋"/>
          <w:color w:val="000000"/>
          <w:sz w:val="30"/>
          <w:szCs w:val="30"/>
        </w:rPr>
        <w:t>项目调整情况及原因分析：</w:t>
      </w:r>
      <w:r>
        <w:rPr>
          <w:rFonts w:hint="eastAsia" w:ascii="仿宋" w:hAnsi="仿宋" w:eastAsia="仿宋"/>
          <w:sz w:val="32"/>
          <w:szCs w:val="32"/>
        </w:rPr>
        <w:t>本项目年初预算400万元，由于民政科</w:t>
      </w:r>
      <w:r>
        <w:rPr>
          <w:rFonts w:hint="eastAsia" w:ascii="仿宋_GB2312" w:hAnsi="仿宋" w:eastAsia="仿宋_GB2312"/>
          <w:sz w:val="32"/>
          <w:szCs w:val="32"/>
        </w:rPr>
        <w:t>预留标准上调空间</w:t>
      </w:r>
      <w:r>
        <w:rPr>
          <w:rFonts w:hint="eastAsia" w:ascii="仿宋" w:hAnsi="仿宋" w:eastAsia="仿宋"/>
          <w:sz w:val="32"/>
          <w:szCs w:val="32"/>
        </w:rPr>
        <w:t xml:space="preserve">，年初预算设置多于实际需要，导致预算调减25万元，预算调整后为375万元。 </w:t>
      </w:r>
    </w:p>
    <w:p w14:paraId="6D71B991">
      <w:pPr>
        <w:spacing w:line="560" w:lineRule="exact"/>
        <w:ind w:firstLine="640" w:firstLineChars="200"/>
        <w:jc w:val="left"/>
        <w:rPr>
          <w:rFonts w:hint="eastAsia" w:ascii="仿宋_GB2312" w:eastAsia="仿宋_GB2312"/>
          <w:sz w:val="32"/>
          <w:szCs w:val="32"/>
        </w:rPr>
      </w:pPr>
      <w:r>
        <w:rPr>
          <w:rFonts w:hint="eastAsia" w:ascii="仿宋" w:hAnsi="仿宋" w:eastAsia="仿宋"/>
          <w:sz w:val="32"/>
          <w:szCs w:val="32"/>
        </w:rPr>
        <w:t>截止2</w:t>
      </w:r>
      <w:r>
        <w:rPr>
          <w:rFonts w:ascii="仿宋" w:hAnsi="仿宋" w:eastAsia="仿宋"/>
          <w:sz w:val="32"/>
          <w:szCs w:val="32"/>
        </w:rPr>
        <w:t>01</w:t>
      </w:r>
      <w:r>
        <w:rPr>
          <w:rFonts w:hint="eastAsia" w:ascii="仿宋" w:hAnsi="仿宋" w:eastAsia="仿宋"/>
          <w:sz w:val="32"/>
          <w:szCs w:val="32"/>
        </w:rPr>
        <w:t>8年1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w:t>
      </w:r>
      <w:r>
        <w:rPr>
          <w:rFonts w:hint="eastAsia" w:ascii="仿宋_GB2312" w:eastAsia="仿宋_GB2312"/>
          <w:sz w:val="32"/>
          <w:szCs w:val="32"/>
        </w:rPr>
        <w:t>残疾人两项补贴都已按时发放到位。按照监察科和主体责任办公室的要求，进行严格的质量和进度跟踪，推动整体工作进展。</w:t>
      </w:r>
    </w:p>
    <w:p w14:paraId="4018C55A">
      <w:pPr>
        <w:spacing w:line="560" w:lineRule="exact"/>
        <w:ind w:firstLine="640" w:firstLineChars="200"/>
        <w:rPr>
          <w:rFonts w:hint="eastAsia" w:ascii="仿宋_GB2312" w:hAnsi="仿宋" w:eastAsia="仿宋_GB2312"/>
          <w:sz w:val="32"/>
          <w:szCs w:val="32"/>
        </w:rPr>
      </w:pPr>
      <w:r>
        <w:rPr>
          <w:rFonts w:hint="eastAsia" w:ascii="仿宋" w:hAnsi="仿宋" w:eastAsia="仿宋"/>
          <w:sz w:val="32"/>
          <w:szCs w:val="32"/>
        </w:rPr>
        <w:t>本项目已按计划实施完成，项目整体完成情况良好。</w:t>
      </w:r>
    </w:p>
    <w:p w14:paraId="21DFECF8">
      <w:pPr>
        <w:spacing w:line="560" w:lineRule="exact"/>
        <w:ind w:firstLine="640" w:firstLineChars="200"/>
        <w:rPr>
          <w:rFonts w:hint="eastAsia" w:ascii="仿宋" w:hAnsi="仿宋" w:eastAsia="仿宋"/>
          <w:sz w:val="32"/>
          <w:szCs w:val="32"/>
        </w:rPr>
      </w:pPr>
      <w:r>
        <w:rPr>
          <w:rFonts w:hint="eastAsia" w:ascii="仿宋_GB2312" w:hAnsi="仿宋" w:eastAsia="仿宋_GB2312"/>
          <w:sz w:val="32"/>
          <w:szCs w:val="32"/>
        </w:rPr>
        <w:t>21.</w:t>
      </w:r>
      <w:r>
        <w:rPr>
          <w:rFonts w:hint="eastAsia" w:ascii="仿宋" w:hAnsi="仿宋" w:eastAsia="仿宋"/>
          <w:sz w:val="32"/>
          <w:szCs w:val="32"/>
        </w:rPr>
        <w:t>由社会办实施的社区公益事业专项补助资金项目截至2018年12月31日实际支出金额为203.87万元，预算调整后金额为209</w:t>
      </w:r>
      <w:r>
        <w:rPr>
          <w:rFonts w:ascii="仿宋" w:hAnsi="仿宋" w:eastAsia="仿宋"/>
          <w:sz w:val="32"/>
          <w:szCs w:val="32"/>
        </w:rPr>
        <w:t>.5</w:t>
      </w:r>
      <w:r>
        <w:rPr>
          <w:rFonts w:hint="eastAsia" w:ascii="仿宋" w:hAnsi="仿宋" w:eastAsia="仿宋"/>
          <w:sz w:val="32"/>
          <w:szCs w:val="32"/>
        </w:rPr>
        <w:t>9万元，预算执行率97.27%。</w:t>
      </w:r>
    </w:p>
    <w:p w14:paraId="15E183D2">
      <w:pPr>
        <w:spacing w:line="560" w:lineRule="exact"/>
        <w:ind w:firstLine="640" w:firstLineChars="200"/>
        <w:rPr>
          <w:rFonts w:ascii="仿宋" w:hAnsi="仿宋" w:eastAsia="仿宋"/>
          <w:sz w:val="32"/>
          <w:szCs w:val="32"/>
        </w:rPr>
      </w:pPr>
      <w:r>
        <w:rPr>
          <w:rFonts w:hint="eastAsia" w:ascii="仿宋" w:hAnsi="仿宋" w:eastAsia="仿宋"/>
          <w:sz w:val="32"/>
          <w:szCs w:val="32"/>
        </w:rPr>
        <w:t>本项目依据《西城区社区公益事业专项补助资金使用管理办法》（西民发〔2008〕33号）文件，根据地区经济发展规划，按照以人为本、关注民生、构建和谐、服务居民以及集中财力办大事的原则合理使用资金。社区公益事业专项补助资金补助标准：按照社区规模大小，2000户以下的社区每年补助8万元，超过2000户的社区每增加1户增加补助40元 。社区公益事业专项补助资金主要用于购买服务项目，培育发展社区民间组织，以及开展社区文体、社区教育、社区治安、社区精神文明建设等公益事业活动所需要的活动场地、活动器械、活动宣传、活动奖品、活动劳务等费用。</w:t>
      </w:r>
    </w:p>
    <w:p w14:paraId="11C67CFC">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截至2018年12月31日，该项目已完成：1.社区文体协会项目，</w:t>
      </w:r>
      <w:r>
        <w:rPr>
          <w:rFonts w:hint="eastAsia" w:ascii="仿宋_GB2312" w:hAnsi="仿宋" w:eastAsia="仿宋_GB2312"/>
          <w:sz w:val="32"/>
          <w:szCs w:val="32"/>
        </w:rPr>
        <w:t>主要内容是：组织社区居民春节联欢活动（购日用品，活动用品,食品、布置会场所需用品）；社区太极、合唱队、舞蹈健身操队参加比赛及文体协会汇报演出，购演出服、头饰、日用品、食品及请老师费用和场地费用；组织开展社区夏日文化广场、月坛文体擂台赛活动等；2.</w:t>
      </w:r>
      <w:r>
        <w:rPr>
          <w:rFonts w:hint="eastAsia" w:ascii="仿宋" w:hAnsi="仿宋" w:eastAsia="仿宋"/>
          <w:sz w:val="32"/>
          <w:szCs w:val="32"/>
        </w:rPr>
        <w:t>楼门院长队伍建设项目，</w:t>
      </w:r>
      <w:r>
        <w:rPr>
          <w:rFonts w:hint="eastAsia" w:ascii="仿宋_GB2312" w:hAnsi="仿宋" w:eastAsia="仿宋_GB2312"/>
          <w:sz w:val="32"/>
          <w:szCs w:val="32"/>
        </w:rPr>
        <w:t>主要内容是：组织楼门院长半年表彰会，场地费，购买横幅，日用品；3.</w:t>
      </w:r>
      <w:r>
        <w:rPr>
          <w:rFonts w:hint="eastAsia" w:ascii="仿宋" w:hAnsi="仿宋" w:eastAsia="仿宋"/>
          <w:sz w:val="32"/>
          <w:szCs w:val="32"/>
        </w:rPr>
        <w:t>资源共享共驻共建项目，</w:t>
      </w:r>
      <w:r>
        <w:rPr>
          <w:rFonts w:hint="eastAsia" w:ascii="仿宋_GB2312" w:hAnsi="仿宋" w:eastAsia="仿宋_GB2312"/>
          <w:sz w:val="32"/>
          <w:szCs w:val="32"/>
        </w:rPr>
        <w:t>主要内容是：共驻共建座谈、协调、走访，与共建单位共同讨论社区面临的问题及协商对策，整治社区环境卫生购食品和日用品等；4.</w:t>
      </w:r>
      <w:r>
        <w:rPr>
          <w:rFonts w:hint="eastAsia" w:ascii="仿宋" w:hAnsi="仿宋" w:eastAsia="仿宋"/>
          <w:sz w:val="32"/>
          <w:szCs w:val="32"/>
        </w:rPr>
        <w:t>青少年协会项目，</w:t>
      </w:r>
      <w:r>
        <w:rPr>
          <w:rFonts w:hint="eastAsia" w:ascii="仿宋_GB2312" w:hAnsi="仿宋" w:eastAsia="仿宋_GB2312"/>
          <w:sz w:val="32"/>
          <w:szCs w:val="32"/>
        </w:rPr>
        <w:t>主要内容是：组织社区青少年暑假、寒假、春节等节假日集中活动购买学习用品、日用品等；5.</w:t>
      </w:r>
      <w:r>
        <w:rPr>
          <w:rFonts w:hint="eastAsia" w:ascii="仿宋" w:hAnsi="仿宋" w:eastAsia="仿宋"/>
          <w:sz w:val="32"/>
          <w:szCs w:val="32"/>
        </w:rPr>
        <w:t>志愿者协会项目，</w:t>
      </w:r>
      <w:r>
        <w:rPr>
          <w:rFonts w:hint="eastAsia" w:ascii="仿宋_GB2312" w:hAnsi="仿宋" w:eastAsia="仿宋_GB2312"/>
          <w:sz w:val="32"/>
          <w:szCs w:val="32"/>
        </w:rPr>
        <w:t>主要内容是：节假日及敏感日社区安保志愿者值班、组织志愿者清扫社区环境卫生、学雷锋日开展志愿者活动等购买购食品、日用品、清洁用品、清洁工具等；6.</w:t>
      </w:r>
      <w:r>
        <w:rPr>
          <w:rFonts w:hint="eastAsia" w:ascii="仿宋" w:hAnsi="仿宋" w:eastAsia="仿宋"/>
          <w:sz w:val="32"/>
          <w:szCs w:val="32"/>
        </w:rPr>
        <w:t>爱犬自律协会项目，</w:t>
      </w:r>
      <w:r>
        <w:rPr>
          <w:rFonts w:hint="eastAsia" w:ascii="仿宋_GB2312" w:hAnsi="仿宋" w:eastAsia="仿宋_GB2312"/>
          <w:sz w:val="32"/>
          <w:szCs w:val="32"/>
        </w:rPr>
        <w:t>主要内容是：制作宣传横幅、展板，开展爱犬活动交流经验座谈会，评比文明养犬户，购买宣传品和横幅及养犬用品等；7.</w:t>
      </w:r>
      <w:r>
        <w:rPr>
          <w:rFonts w:hint="eastAsia" w:ascii="仿宋" w:hAnsi="仿宋" w:eastAsia="仿宋"/>
          <w:sz w:val="32"/>
          <w:szCs w:val="32"/>
        </w:rPr>
        <w:t>为老服务项目，</w:t>
      </w:r>
      <w:r>
        <w:rPr>
          <w:rFonts w:hint="eastAsia" w:ascii="仿宋_GB2312" w:hAnsi="仿宋" w:eastAsia="仿宋_GB2312"/>
          <w:sz w:val="32"/>
          <w:szCs w:val="32"/>
        </w:rPr>
        <w:t>主要内容是：组织开展社区夕阳茶座活动、端午等节日走访慰问社区高龄老人等活动，提升社区精准服务，减少空巢老人的孤独感；8.</w:t>
      </w:r>
      <w:r>
        <w:rPr>
          <w:rFonts w:hint="eastAsia" w:ascii="仿宋" w:hAnsi="仿宋" w:eastAsia="仿宋"/>
          <w:sz w:val="32"/>
          <w:szCs w:val="32"/>
        </w:rPr>
        <w:t>社区民主自治活动项目，</w:t>
      </w:r>
      <w:r>
        <w:rPr>
          <w:rFonts w:hint="eastAsia" w:ascii="仿宋_GB2312" w:hAnsi="仿宋" w:eastAsia="仿宋_GB2312"/>
          <w:sz w:val="32"/>
          <w:szCs w:val="32"/>
        </w:rPr>
        <w:t>主要内容组织召开居民代表座谈会、培训会、工作总结会以及开展社区协商购买食品及日用品等；9.其他项目，主要内容是计划生育协会项目、拥军</w:t>
      </w:r>
      <w:r>
        <w:rPr>
          <w:rFonts w:hint="eastAsia" w:ascii="仿宋_GB2312" w:hAnsi="仿宋" w:eastAsia="仿宋_GB2312"/>
          <w:sz w:val="32"/>
          <w:szCs w:val="32"/>
          <w:lang w:eastAsia="zh-CN"/>
        </w:rPr>
        <w:t>优</w:t>
      </w:r>
      <w:r>
        <w:rPr>
          <w:rFonts w:hint="eastAsia" w:ascii="仿宋_GB2312" w:hAnsi="仿宋" w:eastAsia="仿宋_GB2312"/>
          <w:sz w:val="32"/>
          <w:szCs w:val="32"/>
        </w:rPr>
        <w:t>属、流动人口座谈会等购日用品、文具、器材等</w:t>
      </w:r>
      <w:r>
        <w:rPr>
          <w:rFonts w:hint="eastAsia" w:ascii="仿宋" w:hAnsi="仿宋" w:eastAsia="仿宋"/>
          <w:sz w:val="32"/>
          <w:szCs w:val="32"/>
        </w:rPr>
        <w:t>。</w:t>
      </w:r>
    </w:p>
    <w:p w14:paraId="50C3B13F">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通过项目实施，进一步提升社区自治建设，调动社区居民的积极性；丰富社区居民文化生活，提升社区幸福指数，促进社会的和谐稳定。</w:t>
      </w:r>
    </w:p>
    <w:p w14:paraId="07EAF919">
      <w:pPr>
        <w:spacing w:line="560" w:lineRule="exact"/>
        <w:ind w:firstLine="600" w:firstLineChars="200"/>
        <w:rPr>
          <w:rFonts w:hint="eastAsia" w:ascii="仿宋_GB2312" w:hAnsi="仿宋" w:eastAsia="仿宋_GB2312"/>
          <w:sz w:val="32"/>
          <w:szCs w:val="32"/>
        </w:rPr>
      </w:pPr>
      <w:r>
        <w:rPr>
          <w:rFonts w:hint="eastAsia" w:ascii="仿宋" w:hAnsi="仿宋" w:eastAsia="仿宋"/>
          <w:color w:val="000000"/>
          <w:sz w:val="30"/>
          <w:szCs w:val="30"/>
        </w:rPr>
        <w:t>项目调整情况及原因分析：</w:t>
      </w:r>
      <w:r>
        <w:rPr>
          <w:rFonts w:hint="eastAsia" w:ascii="仿宋_GB2312" w:hAnsi="仿宋" w:eastAsia="仿宋_GB2312"/>
          <w:sz w:val="32"/>
          <w:szCs w:val="32"/>
        </w:rPr>
        <w:t>本项目为全额财政拨款项目，项目立项时申报预算223.57万元，因2018年9月原三里河第一、三里河第二社区合并为三里河社区，社区个数减少，于2018年12月调减金额13.97万元，项目实际支出金额为</w:t>
      </w:r>
      <w:r>
        <w:rPr>
          <w:rFonts w:hint="eastAsia" w:ascii="仿宋_GB2312" w:eastAsia="仿宋_GB2312"/>
          <w:sz w:val="32"/>
          <w:szCs w:val="32"/>
        </w:rPr>
        <w:t>203.87万元。</w:t>
      </w:r>
    </w:p>
    <w:p w14:paraId="5213A545">
      <w:pPr>
        <w:spacing w:line="560" w:lineRule="exact"/>
        <w:ind w:firstLine="640" w:firstLineChars="200"/>
        <w:rPr>
          <w:rFonts w:hint="eastAsia" w:ascii="仿宋_GB2312" w:hAnsi="仿宋" w:eastAsia="仿宋_GB2312"/>
          <w:sz w:val="32"/>
          <w:szCs w:val="32"/>
        </w:rPr>
      </w:pPr>
      <w:r>
        <w:rPr>
          <w:rFonts w:hint="eastAsia" w:ascii="仿宋" w:hAnsi="仿宋" w:eastAsia="仿宋"/>
          <w:sz w:val="32"/>
          <w:szCs w:val="32"/>
        </w:rPr>
        <w:t>该项目因涉及内容繁杂，预算编制存在一定的不可控性，项目依据具体工作的开展情况支付资金，绩效目标未发生调整。</w:t>
      </w:r>
    </w:p>
    <w:p w14:paraId="1BD1C913">
      <w:pPr>
        <w:spacing w:line="560" w:lineRule="exact"/>
        <w:ind w:firstLine="640" w:firstLineChars="200"/>
        <w:rPr>
          <w:rFonts w:ascii="仿宋" w:hAnsi="仿宋" w:eastAsia="仿宋"/>
          <w:sz w:val="32"/>
          <w:szCs w:val="32"/>
        </w:rPr>
      </w:pPr>
      <w:r>
        <w:rPr>
          <w:rFonts w:hint="eastAsia" w:ascii="仿宋_GB2312" w:hAnsi="仿宋" w:eastAsia="仿宋_GB2312"/>
          <w:sz w:val="32"/>
          <w:szCs w:val="32"/>
        </w:rPr>
        <w:t>22.</w:t>
      </w:r>
      <w:r>
        <w:rPr>
          <w:rFonts w:hint="eastAsia" w:ascii="仿宋" w:hAnsi="仿宋" w:eastAsia="仿宋"/>
          <w:sz w:val="32"/>
          <w:szCs w:val="32"/>
        </w:rPr>
        <w:t>由文化科实施的社区教育经费项目截至2018年12月31日实际支出金额106.65万元，预算调整后金额为107万元，预算执行率99.68%。</w:t>
      </w:r>
    </w:p>
    <w:p w14:paraId="4535458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为延续性项目，按照“政府主导，社团组织运作、社区居民广泛参与”的运行方式，我街道制定了2018年社区教育工作计划，并将落实“十三五”规划与实施年度工作计划相结合，将科室常规工作与开展社区教育培训相结合，将创建学习型示范街道工作与打造社区教育品牌项目（活动）相结合，全力推进社区教育创新发展。项目</w:t>
      </w:r>
      <w:r>
        <w:rPr>
          <w:rFonts w:hint="eastAsia" w:ascii="仿宋_GB2312" w:hAnsi="新宋体" w:eastAsia="仿宋_GB2312"/>
          <w:sz w:val="32"/>
          <w:szCs w:val="32"/>
        </w:rPr>
        <w:t>包括社区教育、地区素质教育促进、月坛学区理事会建设、街道幼儿园建设</w:t>
      </w:r>
      <w:r>
        <w:rPr>
          <w:rFonts w:hint="eastAsia" w:ascii="仿宋" w:hAnsi="仿宋" w:eastAsia="仿宋"/>
          <w:sz w:val="32"/>
          <w:szCs w:val="32"/>
        </w:rPr>
        <w:t>几方面。</w:t>
      </w:r>
    </w:p>
    <w:p w14:paraId="6159CDD2">
      <w:pPr>
        <w:spacing w:line="560" w:lineRule="exact"/>
        <w:ind w:firstLine="640" w:firstLineChars="200"/>
        <w:rPr>
          <w:rFonts w:hint="eastAsia" w:ascii="仿宋_GB2312" w:hAnsi="宋体" w:eastAsia="仿宋_GB2312" w:cs="宋体-18030"/>
          <w:sz w:val="32"/>
          <w:szCs w:val="32"/>
        </w:rPr>
      </w:pPr>
      <w:r>
        <w:rPr>
          <w:rFonts w:hint="eastAsia" w:ascii="仿宋" w:hAnsi="仿宋" w:eastAsia="仿宋"/>
          <w:sz w:val="32"/>
          <w:szCs w:val="32"/>
        </w:rPr>
        <w:t>本项目工作具体为：1．做好西城区非京籍适龄儿童在京借读批准书审批工作，按照西城区审核办法向学生家长认真解读相关政策，做到耐心细致，无政策性失误。2018年审核通过53人；2．继续做好月坛—首博“社区文博学苑”按照四大板块的基本结构设置，制定全年工作计划并按照计划实施，面向社区居民开展各项活动；3．积极组织青少年寒假活动。与辖区内16所中小学密切联系、互相配合，共组织青少年活动300余场，评选了热心公益好少年、尊老孝亲好少年、诚信自律好少年、互助友爱好少年和节能</w:t>
      </w:r>
      <w:r>
        <w:rPr>
          <w:rFonts w:hint="eastAsia" w:ascii="仿宋" w:hAnsi="仿宋" w:eastAsia="仿宋" w:cs="宋体-18030"/>
          <w:sz w:val="32"/>
          <w:szCs w:val="32"/>
        </w:rPr>
        <w:t>环保好少年五个方面具有代表性的“社区好少年”；4．举办第七届月坛地区中小学幼儿园文艺汇演，地区11所中小学及3所幼儿园参加此次演出；5．做好支持地区素质教育工作，召开第一季度、第二季度、第三季度、第四季度月坛地区中小学德育工作例会，商讨全年地区中小学德育教育工作相关问题，配合疏解政治促提升工作改善校园周边环境；</w:t>
      </w:r>
      <w:r>
        <w:rPr>
          <w:rFonts w:hint="eastAsia" w:ascii="仿宋_GB2312" w:hAnsi="宋体" w:eastAsia="仿宋_GB2312" w:cs="宋体-18030"/>
          <w:sz w:val="32"/>
          <w:szCs w:val="32"/>
        </w:rPr>
        <w:t>6.成立月坛学区理事会。制定理事会章程等相关制度，2018年6月召开理事会成立大会，共有30家理事成员单位的代表参加了会议，并在会上发布了6个面向学区工作的教育项目。</w:t>
      </w:r>
    </w:p>
    <w:p w14:paraId="102ABC5E">
      <w:pPr>
        <w:spacing w:line="560" w:lineRule="exact"/>
        <w:ind w:firstLine="600" w:firstLineChars="200"/>
        <w:rPr>
          <w:rFonts w:hint="eastAsia" w:ascii="仿宋_GB2312" w:hAnsi="宋体" w:eastAsia="仿宋_GB2312" w:cs="宋体-18030"/>
          <w:sz w:val="32"/>
          <w:szCs w:val="32"/>
        </w:rPr>
      </w:pPr>
      <w:r>
        <w:rPr>
          <w:rFonts w:hint="eastAsia" w:ascii="仿宋" w:hAnsi="仿宋" w:eastAsia="仿宋"/>
          <w:color w:val="000000"/>
          <w:sz w:val="30"/>
          <w:szCs w:val="30"/>
        </w:rPr>
        <w:t>项目调整情况及原因分析：</w:t>
      </w:r>
      <w:r>
        <w:rPr>
          <w:rFonts w:hint="eastAsia" w:ascii="仿宋_GB2312" w:hAnsi="仿宋" w:eastAsia="仿宋_GB2312"/>
          <w:sz w:val="32"/>
          <w:szCs w:val="32"/>
        </w:rPr>
        <w:t>本项目为全额财政拨款项目，项目立项时申报预算112万元，因原计划给学校教师节慰问经费，在实际执行时额度降低，于2018年11月调减金额为5万元，项目实际支出金额为</w:t>
      </w:r>
      <w:r>
        <w:rPr>
          <w:rFonts w:hint="eastAsia" w:ascii="仿宋_GB2312" w:eastAsia="仿宋_GB2312"/>
          <w:sz w:val="32"/>
          <w:szCs w:val="32"/>
        </w:rPr>
        <w:t>106.65万元。</w:t>
      </w:r>
    </w:p>
    <w:p w14:paraId="2ED2040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项目资金依据具体工作的开展情况进行支付，实际执行与预算申报存在一定的偏差，尚属于可控范围。预算执行率99.68%，项目整体完成情况较好。</w:t>
      </w:r>
    </w:p>
    <w:p w14:paraId="05087871">
      <w:pPr>
        <w:spacing w:line="560" w:lineRule="exact"/>
        <w:ind w:firstLine="640" w:firstLineChars="200"/>
        <w:rPr>
          <w:rFonts w:hint="eastAsia" w:ascii="仿宋" w:hAnsi="仿宋" w:eastAsia="仿宋"/>
          <w:sz w:val="32"/>
          <w:szCs w:val="32"/>
        </w:rPr>
      </w:pPr>
      <w:r>
        <w:rPr>
          <w:rFonts w:hint="eastAsia" w:ascii="仿宋_GB2312" w:hAnsi="仿宋" w:eastAsia="仿宋_GB2312"/>
          <w:sz w:val="32"/>
          <w:szCs w:val="32"/>
        </w:rPr>
        <w:t>23.</w:t>
      </w:r>
      <w:r>
        <w:rPr>
          <w:rFonts w:hint="eastAsia" w:ascii="仿宋" w:hAnsi="仿宋" w:eastAsia="仿宋"/>
          <w:sz w:val="32"/>
          <w:szCs w:val="32"/>
        </w:rPr>
        <w:t>由综合治理办公室实施的平安创建工作经费项目截至2018年12月31日实际支出金额197.99万元，预算调整后金额207.24万元，预算执行率95.54%。</w:t>
      </w:r>
    </w:p>
    <w:p w14:paraId="47DB60C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本项目依据《西城区关于平安创建工作的意见》等多个市区文件， 全面推进“平安创建”工作，从根本上提升月坛地区的安全防范水平，通过各类平安创建活动提高地区的安全防范水平，建造平安月坛，为平安西城、平安北京打下基础。</w:t>
      </w:r>
    </w:p>
    <w:p w14:paraId="2E32E544">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项目主要内容为：1.开展社区禁毒宣传，参观学习示范街道、禁毒教育基地等；2.进行校园周边整治；3.反恐处突小分队勤务相关费用；4.加大宣传力度，做实综治中心的各项工作；5.建设小型消防站，做好社区居民C型锁具的换装工作等。</w:t>
      </w:r>
    </w:p>
    <w:p w14:paraId="16254C16">
      <w:pPr>
        <w:spacing w:line="560" w:lineRule="exact"/>
        <w:ind w:firstLine="600" w:firstLineChars="200"/>
        <w:rPr>
          <w:rFonts w:hint="eastAsia" w:ascii="华文仿宋" w:hAnsi="华文仿宋" w:eastAsia="华文仿宋"/>
          <w:sz w:val="32"/>
          <w:szCs w:val="32"/>
        </w:rPr>
      </w:pPr>
      <w:r>
        <w:rPr>
          <w:rFonts w:hint="eastAsia" w:ascii="仿宋" w:hAnsi="仿宋" w:eastAsia="仿宋"/>
          <w:color w:val="000000"/>
          <w:sz w:val="30"/>
          <w:szCs w:val="30"/>
        </w:rPr>
        <w:t>项目调整情况及原因分析：</w:t>
      </w:r>
      <w:r>
        <w:rPr>
          <w:rFonts w:hint="eastAsia" w:ascii="仿宋_GB2312" w:hAnsi="仿宋" w:eastAsia="仿宋_GB2312"/>
          <w:sz w:val="32"/>
          <w:szCs w:val="32"/>
        </w:rPr>
        <w:t>本项目为全额财政拨款项目，项目立项时申报预算291.18万元，因增加了垃圾挤压车清理楼道妨碍安全物品的工作，于2018年12月调增金额为13.26万元，另外年初计划租房给反恐处突小分队保安居住，由于未找到合适地方，于2018年11月调减金额为97.20万元，项目实际支出金额为</w:t>
      </w:r>
      <w:r>
        <w:rPr>
          <w:rFonts w:hint="eastAsia" w:ascii="仿宋_GB2312" w:eastAsia="仿宋_GB2312"/>
          <w:sz w:val="32"/>
          <w:szCs w:val="32"/>
        </w:rPr>
        <w:t>197.99万元。</w:t>
      </w:r>
    </w:p>
    <w:p w14:paraId="2D5DA7F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本项目预算调整比例偏高涉及调增与调减，反映项目前期调研不够深入，对可能影响项目实施的客观因素预估不足，预算编制的科学性与准确性有待进一步提高。</w:t>
      </w:r>
    </w:p>
    <w:p w14:paraId="6739B27D">
      <w:pPr>
        <w:spacing w:line="560" w:lineRule="exact"/>
        <w:ind w:firstLine="640" w:firstLineChars="200"/>
        <w:rPr>
          <w:rFonts w:hint="eastAsia" w:ascii="仿宋" w:hAnsi="仿宋" w:eastAsia="仿宋"/>
          <w:sz w:val="32"/>
          <w:szCs w:val="32"/>
        </w:rPr>
      </w:pPr>
      <w:r>
        <w:rPr>
          <w:rFonts w:hint="eastAsia" w:ascii="仿宋_GB2312" w:hAnsi="仿宋" w:eastAsia="仿宋_GB2312"/>
          <w:sz w:val="32"/>
          <w:szCs w:val="32"/>
        </w:rPr>
        <w:t>24.</w:t>
      </w:r>
      <w:r>
        <w:rPr>
          <w:rFonts w:hint="eastAsia" w:ascii="仿宋" w:hAnsi="仿宋" w:eastAsia="仿宋"/>
          <w:sz w:val="32"/>
          <w:szCs w:val="32"/>
        </w:rPr>
        <w:t>由组织部实施的社区基层党组织活动经费项目截至2018年12月31日实际支出金额191.31万元，预算金额212万元，预算执行率90.24%。</w:t>
      </w:r>
    </w:p>
    <w:p w14:paraId="71030AB4">
      <w:pPr>
        <w:widowControl/>
        <w:snapToGrid w:val="0"/>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本项目是为贯彻落实科学发展观，按照市委、市政府构建和谐社区的意见，结合完善后的市与区县分税制财政管理体制的要求，加强对社区党组织工作和活动经费的管理，进一步提升构建社会主义和谐社会首善之区的能力，北京市委组织部与财政局联合颁布了</w:t>
      </w:r>
      <w:r>
        <w:rPr>
          <w:rFonts w:hint="eastAsia" w:ascii="仿宋" w:hAnsi="仿宋" w:eastAsia="仿宋" w:cs="Arial"/>
          <w:sz w:val="32"/>
          <w:szCs w:val="32"/>
          <w:shd w:val="clear" w:color="auto" w:fill="FFFFFF"/>
        </w:rPr>
        <w:t>《关于进一步加强基层党组织工作和活动经费管理的办法》</w:t>
      </w:r>
      <w:r>
        <w:rPr>
          <w:rFonts w:hint="eastAsia" w:ascii="仿宋" w:hAnsi="仿宋" w:eastAsia="仿宋"/>
          <w:sz w:val="32"/>
          <w:szCs w:val="32"/>
        </w:rPr>
        <w:t>（京组发〔2012〕11号），根据文件规定，社区党组织活动经费按照党员年人均不低于400元核定。按照“立足支部，服务基层，统筹安排，专款专用”的原则，确保经费用于村、社区、国有企业、机关、高校、事业单位、非公有制经济组织、社会组织等基层党组织，特别是党支部正常开展工作和活动。</w:t>
      </w:r>
    </w:p>
    <w:p w14:paraId="330D4C85">
      <w:pPr>
        <w:widowControl/>
        <w:snapToGrid w:val="0"/>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本项目主要工作内容：党员教育管理和权利保障；走访、慰问、表彰、奖励党员和补助生活困难党员；建立、维护基层党组织工作和活动场地；丰富基层党组织的活动内容和活动形式；其他经审批的事项。2018年度全年社区党组织开展各项活动不少于100次；全年26个社区党组织慰问党员不少于80次；全年社区党组织表彰党员不少于26次。</w:t>
      </w:r>
    </w:p>
    <w:p w14:paraId="1BF10AAE">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截至2018年12月31日，该项目已完成：</w:t>
      </w:r>
      <w:r>
        <w:rPr>
          <w:rFonts w:hint="eastAsia" w:ascii="仿宋_GB2312" w:eastAsia="仿宋_GB2312"/>
          <w:sz w:val="32"/>
          <w:szCs w:val="32"/>
        </w:rPr>
        <w:t>1.</w:t>
      </w:r>
      <w:r>
        <w:rPr>
          <w:rFonts w:hint="eastAsia" w:ascii="仿宋_GB2312" w:hAnsi="华文仿宋" w:eastAsia="仿宋_GB2312" w:cs="Arial"/>
          <w:color w:val="333333"/>
          <w:kern w:val="0"/>
          <w:sz w:val="32"/>
          <w:szCs w:val="32"/>
        </w:rPr>
        <w:t>基层党组织建设方面：（1）党建创新项目建设；（2）区域化党建工作；（3）党员队伍建设；2.基层党组织学习教育管理方面：（1）七一及两节走访慰问困难党员；（2）表彰奖励先进党员；（3）学习教育专题活动；3.组织党员开展活动方面：（1）七一主题活动；</w:t>
      </w:r>
      <w:r>
        <w:rPr>
          <w:rFonts w:hint="eastAsia" w:ascii="仿宋_GB2312" w:hAnsi="宋体" w:eastAsia="仿宋_GB2312"/>
          <w:sz w:val="32"/>
          <w:szCs w:val="32"/>
        </w:rPr>
        <w:t>（2）外出参观活动。</w:t>
      </w:r>
    </w:p>
    <w:p w14:paraId="5D00B879">
      <w:pPr>
        <w:widowControl/>
        <w:snapToGrid w:val="0"/>
        <w:spacing w:line="560" w:lineRule="exact"/>
        <w:ind w:firstLine="600" w:firstLineChars="200"/>
        <w:jc w:val="left"/>
        <w:rPr>
          <w:rFonts w:hint="eastAsia" w:ascii="仿宋_GB2312" w:hAnsi="仿宋" w:eastAsia="仿宋_GB2312"/>
          <w:sz w:val="32"/>
          <w:szCs w:val="32"/>
        </w:rPr>
      </w:pPr>
      <w:r>
        <w:rPr>
          <w:rFonts w:hint="eastAsia" w:ascii="仿宋" w:hAnsi="仿宋" w:eastAsia="仿宋"/>
          <w:color w:val="000000"/>
          <w:sz w:val="30"/>
          <w:szCs w:val="30"/>
        </w:rPr>
        <w:t>项目调整情况及原因分析：</w:t>
      </w:r>
      <w:r>
        <w:rPr>
          <w:rFonts w:hint="eastAsia" w:ascii="仿宋_GB2312" w:hAnsi="仿宋" w:eastAsia="仿宋_GB2312"/>
          <w:sz w:val="32"/>
          <w:szCs w:val="32"/>
        </w:rPr>
        <w:t>本项目为全额财政拨款项目，项目立项时申报预算291.18万元，因2018年8月开始已经启动“两委”换届选举工作，26个社区党组织各项活动次数有所减少，故项目实际支出金额为</w:t>
      </w:r>
      <w:r>
        <w:rPr>
          <w:rFonts w:hint="eastAsia" w:ascii="仿宋_GB2312" w:eastAsia="仿宋_GB2312"/>
          <w:sz w:val="32"/>
          <w:szCs w:val="32"/>
        </w:rPr>
        <w:t>191.31万元，结余20.69万元已全部上交财政。</w:t>
      </w:r>
      <w:r>
        <w:rPr>
          <w:rFonts w:hint="eastAsia" w:ascii="仿宋_GB2312" w:hAnsi="宋体" w:eastAsia="仿宋_GB2312"/>
          <w:sz w:val="32"/>
          <w:szCs w:val="32"/>
        </w:rPr>
        <w:t xml:space="preserve">                                                  </w:t>
      </w:r>
    </w:p>
    <w:p w14:paraId="0B6A1CB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该项目实际执行金额与预算申报存在较大结余。项目部分计划内容的实施进度有所滞后，对实施过程中可预估的影响因素未能引起重视，项目的整体完成情况略有欠缺。</w:t>
      </w:r>
    </w:p>
    <w:p w14:paraId="2FAC22C4">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实施进度滞后，预算未执行的项目具体情况如下：</w:t>
      </w:r>
    </w:p>
    <w:p w14:paraId="48ED2F56">
      <w:pPr>
        <w:spacing w:line="560" w:lineRule="exact"/>
        <w:ind w:firstLine="600" w:firstLineChars="200"/>
        <w:rPr>
          <w:rFonts w:hint="eastAsia" w:ascii="仿宋" w:hAnsi="仿宋" w:eastAsia="仿宋"/>
          <w:sz w:val="32"/>
          <w:szCs w:val="32"/>
        </w:rPr>
      </w:pPr>
      <w:r>
        <w:rPr>
          <w:rFonts w:hint="eastAsia" w:ascii="仿宋" w:hAnsi="仿宋" w:eastAsia="仿宋"/>
          <w:color w:val="000000"/>
          <w:sz w:val="30"/>
          <w:szCs w:val="30"/>
        </w:rPr>
        <w:t>25.</w:t>
      </w:r>
      <w:r>
        <w:rPr>
          <w:rFonts w:hint="eastAsia" w:ascii="仿宋" w:hAnsi="仿宋" w:eastAsia="仿宋"/>
          <w:sz w:val="32"/>
          <w:szCs w:val="32"/>
        </w:rPr>
        <w:t>由综合治理办公室实施的月坛街道综合防控视频系统扩建项目截至2018年12月31日实际支出金额0万元，项目预算金额140万元，预算执行率0%。</w:t>
      </w:r>
    </w:p>
    <w:p w14:paraId="3BA8C8A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是为了贯彻落实市、区“雪亮工程”指示精神和决策部署，结合智慧城市和网格化服务管理系统建设，推动公共安全视频监控建设集约化、联网规范化、应用智能化，为进一步推进立体化社会治安防控体系建设，提升社会治理能力现代化水平，保障人民安居乐业，维护国家安全和社会安定有序提供有力支撑，本年度计划对10个社区进行监控安装。</w:t>
      </w:r>
    </w:p>
    <w:p w14:paraId="49D2B083">
      <w:pPr>
        <w:spacing w:line="5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项目调整情况及原因分析：</w:t>
      </w:r>
      <w:r>
        <w:rPr>
          <w:rFonts w:hint="eastAsia" w:ascii="仿宋" w:hAnsi="仿宋" w:eastAsia="仿宋"/>
          <w:sz w:val="32"/>
          <w:szCs w:val="32"/>
        </w:rPr>
        <w:t>本项目</w:t>
      </w:r>
      <w:r>
        <w:rPr>
          <w:rFonts w:hint="eastAsia" w:ascii="仿宋_GB2312" w:hAnsi="仿宋" w:eastAsia="仿宋_GB2312"/>
          <w:sz w:val="32"/>
          <w:szCs w:val="32"/>
        </w:rPr>
        <w:t>经办公会讨论通过，于2018年11月15日上报区科信委审查通过，经立项已进入公开招投标程序，截至2018年12月31日因正推进前期工作还未投入，</w:t>
      </w:r>
      <w:r>
        <w:rPr>
          <w:rFonts w:hint="eastAsia" w:ascii="仿宋" w:hAnsi="仿宋" w:eastAsia="仿宋"/>
          <w:sz w:val="32"/>
          <w:szCs w:val="32"/>
        </w:rPr>
        <w:t>暂未有经费支出，故项目调减金额为101.59万元。</w:t>
      </w:r>
    </w:p>
    <w:p w14:paraId="0DCB4E3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本项目整体推进力度存在较大不足，前期准备工作过于滞后，导致项目未能在年度内有效实施。</w:t>
      </w:r>
    </w:p>
    <w:bookmarkEnd w:id="8"/>
    <w:p w14:paraId="69B26B17">
      <w:pPr>
        <w:pStyle w:val="7"/>
        <w:spacing w:before="156" w:beforeLines="50" w:after="0" w:line="560" w:lineRule="exact"/>
        <w:ind w:firstLine="643" w:firstLineChars="200"/>
        <w:jc w:val="both"/>
        <w:rPr>
          <w:rFonts w:hint="eastAsia" w:ascii="黑体" w:hAnsi="黑体" w:eastAsia="黑体"/>
          <w:bCs w:val="0"/>
        </w:rPr>
      </w:pPr>
      <w:bookmarkStart w:id="21" w:name="_Toc31846"/>
      <w:bookmarkStart w:id="22" w:name="_Toc32122"/>
      <w:r>
        <w:rPr>
          <w:rFonts w:hint="eastAsia" w:ascii="黑体" w:hAnsi="黑体" w:eastAsia="黑体"/>
          <w:bCs w:val="0"/>
        </w:rPr>
        <w:t>四、存在的问题及原因分析</w:t>
      </w:r>
      <w:bookmarkEnd w:id="21"/>
    </w:p>
    <w:p w14:paraId="196ACF1C">
      <w:pPr>
        <w:spacing w:line="560" w:lineRule="exact"/>
        <w:ind w:firstLine="640" w:firstLineChars="200"/>
        <w:rPr>
          <w:rFonts w:ascii="仿宋" w:hAnsi="仿宋" w:eastAsia="仿宋"/>
          <w:sz w:val="32"/>
          <w:szCs w:val="32"/>
        </w:rPr>
      </w:pPr>
      <w:r>
        <w:rPr>
          <w:rFonts w:hint="eastAsia" w:ascii="仿宋" w:hAnsi="仿宋" w:eastAsia="仿宋"/>
          <w:sz w:val="32"/>
          <w:szCs w:val="32"/>
        </w:rPr>
        <w:t>（一）项目申报程序不够严谨，绩效目标的填报工作有待进一步加强</w:t>
      </w:r>
    </w:p>
    <w:p w14:paraId="3AF06DF4">
      <w:pPr>
        <w:spacing w:before="156" w:beforeLines="50" w:line="560" w:lineRule="exact"/>
        <w:ind w:firstLine="640" w:firstLineChars="200"/>
        <w:rPr>
          <w:rFonts w:hint="eastAsia" w:ascii="仿宋" w:hAnsi="仿宋" w:eastAsia="仿宋"/>
          <w:sz w:val="32"/>
          <w:szCs w:val="32"/>
        </w:rPr>
      </w:pPr>
      <w:r>
        <w:rPr>
          <w:rFonts w:hint="eastAsia" w:ascii="仿宋" w:hAnsi="仿宋" w:eastAsia="仿宋"/>
          <w:sz w:val="32"/>
          <w:szCs w:val="32"/>
        </w:rPr>
        <w:t>部分项目申报程序不够严谨，申报审核环节的审核、监管力度还有待加强。部分项目预算申报资料中，对于绩效目标申报表、专家论证意见、项目实施方案等还存在缺失现象。部分项目绩效目标申报表填报内容不完整，产出指标</w:t>
      </w:r>
      <w:r>
        <w:rPr>
          <w:rFonts w:ascii="仿宋" w:hAnsi="仿宋" w:eastAsia="仿宋"/>
          <w:sz w:val="32"/>
          <w:szCs w:val="32"/>
        </w:rPr>
        <w:t>及</w:t>
      </w:r>
      <w:r>
        <w:rPr>
          <w:rFonts w:hint="eastAsia" w:ascii="仿宋" w:hAnsi="仿宋" w:eastAsia="仿宋"/>
          <w:sz w:val="32"/>
          <w:szCs w:val="32"/>
        </w:rPr>
        <w:t>效益指标存在空缺情况, 对考量项目实施后的效果缺少可衡量依据。如：由城管队实施的“全响应网格员保安服务费”项目未填报可持续影响指标；由发展服务办公室实施的“月坛地区保洁经费”项目，服务对象满意度指标空缺</w:t>
      </w:r>
      <w:bookmarkStart w:id="23" w:name="_Hlk487801752"/>
      <w:r>
        <w:rPr>
          <w:rFonts w:hint="eastAsia" w:ascii="仿宋" w:hAnsi="仿宋" w:eastAsia="仿宋"/>
          <w:sz w:val="32"/>
          <w:szCs w:val="32"/>
        </w:rPr>
        <w:t>。</w:t>
      </w:r>
    </w:p>
    <w:bookmarkEnd w:id="23"/>
    <w:p w14:paraId="587FB83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（二）项目前期调研不够深入，预算编制的科学性和准确性有待进一步提高。</w:t>
      </w:r>
    </w:p>
    <w:p w14:paraId="3B12C44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2018年度我街道实施的25个重点跟踪项目中，6个项目涉及到追加预算指标，17个项目追减预算指标。涉及调整的项目个数占重点跟踪项目个数的92%，项目预算调整的比例偏高。虽然由于街道工作存在复杂性、突发性、临时性及具体性等多种特点，造成项目预算执行过程中的不确定性因素较大。但部分项目在预算编制前的调研工作不够深入，预算编制依据不充分，对可能出现的各种影响因素预估不足，造成项目实施过程中预算调整的情况较多。</w:t>
      </w:r>
    </w:p>
    <w:p w14:paraId="73132B5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如：综合治理办公室实施的平安创建工作经费项目，年初预算291.18万元，预算调整后金额207.24万元，实际支出金额197.99万元，调整比例及实际执行率均有所欠缺。</w:t>
      </w:r>
    </w:p>
    <w:p w14:paraId="6EF6F585">
      <w:pPr>
        <w:spacing w:before="156" w:beforeLines="50" w:line="560" w:lineRule="exact"/>
        <w:ind w:firstLine="640" w:firstLineChars="200"/>
        <w:rPr>
          <w:rFonts w:ascii="仿宋" w:hAnsi="仿宋" w:eastAsia="仿宋"/>
          <w:bCs/>
          <w:sz w:val="32"/>
          <w:szCs w:val="32"/>
        </w:rPr>
      </w:pPr>
      <w:r>
        <w:rPr>
          <w:rFonts w:hint="eastAsia" w:ascii="仿宋" w:hAnsi="仿宋" w:eastAsia="仿宋"/>
          <w:sz w:val="32"/>
          <w:szCs w:val="32"/>
        </w:rPr>
        <w:t>（三）</w:t>
      </w:r>
      <w:r>
        <w:rPr>
          <w:rFonts w:hint="eastAsia" w:ascii="仿宋" w:hAnsi="仿宋" w:eastAsia="仿宋"/>
          <w:bCs/>
          <w:sz w:val="32"/>
          <w:szCs w:val="32"/>
        </w:rPr>
        <w:t>项目实施过程的规范性有待进一步加强，合同管理不够严谨。</w:t>
      </w:r>
    </w:p>
    <w:p w14:paraId="1B60B6EF">
      <w:pPr>
        <w:spacing w:before="156" w:beforeLines="50" w:line="560" w:lineRule="exact"/>
        <w:ind w:firstLine="640" w:firstLineChars="200"/>
        <w:rPr>
          <w:rFonts w:hint="eastAsia" w:ascii="仿宋" w:hAnsi="仿宋" w:eastAsia="仿宋"/>
          <w:bCs/>
          <w:sz w:val="32"/>
          <w:szCs w:val="32"/>
        </w:rPr>
      </w:pPr>
      <w:r>
        <w:rPr>
          <w:rFonts w:hint="eastAsia" w:ascii="仿宋" w:hAnsi="仿宋" w:eastAsia="仿宋"/>
          <w:bCs/>
          <w:sz w:val="32"/>
          <w:szCs w:val="32"/>
        </w:rPr>
        <w:t>25</w:t>
      </w:r>
      <w:r>
        <w:rPr>
          <w:rFonts w:ascii="仿宋" w:hAnsi="仿宋" w:eastAsia="仿宋"/>
          <w:bCs/>
          <w:sz w:val="32"/>
          <w:szCs w:val="32"/>
        </w:rPr>
        <w:t>个重点跟踪项目中</w:t>
      </w:r>
      <w:r>
        <w:rPr>
          <w:rFonts w:hint="eastAsia" w:ascii="仿宋" w:hAnsi="仿宋" w:eastAsia="仿宋"/>
          <w:bCs/>
          <w:sz w:val="32"/>
          <w:szCs w:val="32"/>
        </w:rPr>
        <w:t>，部分</w:t>
      </w:r>
      <w:r>
        <w:rPr>
          <w:rFonts w:ascii="仿宋" w:hAnsi="仿宋" w:eastAsia="仿宋"/>
          <w:bCs/>
          <w:sz w:val="32"/>
          <w:szCs w:val="32"/>
        </w:rPr>
        <w:t>项目</w:t>
      </w:r>
      <w:r>
        <w:rPr>
          <w:rFonts w:hint="eastAsia" w:ascii="仿宋" w:hAnsi="仿宋" w:eastAsia="仿宋"/>
          <w:bCs/>
          <w:sz w:val="32"/>
          <w:szCs w:val="32"/>
        </w:rPr>
        <w:t>未有针对性的制定</w:t>
      </w:r>
      <w:r>
        <w:rPr>
          <w:rFonts w:ascii="仿宋" w:hAnsi="仿宋" w:eastAsia="仿宋"/>
          <w:bCs/>
          <w:sz w:val="32"/>
          <w:szCs w:val="32"/>
        </w:rPr>
        <w:t>实施方案或实施方案的有效性存在不足。</w:t>
      </w:r>
      <w:r>
        <w:rPr>
          <w:rFonts w:hint="eastAsia" w:ascii="仿宋" w:hAnsi="仿宋" w:eastAsia="仿宋"/>
          <w:bCs/>
          <w:sz w:val="32"/>
          <w:szCs w:val="32"/>
        </w:rPr>
        <w:t>对项目组织实施的架构、人员配备、职责分工、实施进度、质量控制、风险防范等内容未做好事前计划，导致项目的实际执行中缺少实施方案的有效指导与监督检查的依据。</w:t>
      </w:r>
    </w:p>
    <w:p w14:paraId="15B08824">
      <w:pPr>
        <w:spacing w:before="156" w:beforeLines="50" w:line="560" w:lineRule="exact"/>
        <w:ind w:firstLine="640" w:firstLineChars="200"/>
        <w:rPr>
          <w:rFonts w:hint="eastAsia" w:ascii="仿宋" w:hAnsi="仿宋" w:eastAsia="仿宋"/>
          <w:bCs/>
          <w:sz w:val="32"/>
          <w:szCs w:val="32"/>
        </w:rPr>
      </w:pPr>
      <w:r>
        <w:rPr>
          <w:rFonts w:hint="eastAsia" w:ascii="仿宋" w:hAnsi="仿宋" w:eastAsia="仿宋"/>
          <w:bCs/>
          <w:sz w:val="32"/>
          <w:szCs w:val="32"/>
        </w:rPr>
        <w:t>部分未达到公开招标的外协单位遴选过程资料提供不够充分，相关比质比价的遴选过程资料存在缺失，尚不足以支撑采购环节的公开透明性以及采购结果的公允性。部分项目</w:t>
      </w:r>
      <w:r>
        <w:rPr>
          <w:rFonts w:ascii="仿宋" w:hAnsi="仿宋" w:eastAsia="仿宋"/>
          <w:bCs/>
          <w:sz w:val="32"/>
          <w:szCs w:val="32"/>
        </w:rPr>
        <w:t>与第三方签订的合同要素不全。</w:t>
      </w:r>
      <w:r>
        <w:rPr>
          <w:rFonts w:hint="eastAsia" w:ascii="仿宋" w:hAnsi="仿宋" w:eastAsia="仿宋"/>
          <w:sz w:val="32"/>
          <w:szCs w:val="32"/>
        </w:rPr>
        <w:t>如：由城管队实施的“全响应网格员保安服务费”项目与</w:t>
      </w:r>
      <w:r>
        <w:rPr>
          <w:rFonts w:hint="eastAsia" w:ascii="仿宋" w:hAnsi="仿宋" w:eastAsia="仿宋"/>
          <w:bCs/>
          <w:sz w:val="32"/>
          <w:szCs w:val="32"/>
        </w:rPr>
        <w:t>华信中安（北京）保安服务有限公司</w:t>
      </w:r>
      <w:r>
        <w:rPr>
          <w:rFonts w:hint="eastAsia" w:ascii="仿宋" w:hAnsi="仿宋" w:eastAsia="仿宋"/>
          <w:sz w:val="32"/>
          <w:szCs w:val="32"/>
        </w:rPr>
        <w:t>签订的《保安服务合同书》、由全响应实施的“机关及社区购计算机设备及软件”项目与</w:t>
      </w:r>
      <w:r>
        <w:rPr>
          <w:rFonts w:hint="eastAsia" w:ascii="仿宋" w:hAnsi="仿宋" w:eastAsia="仿宋"/>
          <w:bCs/>
          <w:sz w:val="32"/>
          <w:szCs w:val="32"/>
        </w:rPr>
        <w:t>北京诚联永创科技有限公司</w:t>
      </w:r>
      <w:r>
        <w:rPr>
          <w:rFonts w:hint="eastAsia" w:ascii="仿宋" w:hAnsi="仿宋" w:eastAsia="仿宋"/>
          <w:sz w:val="32"/>
          <w:szCs w:val="32"/>
        </w:rPr>
        <w:t>签订的《政府采购协议供货合同》、由组织部实施的“社区基层党组织活动经费”项目与北京北京永逸锋装饰有限公司签订的《北京市建设工程施工合同协议条款》、由组织部实施的“社区基层党组织活动经费”项目与</w:t>
      </w:r>
      <w:r>
        <w:rPr>
          <w:rFonts w:hint="eastAsia" w:ascii="仿宋_GB2312" w:eastAsia="仿宋_GB2312"/>
          <w:sz w:val="32"/>
          <w:szCs w:val="32"/>
        </w:rPr>
        <w:t>北京尚美华锦展览展示有限公司</w:t>
      </w:r>
      <w:r>
        <w:rPr>
          <w:rFonts w:ascii="仿宋" w:hAnsi="仿宋" w:eastAsia="仿宋"/>
          <w:sz w:val="32"/>
          <w:szCs w:val="32"/>
        </w:rPr>
        <w:t>签订的</w:t>
      </w:r>
      <w:r>
        <w:rPr>
          <w:rFonts w:hint="eastAsia" w:ascii="仿宋" w:hAnsi="仿宋" w:eastAsia="仿宋"/>
          <w:sz w:val="32"/>
          <w:szCs w:val="32"/>
        </w:rPr>
        <w:t>《制作安装社区文化栏合同</w:t>
      </w:r>
      <w:r>
        <w:rPr>
          <w:rFonts w:ascii="仿宋" w:hAnsi="仿宋" w:eastAsia="仿宋"/>
          <w:sz w:val="32"/>
          <w:szCs w:val="32"/>
        </w:rPr>
        <w:t>》</w:t>
      </w:r>
      <w:r>
        <w:rPr>
          <w:rFonts w:hint="eastAsia" w:ascii="仿宋" w:hAnsi="仿宋" w:eastAsia="仿宋"/>
          <w:sz w:val="32"/>
          <w:szCs w:val="32"/>
        </w:rPr>
        <w:t>，均未签署合同日期，存在合同执行风险。</w:t>
      </w:r>
    </w:p>
    <w:p w14:paraId="1C5FABC8">
      <w:pPr>
        <w:spacing w:line="560" w:lineRule="exact"/>
        <w:ind w:firstLine="640" w:firstLineChars="200"/>
        <w:rPr>
          <w:rFonts w:hint="eastAsia" w:ascii="仿宋" w:hAnsi="仿宋" w:eastAsia="仿宋"/>
          <w:sz w:val="32"/>
          <w:szCs w:val="32"/>
        </w:rPr>
      </w:pPr>
      <w:r>
        <w:rPr>
          <w:rFonts w:hint="eastAsia" w:ascii="仿宋" w:hAnsi="仿宋" w:eastAsia="仿宋"/>
          <w:bCs/>
          <w:sz w:val="32"/>
          <w:szCs w:val="32"/>
        </w:rPr>
        <w:t>（四）</w:t>
      </w:r>
      <w:r>
        <w:rPr>
          <w:rFonts w:hint="eastAsia" w:ascii="仿宋" w:hAnsi="仿宋" w:eastAsia="仿宋"/>
          <w:sz w:val="32"/>
          <w:szCs w:val="32"/>
        </w:rPr>
        <w:t>项目日常监督管理存在薄弱环节，相关资料留存不足</w:t>
      </w:r>
    </w:p>
    <w:p w14:paraId="2DEF48B1">
      <w:pPr>
        <w:spacing w:line="560" w:lineRule="exact"/>
        <w:ind w:firstLine="640" w:firstLineChars="200"/>
        <w:rPr>
          <w:rFonts w:hint="eastAsia" w:ascii="仿宋" w:hAnsi="仿宋" w:eastAsia="仿宋"/>
          <w:bCs/>
          <w:sz w:val="32"/>
          <w:szCs w:val="32"/>
        </w:rPr>
      </w:pPr>
      <w:r>
        <w:rPr>
          <w:rFonts w:hint="eastAsia" w:ascii="仿宋" w:hAnsi="仿宋" w:eastAsia="仿宋"/>
          <w:sz w:val="32"/>
          <w:szCs w:val="32"/>
        </w:rPr>
        <w:t xml:space="preserve"> </w:t>
      </w:r>
      <w:r>
        <w:rPr>
          <w:rFonts w:hint="eastAsia" w:ascii="仿宋" w:hAnsi="仿宋" w:eastAsia="仿宋"/>
          <w:bCs/>
          <w:sz w:val="32"/>
          <w:szCs w:val="32"/>
        </w:rPr>
        <w:t>大部分项目对于管理过程中的会议纪要、监督检查记录、监督检查照片等相关资料留存不足，</w:t>
      </w:r>
      <w:r>
        <w:rPr>
          <w:rFonts w:ascii="仿宋" w:hAnsi="仿宋" w:eastAsia="仿宋"/>
          <w:bCs/>
          <w:sz w:val="32"/>
          <w:szCs w:val="32"/>
        </w:rPr>
        <w:t>其监督管理责任未能有效</w:t>
      </w:r>
      <w:r>
        <w:rPr>
          <w:rFonts w:hint="eastAsia" w:ascii="仿宋" w:hAnsi="仿宋" w:eastAsia="仿宋"/>
          <w:bCs/>
          <w:sz w:val="32"/>
          <w:szCs w:val="32"/>
        </w:rPr>
        <w:t>体</w:t>
      </w:r>
      <w:r>
        <w:rPr>
          <w:rFonts w:ascii="仿宋" w:hAnsi="仿宋" w:eastAsia="仿宋"/>
          <w:bCs/>
          <w:sz w:val="32"/>
          <w:szCs w:val="32"/>
        </w:rPr>
        <w:t>现</w:t>
      </w:r>
      <w:r>
        <w:rPr>
          <w:rFonts w:hint="eastAsia" w:ascii="仿宋" w:hAnsi="仿宋" w:eastAsia="仿宋"/>
          <w:bCs/>
          <w:sz w:val="32"/>
          <w:szCs w:val="32"/>
        </w:rPr>
        <w:t>。通过了全年绩效跟踪了解，各项目在实施中基本能够按照要求对项目的实施过程进行管理控制，但相应资料留存及收集整理的意识还有所欠缺。如：宣传部实施的</w:t>
      </w:r>
      <w:r>
        <w:rPr>
          <w:rFonts w:hint="eastAsia" w:ascii="仿宋" w:hAnsi="仿宋" w:eastAsia="仿宋"/>
          <w:sz w:val="32"/>
          <w:szCs w:val="32"/>
        </w:rPr>
        <w:t>“宣传经费”、文化科实施的“社区教育经费”等项目反映过程监管的相关资料提供不完整，对考量项目实施过程及质量完成效果还缺少依据的支撑。</w:t>
      </w:r>
    </w:p>
    <w:p w14:paraId="61FB5AD2">
      <w:pPr>
        <w:spacing w:before="156" w:beforeLines="50" w:line="560" w:lineRule="exact"/>
        <w:ind w:firstLine="640" w:firstLineChars="200"/>
        <w:rPr>
          <w:rFonts w:ascii="仿宋" w:hAnsi="仿宋" w:eastAsia="仿宋"/>
          <w:bCs/>
          <w:sz w:val="32"/>
          <w:szCs w:val="32"/>
        </w:rPr>
      </w:pPr>
      <w:r>
        <w:rPr>
          <w:rFonts w:hint="eastAsia" w:ascii="仿宋" w:hAnsi="仿宋" w:eastAsia="仿宋"/>
          <w:bCs/>
          <w:sz w:val="32"/>
          <w:szCs w:val="32"/>
        </w:rPr>
        <w:t>（五）服务满意度调查工作的重视程度不足</w:t>
      </w:r>
    </w:p>
    <w:p w14:paraId="46BFDD8D">
      <w:pPr>
        <w:spacing w:before="156" w:beforeLines="50" w:line="560" w:lineRule="exact"/>
        <w:ind w:firstLine="640" w:firstLineChars="200"/>
        <w:rPr>
          <w:rFonts w:hint="eastAsia" w:ascii="仿宋" w:hAnsi="仿宋" w:eastAsia="仿宋"/>
          <w:bCs/>
          <w:sz w:val="32"/>
          <w:szCs w:val="32"/>
        </w:rPr>
      </w:pPr>
      <w:r>
        <w:rPr>
          <w:rFonts w:hint="eastAsia" w:ascii="仿宋" w:hAnsi="仿宋" w:eastAsia="仿宋"/>
          <w:bCs/>
          <w:sz w:val="32"/>
          <w:szCs w:val="32"/>
        </w:rPr>
        <w:t>根据我街道工作性质，大部分项目均有较明确的服务群体及受益对象，但各项目的实施科室对服务满意度调查工作还不够重视，实际工作中普遍缺少对满意度调查工作的计划与实施。部分项目开展了相关满意度调查工作，但所提供的调查问卷数量、问卷内容及所覆盖的受众群体范围尚不能满足绩效管理的要求，无法真实有效的反馈受益群体对于项目开展的满意度情况，缺少统计与分析，不利于项目的持续改进。</w:t>
      </w:r>
    </w:p>
    <w:p w14:paraId="504D0EF0">
      <w:pPr>
        <w:pStyle w:val="7"/>
        <w:spacing w:after="0" w:line="560" w:lineRule="exact"/>
        <w:ind w:firstLine="643" w:firstLineChars="200"/>
        <w:jc w:val="both"/>
        <w:rPr>
          <w:rFonts w:hint="eastAsia" w:ascii="黑体" w:hAnsi="黑体" w:eastAsia="黑体"/>
        </w:rPr>
      </w:pPr>
      <w:bookmarkStart w:id="24" w:name="_Toc9809"/>
      <w:r>
        <w:rPr>
          <w:rFonts w:hint="eastAsia" w:ascii="黑体" w:hAnsi="黑体" w:eastAsia="黑体"/>
        </w:rPr>
        <w:t>五、下一步工作计划</w:t>
      </w:r>
      <w:bookmarkEnd w:id="24"/>
    </w:p>
    <w:p w14:paraId="23E2FA22">
      <w:pPr>
        <w:spacing w:before="156" w:beforeLines="50" w:line="560" w:lineRule="exact"/>
        <w:ind w:firstLine="640" w:firstLineChars="200"/>
        <w:rPr>
          <w:rFonts w:hint="eastAsia" w:ascii="仿宋" w:hAnsi="仿宋" w:eastAsia="仿宋"/>
          <w:sz w:val="32"/>
          <w:szCs w:val="32"/>
        </w:rPr>
      </w:pPr>
      <w:r>
        <w:rPr>
          <w:rFonts w:hint="eastAsia" w:ascii="仿宋" w:hAnsi="仿宋" w:eastAsia="仿宋"/>
          <w:sz w:val="32"/>
          <w:szCs w:val="32"/>
        </w:rPr>
        <w:t>（一）进一步加强绩效目标管理，提高绩效目标的填报质量。</w:t>
      </w:r>
    </w:p>
    <w:p w14:paraId="260EA80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对各预算项目申报资料的完整性及绩效目标的填报内容进行严格审核、把关。加强各科室对项目绩效目标填报的科学性与完整性，强化效益指标对项目整体实施效果的考量作用。按照“编制有目标、预算执行有监控、预算完成有评价、评价结果有反馈、反馈结果有应用”的目标要求，积极推进预算绩效管理的实现。</w:t>
      </w:r>
    </w:p>
    <w:p w14:paraId="5B67B405">
      <w:pPr>
        <w:numPr>
          <w:ilvl w:val="0"/>
          <w:numId w:val="1"/>
        </w:numPr>
        <w:spacing w:line="560" w:lineRule="exact"/>
        <w:ind w:firstLine="640" w:firstLineChars="200"/>
        <w:rPr>
          <w:rFonts w:hint="eastAsia" w:ascii="仿宋" w:hAnsi="仿宋" w:eastAsia="仿宋"/>
          <w:bCs/>
          <w:sz w:val="32"/>
          <w:szCs w:val="32"/>
        </w:rPr>
      </w:pPr>
      <w:r>
        <w:rPr>
          <w:rFonts w:hint="eastAsia" w:ascii="仿宋" w:hAnsi="仿宋" w:eastAsia="仿宋"/>
          <w:sz w:val="32"/>
          <w:szCs w:val="32"/>
        </w:rPr>
        <w:t>加强项目预算编制的准确性，</w:t>
      </w:r>
      <w:r>
        <w:rPr>
          <w:rFonts w:hint="eastAsia" w:ascii="仿宋" w:hAnsi="仿宋" w:eastAsia="仿宋"/>
          <w:bCs/>
          <w:sz w:val="32"/>
          <w:szCs w:val="32"/>
        </w:rPr>
        <w:t>减少项目预算调整比例</w:t>
      </w:r>
    </w:p>
    <w:p w14:paraId="3D6F94C5">
      <w:pPr>
        <w:spacing w:line="560" w:lineRule="exact"/>
        <w:ind w:firstLine="640" w:firstLineChars="200"/>
        <w:rPr>
          <w:rFonts w:hint="eastAsia" w:ascii="仿宋" w:hAnsi="仿宋" w:eastAsia="仿宋"/>
          <w:sz w:val="32"/>
          <w:szCs w:val="32"/>
        </w:rPr>
      </w:pPr>
      <w:r>
        <w:rPr>
          <w:rFonts w:ascii="仿宋" w:hAnsi="仿宋" w:eastAsia="仿宋"/>
          <w:sz w:val="32"/>
          <w:szCs w:val="32"/>
        </w:rPr>
        <w:t>预算编制工作应采取更加科学、合理的编制依据，有效的控制预算调整比例，加强预算编制的严肃性。</w:t>
      </w:r>
      <w:r>
        <w:rPr>
          <w:rFonts w:hint="eastAsia" w:ascii="仿宋" w:hAnsi="仿宋" w:eastAsia="仿宋"/>
          <w:sz w:val="32"/>
          <w:szCs w:val="32"/>
        </w:rPr>
        <w:t>应在编制预算之前应深入进行现场勘查，了解项目的实际需求，对可能出现影响项目实施的客观因素及风险进行预估，在此基础上组织设计和编制预算。在参考往年度项目预算额度的基础上，应充分对当预算年度的成本价格变动及项目计划内容的差异性进行考量，进一步提高街道项目预算编制的科学性、规范性和相对准确性。</w:t>
      </w:r>
    </w:p>
    <w:p w14:paraId="572C1E0C">
      <w:pPr>
        <w:spacing w:line="560" w:lineRule="exact"/>
        <w:ind w:firstLine="640" w:firstLineChars="200"/>
        <w:rPr>
          <w:rFonts w:hint="eastAsia" w:ascii="仿宋" w:hAnsi="仿宋" w:eastAsia="仿宋"/>
          <w:bCs/>
          <w:sz w:val="32"/>
          <w:szCs w:val="32"/>
        </w:rPr>
      </w:pPr>
      <w:r>
        <w:rPr>
          <w:rFonts w:hint="eastAsia" w:ascii="仿宋" w:hAnsi="仿宋" w:eastAsia="仿宋"/>
          <w:sz w:val="32"/>
          <w:szCs w:val="32"/>
        </w:rPr>
        <w:t>（三）</w:t>
      </w:r>
      <w:r>
        <w:rPr>
          <w:rFonts w:hint="eastAsia" w:ascii="仿宋" w:hAnsi="仿宋" w:eastAsia="仿宋"/>
          <w:bCs/>
          <w:sz w:val="32"/>
          <w:szCs w:val="32"/>
        </w:rPr>
        <w:t>进一步完善项目管理，规范项目管理细节。</w:t>
      </w:r>
    </w:p>
    <w:p w14:paraId="06CB12D7">
      <w:pPr>
        <w:spacing w:line="560" w:lineRule="exact"/>
        <w:ind w:firstLine="640" w:firstLineChars="200"/>
        <w:rPr>
          <w:rFonts w:hint="eastAsia" w:ascii="仿宋" w:hAnsi="仿宋" w:eastAsia="仿宋"/>
          <w:sz w:val="32"/>
          <w:szCs w:val="32"/>
        </w:rPr>
      </w:pPr>
      <w:r>
        <w:rPr>
          <w:rFonts w:hint="eastAsia" w:ascii="仿宋" w:hAnsi="仿宋" w:eastAsia="仿宋"/>
          <w:bCs/>
          <w:sz w:val="32"/>
          <w:szCs w:val="32"/>
        </w:rPr>
        <w:t>各科室作为项目实施的责任主体，应及时梳理更新现有项目管理制度，进一步完善与加强管理制度的约束力，强化项目实施方案对实际工作的指导性。对外协单位的遴选，严格依据我街道采购制度开展工作，重视选取过程的合法性与规范性。加强项目过程管理，实时跟踪项目执行进度及绩效目标的实现程度，将细节管理落实到项目实施的各个环节。完善合同要素和专项条款，强化合同的约束力。进一步提高财政资金的绩效管理水平，</w:t>
      </w:r>
      <w:r>
        <w:rPr>
          <w:rFonts w:hint="eastAsia" w:ascii="仿宋" w:hAnsi="仿宋" w:eastAsia="仿宋"/>
          <w:sz w:val="32"/>
          <w:szCs w:val="32"/>
        </w:rPr>
        <w:t>满足预算绩效评价、财务检查和绩效审计的要求。</w:t>
      </w:r>
    </w:p>
    <w:p w14:paraId="44F6C0BA">
      <w:pPr>
        <w:spacing w:line="560" w:lineRule="exact"/>
        <w:ind w:firstLine="640" w:firstLineChars="200"/>
        <w:rPr>
          <w:rFonts w:hint="eastAsia" w:ascii="仿宋" w:hAnsi="仿宋" w:eastAsia="仿宋"/>
          <w:bCs/>
          <w:sz w:val="32"/>
          <w:szCs w:val="32"/>
        </w:rPr>
      </w:pPr>
      <w:r>
        <w:rPr>
          <w:rFonts w:hint="eastAsia" w:ascii="仿宋" w:hAnsi="仿宋" w:eastAsia="仿宋"/>
          <w:sz w:val="32"/>
          <w:szCs w:val="32"/>
        </w:rPr>
        <w:t>（四）加强</w:t>
      </w:r>
      <w:r>
        <w:rPr>
          <w:rFonts w:hint="eastAsia" w:ascii="仿宋" w:hAnsi="仿宋" w:eastAsia="仿宋"/>
          <w:bCs/>
          <w:sz w:val="32"/>
          <w:szCs w:val="32"/>
        </w:rPr>
        <w:t>项目管理资料和效果材料的留存与整理</w:t>
      </w:r>
    </w:p>
    <w:p w14:paraId="0B257256">
      <w:pPr>
        <w:spacing w:line="560" w:lineRule="exact"/>
        <w:ind w:firstLine="640" w:firstLineChars="200"/>
        <w:rPr>
          <w:rFonts w:hint="eastAsia" w:ascii="仿宋" w:hAnsi="仿宋" w:eastAsia="仿宋"/>
          <w:sz w:val="32"/>
          <w:szCs w:val="32"/>
        </w:rPr>
      </w:pPr>
      <w:r>
        <w:rPr>
          <w:rFonts w:hint="eastAsia" w:ascii="仿宋" w:hAnsi="仿宋" w:eastAsia="仿宋"/>
          <w:bCs/>
          <w:sz w:val="32"/>
          <w:szCs w:val="32"/>
        </w:rPr>
        <w:t>为加强我街道对财政预算项目的持续跟踪管理，切实落实项目绩效成果及绩效目标的有效实现，通过委托第三方机构，对各业务科室进行相关业务培训，增强各项目执行人员的管理水平与业务素质。及时督促各项目过程管理资料以及成果资料的留存与整理，为项目的过程管理成效和绩效目标的展现提供有效支撑。同时，各项目负责人应将日常所收集的相关资料，应用于项目的绩效监督管理中，从中发现问题，客观分析项目的运行情况是否出现偏离，为项目的及时纠偏提供资料依据。</w:t>
      </w:r>
    </w:p>
    <w:p w14:paraId="69D637D2">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w:t>
      </w:r>
      <w:r>
        <w:rPr>
          <w:rFonts w:hint="eastAsia" w:ascii="仿宋" w:hAnsi="仿宋" w:eastAsia="仿宋"/>
          <w:bCs/>
          <w:sz w:val="32"/>
          <w:szCs w:val="32"/>
        </w:rPr>
        <w:t>加强项目服务满意度调查工作</w:t>
      </w:r>
    </w:p>
    <w:p w14:paraId="2E47B47B">
      <w:pPr>
        <w:tabs>
          <w:tab w:val="left" w:pos="5040"/>
        </w:tabs>
        <w:spacing w:line="560" w:lineRule="exact"/>
        <w:ind w:firstLine="640" w:firstLineChars="200"/>
        <w:rPr>
          <w:rFonts w:hint="eastAsia" w:ascii="仿宋" w:hAnsi="仿宋" w:eastAsia="仿宋"/>
          <w:bCs/>
          <w:sz w:val="10"/>
          <w:szCs w:val="10"/>
        </w:rPr>
      </w:pPr>
      <w:r>
        <w:rPr>
          <w:rFonts w:hint="eastAsia" w:ascii="仿宋" w:hAnsi="仿宋" w:eastAsia="仿宋"/>
          <w:bCs/>
          <w:sz w:val="32"/>
          <w:szCs w:val="32"/>
        </w:rPr>
        <w:t>各科室应根据项目的特点及实施目标，综合考虑项目实施的服务受益群体目标，及覆盖范围，分层级采取有效的调查方式。通过设计高质量的满意度调查问卷，开展满意度调查工作，对调查结果进行分析汇总，形成满意度分析报告。将分析结果作为今后的项目决策和管理的参考依据。</w:t>
      </w:r>
      <w:bookmarkEnd w:id="22"/>
    </w:p>
    <w:p w14:paraId="0914C106">
      <w:pPr>
        <w:tabs>
          <w:tab w:val="left" w:pos="5040"/>
        </w:tabs>
        <w:spacing w:line="400" w:lineRule="exact"/>
        <w:ind w:firstLine="200" w:firstLineChars="200"/>
        <w:rPr>
          <w:rFonts w:hint="eastAsia" w:ascii="仿宋" w:hAnsi="仿宋" w:eastAsia="仿宋"/>
          <w:bCs/>
          <w:sz w:val="10"/>
          <w:szCs w:val="10"/>
        </w:rPr>
      </w:pPr>
    </w:p>
    <w:p w14:paraId="4A5CC000">
      <w:pPr>
        <w:tabs>
          <w:tab w:val="left" w:pos="5040"/>
        </w:tabs>
        <w:spacing w:line="520" w:lineRule="exact"/>
        <w:ind w:firstLine="640" w:firstLineChars="200"/>
        <w:rPr>
          <w:rFonts w:hint="eastAsia" w:ascii="仿宋" w:hAnsi="仿宋" w:eastAsia="仿宋"/>
          <w:bCs/>
          <w:sz w:val="32"/>
          <w:szCs w:val="32"/>
        </w:rPr>
      </w:pPr>
    </w:p>
    <w:p w14:paraId="63DCF66B">
      <w:pPr>
        <w:tabs>
          <w:tab w:val="left" w:pos="5040"/>
        </w:tabs>
        <w:spacing w:line="520" w:lineRule="exact"/>
        <w:ind w:firstLine="640" w:firstLineChars="200"/>
        <w:rPr>
          <w:rFonts w:hint="eastAsia" w:ascii="仿宋" w:hAnsi="仿宋" w:eastAsia="仿宋"/>
          <w:bCs/>
          <w:sz w:val="32"/>
          <w:szCs w:val="32"/>
        </w:rPr>
      </w:pPr>
    </w:p>
    <w:p w14:paraId="5D1E4B8B">
      <w:pPr>
        <w:tabs>
          <w:tab w:val="left" w:pos="5040"/>
        </w:tabs>
        <w:spacing w:line="520" w:lineRule="exact"/>
        <w:ind w:firstLine="640" w:firstLineChars="200"/>
        <w:rPr>
          <w:rFonts w:ascii="仿宋" w:hAnsi="仿宋" w:eastAsia="仿宋"/>
          <w:bCs/>
          <w:sz w:val="32"/>
          <w:szCs w:val="32"/>
        </w:rPr>
      </w:pPr>
      <w:r>
        <w:rPr>
          <w:rFonts w:hint="eastAsia" w:ascii="仿宋" w:hAnsi="仿宋" w:eastAsia="仿宋"/>
          <w:bCs/>
          <w:sz w:val="32"/>
          <w:szCs w:val="32"/>
        </w:rPr>
        <w:t>附件1：西城区区级项目支出绩效跟踪清单</w:t>
      </w:r>
    </w:p>
    <w:p w14:paraId="7F543A55">
      <w:pPr>
        <w:tabs>
          <w:tab w:val="left" w:pos="5040"/>
        </w:tabs>
        <w:spacing w:line="520" w:lineRule="exact"/>
        <w:ind w:firstLine="640" w:firstLineChars="200"/>
        <w:rPr>
          <w:rFonts w:hint="eastAsia" w:ascii="仿宋" w:hAnsi="仿宋" w:eastAsia="仿宋"/>
          <w:bCs/>
          <w:sz w:val="10"/>
          <w:szCs w:val="10"/>
        </w:rPr>
      </w:pPr>
      <w:r>
        <w:rPr>
          <w:rFonts w:ascii="仿宋" w:hAnsi="仿宋" w:eastAsia="仿宋"/>
          <w:bCs/>
          <w:sz w:val="32"/>
          <w:szCs w:val="32"/>
        </w:rPr>
        <w:t>附件</w:t>
      </w:r>
      <w:r>
        <w:rPr>
          <w:rFonts w:hint="eastAsia" w:ascii="仿宋" w:hAnsi="仿宋" w:eastAsia="仿宋"/>
          <w:bCs/>
          <w:sz w:val="32"/>
          <w:szCs w:val="32"/>
        </w:rPr>
        <w:t>2：西城区区级项目支出绩效跟踪分析表</w:t>
      </w:r>
    </w:p>
    <w:p w14:paraId="4DE94F72">
      <w:pPr>
        <w:tabs>
          <w:tab w:val="left" w:pos="5040"/>
        </w:tabs>
        <w:spacing w:line="520" w:lineRule="exact"/>
        <w:ind w:firstLine="200" w:firstLineChars="200"/>
        <w:rPr>
          <w:rFonts w:hint="eastAsia" w:ascii="仿宋" w:hAnsi="仿宋" w:eastAsia="仿宋"/>
          <w:bCs/>
          <w:sz w:val="10"/>
          <w:szCs w:val="10"/>
        </w:rPr>
      </w:pPr>
    </w:p>
    <w:p w14:paraId="420B6B20">
      <w:pPr>
        <w:tabs>
          <w:tab w:val="left" w:pos="5040"/>
        </w:tabs>
        <w:spacing w:line="520" w:lineRule="exact"/>
        <w:ind w:firstLine="1568" w:firstLineChars="490"/>
        <w:jc w:val="right"/>
        <w:rPr>
          <w:rFonts w:ascii="仿宋" w:hAnsi="仿宋" w:eastAsia="仿宋"/>
          <w:sz w:val="32"/>
          <w:szCs w:val="32"/>
        </w:rPr>
      </w:pPr>
      <w:r>
        <w:rPr>
          <w:rFonts w:hint="eastAsia" w:ascii="仿宋" w:hAnsi="仿宋" w:eastAsia="仿宋"/>
          <w:sz w:val="32"/>
          <w:szCs w:val="32"/>
        </w:rPr>
        <w:t xml:space="preserve">          北京市西城区人民政府月坛街道办事处</w:t>
      </w:r>
    </w:p>
    <w:p w14:paraId="32217E78">
      <w:pPr>
        <w:tabs>
          <w:tab w:val="left" w:pos="5040"/>
        </w:tabs>
        <w:spacing w:line="520" w:lineRule="exact"/>
        <w:ind w:right="960" w:firstLine="1568" w:firstLineChars="490"/>
        <w:jc w:val="right"/>
        <w:rPr>
          <w:rFonts w:hint="eastAsia"/>
          <w:sz w:val="32"/>
          <w:szCs w:val="32"/>
        </w:rPr>
      </w:pPr>
      <w:r>
        <w:rPr>
          <w:rFonts w:hint="eastAsia" w:ascii="仿宋" w:hAnsi="仿宋" w:eastAsia="仿宋"/>
          <w:sz w:val="32"/>
          <w:szCs w:val="32"/>
        </w:rPr>
        <w:t>二〇一九年一月十八日</w:t>
      </w:r>
    </w:p>
    <w:p w14:paraId="1A74B6B2"/>
    <w:sectPr>
      <w:footerReference r:id="rId5" w:type="default"/>
      <w:pgSz w:w="11906" w:h="16838"/>
      <w:pgMar w:top="1440" w:right="1304" w:bottom="1440"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宋体-18030">
    <w:altName w:val="Arial Unicode MS"/>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843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71D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57BC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14:paraId="47F57BC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46A4">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D679A"/>
    <w:multiLevelType w:val="singleLevel"/>
    <w:tmpl w:val="3B9D67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YjVkNTMzNjViNmI3YWEzMGFmYjkzZWUyNmM2YWEifQ=="/>
  </w:docVars>
  <w:rsids>
    <w:rsidRoot w:val="3B312687"/>
    <w:rsid w:val="0012501C"/>
    <w:rsid w:val="004C4F21"/>
    <w:rsid w:val="014B2333"/>
    <w:rsid w:val="01AB0DB0"/>
    <w:rsid w:val="01B1465F"/>
    <w:rsid w:val="028970F2"/>
    <w:rsid w:val="02A42B35"/>
    <w:rsid w:val="030E5BA8"/>
    <w:rsid w:val="037625E7"/>
    <w:rsid w:val="038D714E"/>
    <w:rsid w:val="03AD2B4F"/>
    <w:rsid w:val="048A3CC6"/>
    <w:rsid w:val="04A35D5A"/>
    <w:rsid w:val="04B66AD0"/>
    <w:rsid w:val="04D62922"/>
    <w:rsid w:val="04E40834"/>
    <w:rsid w:val="050015E6"/>
    <w:rsid w:val="060B4D8C"/>
    <w:rsid w:val="06111854"/>
    <w:rsid w:val="06164C3E"/>
    <w:rsid w:val="0618709A"/>
    <w:rsid w:val="06F55A93"/>
    <w:rsid w:val="071B5A1E"/>
    <w:rsid w:val="07201537"/>
    <w:rsid w:val="072036CD"/>
    <w:rsid w:val="07262D60"/>
    <w:rsid w:val="078D4FC7"/>
    <w:rsid w:val="07C508F7"/>
    <w:rsid w:val="07ED51B7"/>
    <w:rsid w:val="0856466F"/>
    <w:rsid w:val="08E70EBD"/>
    <w:rsid w:val="08E93727"/>
    <w:rsid w:val="097D774F"/>
    <w:rsid w:val="09D36611"/>
    <w:rsid w:val="0A0B23D4"/>
    <w:rsid w:val="0A5E62F7"/>
    <w:rsid w:val="0A816687"/>
    <w:rsid w:val="0AD33EF8"/>
    <w:rsid w:val="0B492C78"/>
    <w:rsid w:val="0B4F6E4C"/>
    <w:rsid w:val="0B9A7DA7"/>
    <w:rsid w:val="0BD66688"/>
    <w:rsid w:val="0BDF0A52"/>
    <w:rsid w:val="0BDF428A"/>
    <w:rsid w:val="0BE70982"/>
    <w:rsid w:val="0C20593C"/>
    <w:rsid w:val="0DA00086"/>
    <w:rsid w:val="0DF5734E"/>
    <w:rsid w:val="0E7E4846"/>
    <w:rsid w:val="0EA11BE1"/>
    <w:rsid w:val="0F694129"/>
    <w:rsid w:val="0F7B2A3D"/>
    <w:rsid w:val="0FF14EAA"/>
    <w:rsid w:val="10130630"/>
    <w:rsid w:val="105A35E5"/>
    <w:rsid w:val="107642CB"/>
    <w:rsid w:val="11417FF9"/>
    <w:rsid w:val="11F26AFB"/>
    <w:rsid w:val="120249AD"/>
    <w:rsid w:val="12622F62"/>
    <w:rsid w:val="12682BD7"/>
    <w:rsid w:val="127C471F"/>
    <w:rsid w:val="12D13C60"/>
    <w:rsid w:val="13676C41"/>
    <w:rsid w:val="13DE21B2"/>
    <w:rsid w:val="14606DBB"/>
    <w:rsid w:val="146A7E68"/>
    <w:rsid w:val="14750F92"/>
    <w:rsid w:val="15091263"/>
    <w:rsid w:val="1545689A"/>
    <w:rsid w:val="15524603"/>
    <w:rsid w:val="155F2BD2"/>
    <w:rsid w:val="156E7750"/>
    <w:rsid w:val="15743774"/>
    <w:rsid w:val="15C57FCD"/>
    <w:rsid w:val="1697342E"/>
    <w:rsid w:val="17D51407"/>
    <w:rsid w:val="17E620BE"/>
    <w:rsid w:val="18274DA6"/>
    <w:rsid w:val="187D0FBA"/>
    <w:rsid w:val="18BA1C9B"/>
    <w:rsid w:val="18E1549C"/>
    <w:rsid w:val="193F227E"/>
    <w:rsid w:val="196B5C1D"/>
    <w:rsid w:val="19E07497"/>
    <w:rsid w:val="19F5452A"/>
    <w:rsid w:val="1A445E9A"/>
    <w:rsid w:val="1A8B2941"/>
    <w:rsid w:val="1B7A64CD"/>
    <w:rsid w:val="1BE30E7C"/>
    <w:rsid w:val="1BF172F7"/>
    <w:rsid w:val="1C7B16E8"/>
    <w:rsid w:val="1D6D79D4"/>
    <w:rsid w:val="1DB805A6"/>
    <w:rsid w:val="1DFA7A95"/>
    <w:rsid w:val="1E2D581C"/>
    <w:rsid w:val="1E7B5044"/>
    <w:rsid w:val="1ED70306"/>
    <w:rsid w:val="1F444EAD"/>
    <w:rsid w:val="1F7813A5"/>
    <w:rsid w:val="1F8C5161"/>
    <w:rsid w:val="1FF9574F"/>
    <w:rsid w:val="205E1318"/>
    <w:rsid w:val="20926F33"/>
    <w:rsid w:val="21C40048"/>
    <w:rsid w:val="221867BF"/>
    <w:rsid w:val="22AC6FC3"/>
    <w:rsid w:val="232A202A"/>
    <w:rsid w:val="232E7275"/>
    <w:rsid w:val="23366747"/>
    <w:rsid w:val="236A1727"/>
    <w:rsid w:val="23BD6F81"/>
    <w:rsid w:val="2481749B"/>
    <w:rsid w:val="249A2CE7"/>
    <w:rsid w:val="264522D6"/>
    <w:rsid w:val="267B149E"/>
    <w:rsid w:val="27106ABB"/>
    <w:rsid w:val="272400A9"/>
    <w:rsid w:val="279E32E2"/>
    <w:rsid w:val="27A744A3"/>
    <w:rsid w:val="27BD6E53"/>
    <w:rsid w:val="27BE30DB"/>
    <w:rsid w:val="285F3C95"/>
    <w:rsid w:val="286B356E"/>
    <w:rsid w:val="289E532C"/>
    <w:rsid w:val="29625155"/>
    <w:rsid w:val="297C0840"/>
    <w:rsid w:val="2ACF317E"/>
    <w:rsid w:val="2B552DA3"/>
    <w:rsid w:val="2B823D47"/>
    <w:rsid w:val="2BAB1B47"/>
    <w:rsid w:val="2BB711C5"/>
    <w:rsid w:val="2C1D64EB"/>
    <w:rsid w:val="2C2369F0"/>
    <w:rsid w:val="2C5A2D53"/>
    <w:rsid w:val="2C7E2151"/>
    <w:rsid w:val="2DB408B2"/>
    <w:rsid w:val="2DFB3E7A"/>
    <w:rsid w:val="2E6D64EB"/>
    <w:rsid w:val="2EA52AB3"/>
    <w:rsid w:val="2EBD34CA"/>
    <w:rsid w:val="2F4173BD"/>
    <w:rsid w:val="2F5502CF"/>
    <w:rsid w:val="2F8A18F7"/>
    <w:rsid w:val="2F964061"/>
    <w:rsid w:val="2FD32DAA"/>
    <w:rsid w:val="2FED3DDE"/>
    <w:rsid w:val="30197097"/>
    <w:rsid w:val="310616C9"/>
    <w:rsid w:val="310C36FD"/>
    <w:rsid w:val="31492C9C"/>
    <w:rsid w:val="319C5BA2"/>
    <w:rsid w:val="31AB41EF"/>
    <w:rsid w:val="31AD0FE7"/>
    <w:rsid w:val="31D056DF"/>
    <w:rsid w:val="326D5B62"/>
    <w:rsid w:val="32797E48"/>
    <w:rsid w:val="32C03252"/>
    <w:rsid w:val="32DA4818"/>
    <w:rsid w:val="32F33E63"/>
    <w:rsid w:val="330E16B9"/>
    <w:rsid w:val="332D640E"/>
    <w:rsid w:val="33504943"/>
    <w:rsid w:val="33C57707"/>
    <w:rsid w:val="33E37105"/>
    <w:rsid w:val="340A1F85"/>
    <w:rsid w:val="34255B81"/>
    <w:rsid w:val="34AF3F0E"/>
    <w:rsid w:val="34D43CD0"/>
    <w:rsid w:val="351348E2"/>
    <w:rsid w:val="35721428"/>
    <w:rsid w:val="359125F6"/>
    <w:rsid w:val="35B51BDD"/>
    <w:rsid w:val="36E76934"/>
    <w:rsid w:val="37427FA5"/>
    <w:rsid w:val="37506B16"/>
    <w:rsid w:val="378A2C7C"/>
    <w:rsid w:val="37FD5971"/>
    <w:rsid w:val="38F42107"/>
    <w:rsid w:val="39603780"/>
    <w:rsid w:val="397A2BE1"/>
    <w:rsid w:val="3A436F4F"/>
    <w:rsid w:val="3A7906C6"/>
    <w:rsid w:val="3ACA2A5F"/>
    <w:rsid w:val="3AD96793"/>
    <w:rsid w:val="3B003EBC"/>
    <w:rsid w:val="3B1F485C"/>
    <w:rsid w:val="3B312687"/>
    <w:rsid w:val="3B7211BE"/>
    <w:rsid w:val="3B731FCC"/>
    <w:rsid w:val="3B795144"/>
    <w:rsid w:val="3B864ED1"/>
    <w:rsid w:val="3C5E238A"/>
    <w:rsid w:val="3C6A42C7"/>
    <w:rsid w:val="3CD935F6"/>
    <w:rsid w:val="3E4549B6"/>
    <w:rsid w:val="3EDE07AC"/>
    <w:rsid w:val="3EEC4AE9"/>
    <w:rsid w:val="3F4B2939"/>
    <w:rsid w:val="3FC61547"/>
    <w:rsid w:val="3FDB351D"/>
    <w:rsid w:val="40BF73E4"/>
    <w:rsid w:val="40C71888"/>
    <w:rsid w:val="40DA6185"/>
    <w:rsid w:val="4130404F"/>
    <w:rsid w:val="41426A67"/>
    <w:rsid w:val="41492DC7"/>
    <w:rsid w:val="417150F1"/>
    <w:rsid w:val="41B15A25"/>
    <w:rsid w:val="42C348C3"/>
    <w:rsid w:val="447601AD"/>
    <w:rsid w:val="45A40EA7"/>
    <w:rsid w:val="45BD62D5"/>
    <w:rsid w:val="45C17FDC"/>
    <w:rsid w:val="46E82350"/>
    <w:rsid w:val="46F90C4F"/>
    <w:rsid w:val="474E6E7B"/>
    <w:rsid w:val="486A0C2C"/>
    <w:rsid w:val="487D7453"/>
    <w:rsid w:val="48A878C4"/>
    <w:rsid w:val="493B14CD"/>
    <w:rsid w:val="495F34C7"/>
    <w:rsid w:val="496F7A3D"/>
    <w:rsid w:val="4A01410C"/>
    <w:rsid w:val="4AC001B4"/>
    <w:rsid w:val="4AD22535"/>
    <w:rsid w:val="4AE12FA7"/>
    <w:rsid w:val="4B402885"/>
    <w:rsid w:val="4BD77232"/>
    <w:rsid w:val="4BDF4013"/>
    <w:rsid w:val="4C2B52DE"/>
    <w:rsid w:val="4CDA41DA"/>
    <w:rsid w:val="4CFB4A0C"/>
    <w:rsid w:val="4D2A7B82"/>
    <w:rsid w:val="4E1249FC"/>
    <w:rsid w:val="4E99611B"/>
    <w:rsid w:val="4E9D6F78"/>
    <w:rsid w:val="4EE50DC7"/>
    <w:rsid w:val="4F492831"/>
    <w:rsid w:val="4F6F4365"/>
    <w:rsid w:val="5048508A"/>
    <w:rsid w:val="50885074"/>
    <w:rsid w:val="50897C7A"/>
    <w:rsid w:val="509E4152"/>
    <w:rsid w:val="52710871"/>
    <w:rsid w:val="52F3101D"/>
    <w:rsid w:val="53437046"/>
    <w:rsid w:val="53DC2CB2"/>
    <w:rsid w:val="558F1C4E"/>
    <w:rsid w:val="559E1404"/>
    <w:rsid w:val="563537B6"/>
    <w:rsid w:val="56524FEE"/>
    <w:rsid w:val="57A001D2"/>
    <w:rsid w:val="585B3557"/>
    <w:rsid w:val="593821ED"/>
    <w:rsid w:val="59391682"/>
    <w:rsid w:val="59453372"/>
    <w:rsid w:val="596010E4"/>
    <w:rsid w:val="5A015502"/>
    <w:rsid w:val="5AC3501F"/>
    <w:rsid w:val="5B177859"/>
    <w:rsid w:val="5B3A6642"/>
    <w:rsid w:val="5C3E7849"/>
    <w:rsid w:val="5CED038B"/>
    <w:rsid w:val="5CFB0332"/>
    <w:rsid w:val="5D056615"/>
    <w:rsid w:val="5D1202FC"/>
    <w:rsid w:val="5E097DE5"/>
    <w:rsid w:val="5E2752B2"/>
    <w:rsid w:val="5F655AC1"/>
    <w:rsid w:val="5FAB7893"/>
    <w:rsid w:val="5FFC1425"/>
    <w:rsid w:val="601A1A0C"/>
    <w:rsid w:val="607D46BC"/>
    <w:rsid w:val="60971325"/>
    <w:rsid w:val="60AD3625"/>
    <w:rsid w:val="60E459C1"/>
    <w:rsid w:val="613D5C53"/>
    <w:rsid w:val="620652E5"/>
    <w:rsid w:val="62CE5EDE"/>
    <w:rsid w:val="634D493F"/>
    <w:rsid w:val="64537FBA"/>
    <w:rsid w:val="649E3737"/>
    <w:rsid w:val="64D22082"/>
    <w:rsid w:val="65106304"/>
    <w:rsid w:val="653146D2"/>
    <w:rsid w:val="65820C16"/>
    <w:rsid w:val="65A50718"/>
    <w:rsid w:val="65BE075D"/>
    <w:rsid w:val="661425EA"/>
    <w:rsid w:val="661A5C18"/>
    <w:rsid w:val="66D01A64"/>
    <w:rsid w:val="6755564D"/>
    <w:rsid w:val="67C06C8B"/>
    <w:rsid w:val="67CE6883"/>
    <w:rsid w:val="67E37330"/>
    <w:rsid w:val="67F66F80"/>
    <w:rsid w:val="68346B00"/>
    <w:rsid w:val="69073308"/>
    <w:rsid w:val="699919F5"/>
    <w:rsid w:val="69D267D9"/>
    <w:rsid w:val="6A2A0EC3"/>
    <w:rsid w:val="6AA26D4F"/>
    <w:rsid w:val="6AEE353A"/>
    <w:rsid w:val="6B126161"/>
    <w:rsid w:val="6B2830DF"/>
    <w:rsid w:val="6B763218"/>
    <w:rsid w:val="6BA53D4E"/>
    <w:rsid w:val="6BC77F92"/>
    <w:rsid w:val="6BEE3C01"/>
    <w:rsid w:val="6C03087A"/>
    <w:rsid w:val="6C512642"/>
    <w:rsid w:val="6C8B783D"/>
    <w:rsid w:val="6CFD5405"/>
    <w:rsid w:val="6DE73118"/>
    <w:rsid w:val="6E4C4D33"/>
    <w:rsid w:val="6E512883"/>
    <w:rsid w:val="6E693964"/>
    <w:rsid w:val="6E852949"/>
    <w:rsid w:val="6ED64B1D"/>
    <w:rsid w:val="6F20754E"/>
    <w:rsid w:val="6F326C71"/>
    <w:rsid w:val="6F377B6D"/>
    <w:rsid w:val="6FA40481"/>
    <w:rsid w:val="704F56DB"/>
    <w:rsid w:val="70532813"/>
    <w:rsid w:val="70F04E45"/>
    <w:rsid w:val="713A08BE"/>
    <w:rsid w:val="71613F01"/>
    <w:rsid w:val="71C112B2"/>
    <w:rsid w:val="71CF5DB9"/>
    <w:rsid w:val="72047E18"/>
    <w:rsid w:val="72990A35"/>
    <w:rsid w:val="72C04E8C"/>
    <w:rsid w:val="72FA09B6"/>
    <w:rsid w:val="739856F9"/>
    <w:rsid w:val="741B277F"/>
    <w:rsid w:val="74725356"/>
    <w:rsid w:val="750A636A"/>
    <w:rsid w:val="7554438D"/>
    <w:rsid w:val="76D931FA"/>
    <w:rsid w:val="776342F9"/>
    <w:rsid w:val="7813399C"/>
    <w:rsid w:val="789E7482"/>
    <w:rsid w:val="78E07455"/>
    <w:rsid w:val="792518F5"/>
    <w:rsid w:val="79CD158F"/>
    <w:rsid w:val="79DA6EF3"/>
    <w:rsid w:val="7A527A86"/>
    <w:rsid w:val="7AB93EF3"/>
    <w:rsid w:val="7AC404B3"/>
    <w:rsid w:val="7AC66FBD"/>
    <w:rsid w:val="7AE4501A"/>
    <w:rsid w:val="7B300AC6"/>
    <w:rsid w:val="7B51675F"/>
    <w:rsid w:val="7B5354F9"/>
    <w:rsid w:val="7BBB1D57"/>
    <w:rsid w:val="7C403EF3"/>
    <w:rsid w:val="7C4110E3"/>
    <w:rsid w:val="7C6A287D"/>
    <w:rsid w:val="7D232627"/>
    <w:rsid w:val="7D677BA4"/>
    <w:rsid w:val="7D7D4A70"/>
    <w:rsid w:val="7EF91B8F"/>
    <w:rsid w:val="7F0B440A"/>
    <w:rsid w:val="7F981FD9"/>
    <w:rsid w:val="7FF3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style>
  <w:style w:type="paragraph" w:styleId="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6">
    <w:name w:val="toc 2"/>
    <w:basedOn w:val="1"/>
    <w:next w:val="1"/>
    <w:qFormat/>
    <w:uiPriority w:val="39"/>
    <w:pPr>
      <w:ind w:left="420" w:leftChars="200"/>
    </w:p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styleId="10">
    <w:name w:val="Strong"/>
    <w:qFormat/>
    <w:uiPriority w:val="0"/>
    <w:rPr>
      <w:b/>
      <w:bCs/>
    </w:rPr>
  </w:style>
  <w:style w:type="paragraph" w:styleId="11">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1508;&#39033;&#30446;--&#38472;&#29618;\&#32489;&#25928;&#36319;&#36394;&#39033;&#30446;\&#26943;&#26641;&#34903;&#36947;&#20840;&#24180;&#32489;&#25928;&#36319;&#36394;\&#25253;&#21578;&#21442;&#32771;\&#26376;&#22363;-&#39044;&#31639;&#25191;&#34892;&#24773;&#20917;&#34920;201712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rgbClr val="595959">
                    <a:lumMod val="65000"/>
                    <a:lumOff val="35000"/>
                  </a:srgbClr>
                </a:solidFill>
                <a:latin typeface="+mn-lt"/>
                <a:ea typeface="+mn-ea"/>
                <a:cs typeface="+mn-cs"/>
              </a:defRPr>
            </a:pPr>
            <a:r>
              <a:rPr altLang="en-US" sz="1000"/>
              <a:t>单位：万元</a:t>
            </a:r>
            <a:endParaRPr altLang="en-US" sz="1000"/>
          </a:p>
        </c:rich>
      </c:tx>
      <c:layout>
        <c:manualLayout>
          <c:xMode val="edge"/>
          <c:yMode val="edge"/>
          <c:x val="0.80875"/>
          <c:y val="0.0208333333333333"/>
        </c:manualLayout>
      </c:layout>
      <c:overlay val="0"/>
      <c:spPr>
        <a:noFill/>
        <a:ln>
          <a:noFill/>
        </a:ln>
        <a:effectLst/>
      </c:spPr>
    </c:title>
    <c:autoTitleDeleted val="0"/>
    <c:plotArea>
      <c:layout/>
      <c:barChart>
        <c:barDir val="col"/>
        <c:grouping val="clustered"/>
        <c:varyColors val="0"/>
        <c:ser>
          <c:idx val="0"/>
          <c:order val="0"/>
          <c:tx>
            <c:strRef>
              <c:f>'[月坛-预算执行情况表20171215.xlsx]Sheet1'!$F$4</c:f>
              <c:strCache>
                <c:ptCount val="1"/>
                <c:pt idx="0">
                  <c:v>预算金额</c:v>
                </c:pt>
              </c:strCache>
            </c:strRef>
          </c:tx>
          <c:spPr>
            <a:solidFill>
              <a:srgbClr val="4F81BD"/>
            </a:solidFill>
            <a:ln>
              <a:noFill/>
            </a:ln>
            <a:effectLst/>
          </c:spPr>
          <c:invertIfNegative val="0"/>
          <c:dLbls>
            <c:delete val="1"/>
          </c:dLbls>
          <c:cat>
            <c:strRef>
              <c:f>'[月坛-预算执行情况表20171215.xlsx]Sheet1'!$E$5:$E$7</c:f>
              <c:strCache>
                <c:ptCount val="3"/>
                <c:pt idx="0">
                  <c:v>基本支出</c:v>
                </c:pt>
                <c:pt idx="1">
                  <c:v>项目支出</c:v>
                </c:pt>
                <c:pt idx="2">
                  <c:v>整体支出</c:v>
                </c:pt>
              </c:strCache>
            </c:strRef>
          </c:cat>
          <c:val>
            <c:numRef>
              <c:f>'[月坛-预算执行情况表20171215.xlsx]Sheet1'!$F$5:$F$7</c:f>
              <c:numCache>
                <c:formatCode>#,##0.00</c:formatCode>
                <c:ptCount val="3"/>
                <c:pt idx="0">
                  <c:v>8376.75</c:v>
                </c:pt>
                <c:pt idx="1">
                  <c:v>29420.99</c:v>
                </c:pt>
                <c:pt idx="2">
                  <c:v>37797.74</c:v>
                </c:pt>
              </c:numCache>
            </c:numRef>
          </c:val>
        </c:ser>
        <c:ser>
          <c:idx val="1"/>
          <c:order val="1"/>
          <c:tx>
            <c:strRef>
              <c:f>'[月坛-预算执行情况表20171215.xlsx]Sheet1'!$G$4</c:f>
              <c:strCache>
                <c:ptCount val="1"/>
                <c:pt idx="0">
                  <c:v>支出金额</c:v>
                </c:pt>
              </c:strCache>
            </c:strRef>
          </c:tx>
          <c:spPr>
            <a:solidFill>
              <a:srgbClr val="C0504D"/>
            </a:solidFill>
            <a:ln>
              <a:noFill/>
            </a:ln>
            <a:effectLst/>
          </c:spPr>
          <c:invertIfNegative val="0"/>
          <c:dLbls>
            <c:delete val="1"/>
          </c:dLbls>
          <c:cat>
            <c:strRef>
              <c:f>'[月坛-预算执行情况表20171215.xlsx]Sheet1'!$E$5:$E$7</c:f>
              <c:strCache>
                <c:ptCount val="3"/>
                <c:pt idx="0">
                  <c:v>基本支出</c:v>
                </c:pt>
                <c:pt idx="1">
                  <c:v>项目支出</c:v>
                </c:pt>
                <c:pt idx="2">
                  <c:v>整体支出</c:v>
                </c:pt>
              </c:strCache>
            </c:strRef>
          </c:cat>
          <c:val>
            <c:numRef>
              <c:f>'[月坛-预算执行情况表20171215.xlsx]Sheet1'!$G$5:$G$7</c:f>
              <c:numCache>
                <c:formatCode>#,##0.00</c:formatCode>
                <c:ptCount val="3"/>
                <c:pt idx="0">
                  <c:v>8261.48</c:v>
                </c:pt>
                <c:pt idx="1">
                  <c:v>28925.36</c:v>
                </c:pt>
                <c:pt idx="2">
                  <c:v>37186.84</c:v>
                </c:pt>
              </c:numCache>
            </c:numRef>
          </c:val>
        </c:ser>
        <c:dLbls>
          <c:showLegendKey val="0"/>
          <c:showVal val="0"/>
          <c:showCatName val="0"/>
          <c:showSerName val="0"/>
          <c:showPercent val="0"/>
          <c:showBubbleSize val="0"/>
        </c:dLbls>
        <c:gapWidth val="219"/>
        <c:overlap val="-27"/>
        <c:axId val="139837034"/>
        <c:axId val="45441496"/>
      </c:barChart>
      <c:catAx>
        <c:axId val="13983703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5441496"/>
        <c:crosses val="autoZero"/>
        <c:auto val="1"/>
        <c:lblAlgn val="ctr"/>
        <c:lblOffset val="100"/>
        <c:noMultiLvlLbl val="0"/>
      </c:catAx>
      <c:valAx>
        <c:axId val="45441496"/>
        <c:scaling>
          <c:orientation val="minMax"/>
        </c:scaling>
        <c:delete val="0"/>
        <c:axPos val="l"/>
        <c:majorGridlines>
          <c:spPr>
            <a:ln w="9525" cap="flat" cmpd="sng" algn="ctr">
              <a:solidFill>
                <a:srgbClr val="D9D9D9">
                  <a:lumMod val="15000"/>
                  <a:lumOff val="85000"/>
                </a:srgb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398370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2024-07-22T02:09:00Z</dcterms:created>
  <dc:creator>zhoulin</dc:creator>
  <cp:lastModifiedBy>zhoulin</cp:lastModifiedBy>
  <dcterms:modified xsi:type="dcterms:W3CDTF">2024-07-22T02:10:26Z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8738979CC4144B6C8DFAB5E11A06ADA4_11</vt:lpwstr>
  </property>
</Properties>
</file>