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 xml:space="preserve">   </w:t>
      </w:r>
      <w:r>
        <w:rPr>
          <w:rFonts w:hint="eastAsia" w:ascii="宋体" w:hAnsi="宋体"/>
          <w:b/>
          <w:color w:val="000000"/>
          <w:sz w:val="44"/>
          <w:szCs w:val="44"/>
        </w:rPr>
        <w:t>西城区园林绿化局2018年</w:t>
      </w:r>
      <w:r>
        <w:rPr>
          <w:rFonts w:ascii="宋体" w:hAnsi="宋体"/>
          <w:b/>
          <w:color w:val="000000"/>
          <w:sz w:val="44"/>
          <w:szCs w:val="44"/>
        </w:rPr>
        <w:t>部门</w:t>
      </w:r>
      <w:r>
        <w:rPr>
          <w:rFonts w:hint="eastAsia" w:ascii="宋体" w:hAnsi="宋体"/>
          <w:b/>
          <w:color w:val="000000"/>
          <w:sz w:val="44"/>
          <w:szCs w:val="44"/>
        </w:rPr>
        <w:t>决</w:t>
      </w:r>
      <w:r>
        <w:rPr>
          <w:rFonts w:ascii="宋体" w:hAnsi="宋体"/>
          <w:b/>
          <w:color w:val="000000"/>
          <w:sz w:val="44"/>
          <w:szCs w:val="44"/>
        </w:rPr>
        <w:t>算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2018年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决</w:t>
      </w:r>
      <w:r>
        <w:rPr>
          <w:rFonts w:ascii="黑体" w:hAnsi="黑体" w:eastAsia="黑体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2018年部门决算收支及增减变化情况说明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964" w:firstLineChars="3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2018年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决</w:t>
      </w:r>
      <w:r>
        <w:rPr>
          <w:rFonts w:ascii="黑体" w:hAnsi="黑体" w:eastAsia="黑体"/>
          <w:color w:val="000000"/>
          <w:sz w:val="32"/>
          <w:szCs w:val="32"/>
        </w:rPr>
        <w:t>算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表一、部门收支决算总体情况表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表二、部门收入决算总体情况表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表三、部门支出决算总体情况表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表四、财政拨款收支决算总体情况表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表五、一般公共预算支出决算情况表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表六、一般公共预算基本支出决算情况表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表七、一般公共预算“三公”经费支出决算情况表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表八、政府性基金预算收支决算表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表九、政府性基金预算支出决算表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表十、重点项目支出绩效目标申报表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第一部分</w:t>
      </w:r>
      <w:r>
        <w:rPr>
          <w:rFonts w:ascii="楷体" w:hAns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2018年</w:t>
      </w:r>
      <w:r>
        <w:rPr>
          <w:rFonts w:ascii="楷体" w:hAnsi="楷体" w:eastAsia="楷体"/>
          <w:b/>
          <w:color w:val="000000"/>
          <w:sz w:val="36"/>
          <w:szCs w:val="36"/>
        </w:rPr>
        <w:t>部门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决</w:t>
      </w:r>
      <w:r>
        <w:rPr>
          <w:rFonts w:ascii="楷体" w:hAnsi="楷体" w:eastAsia="楷体"/>
          <w:b/>
          <w:color w:val="000000"/>
          <w:sz w:val="36"/>
          <w:szCs w:val="36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部门</w:t>
      </w:r>
      <w:r>
        <w:rPr>
          <w:rFonts w:ascii="仿宋_GB2312" w:eastAsia="仿宋_GB2312"/>
          <w:b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区园林绿化局（区绿化办）是负责本区园林绿化工作的区政府工作部门，内设6个科室。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</w:t>
      </w:r>
      <w:bookmarkStart w:id="7" w:name="_GoBack"/>
      <w:bookmarkEnd w:id="7"/>
      <w:r>
        <w:rPr>
          <w:rFonts w:hint="eastAsia" w:ascii="楷体" w:hAnsi="楷体" w:eastAsia="仿宋"/>
          <w:sz w:val="32"/>
          <w:szCs w:val="32"/>
        </w:rPr>
        <w:t>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二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人员</w:t>
      </w:r>
      <w:r>
        <w:rPr>
          <w:rFonts w:ascii="仿宋_GB2312" w:eastAsia="仿宋_GB2312"/>
          <w:b/>
          <w:color w:val="000000"/>
          <w:sz w:val="32"/>
          <w:szCs w:val="32"/>
        </w:rPr>
        <w:t>构成情况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: </w:t>
      </w:r>
      <w:r>
        <w:rPr>
          <w:rFonts w:hint="eastAsia" w:ascii="楷体" w:hAnsi="楷体" w:eastAsia="仿宋"/>
          <w:sz w:val="32"/>
          <w:szCs w:val="32"/>
        </w:rPr>
        <w:t>西城区园林绿化局实有行政人员33人；退休人员52人。</w:t>
      </w:r>
    </w:p>
    <w:p>
      <w:pPr>
        <w:spacing w:line="36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b/>
          <w:sz w:val="32"/>
          <w:szCs w:val="32"/>
        </w:rPr>
        <w:t>部门汇总编制决算所属二级预算单位个数及相关情况说明:</w:t>
      </w:r>
      <w:r>
        <w:rPr>
          <w:rFonts w:hint="eastAsia" w:ascii="仿宋" w:hAnsi="仿宋" w:eastAsia="仿宋" w:cs="Times New Roman"/>
          <w:sz w:val="32"/>
          <w:szCs w:val="32"/>
        </w:rPr>
        <w:t>我局部门决算仅含本级,无下属二级单位</w:t>
      </w:r>
    </w:p>
    <w:p>
      <w:pPr>
        <w:spacing w:line="360" w:lineRule="auto"/>
        <w:ind w:firstLine="556"/>
        <w:rPr>
          <w:rFonts w:ascii="楷体" w:hAnsi="楷体" w:eastAsia="仿宋"/>
          <w:sz w:val="32"/>
          <w:szCs w:val="32"/>
        </w:rPr>
      </w:pPr>
    </w:p>
    <w:p>
      <w:pPr>
        <w:spacing w:line="360" w:lineRule="auto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2018年部门决算收支及增减变化情况说明</w:t>
      </w:r>
    </w:p>
    <w:p>
      <w:pPr>
        <w:spacing w:line="360" w:lineRule="auto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(一)收入决算说明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2018年收入决算1760.99万元，比年初一般公共预算财政拨款预算1603.98万元增加157.01万元,增长9.79 %，主要是首绿委下达项目指标所致。其中：一般公共预算财政拨款1760.99万元，政府性基金预算财政拨款0万元。</w:t>
      </w:r>
    </w:p>
    <w:p>
      <w:pPr>
        <w:spacing w:line="360" w:lineRule="auto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(二)支出决算说明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2018年支出决算按用途划分：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1、2018年一般公共预算财政拨款支出1760.99万元,比年初预算1603.98万元增加157.01万元,增长9.79 %。其中：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（1）基本支出决算1200.05万元，比年初预算1144.19万元增加55.86万元，增长4.88%。主要原因是调整人员经费所致。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（2）项目支出决算560.94万元,比年初预算459.79万元增加101.15万元,增长21.99 %。主要原因是首绿委下达项目指标所致。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2、政府性基金预算财政拨款支出0万元。</w:t>
      </w:r>
      <w:r>
        <w:rPr>
          <w:rFonts w:hint="eastAsia" w:ascii="仿宋" w:hAnsi="仿宋" w:eastAsia="仿宋"/>
          <w:sz w:val="30"/>
          <w:szCs w:val="30"/>
        </w:rPr>
        <w:t>（1）基本支出决算0万元。（2）项目支出决算0万元。</w:t>
      </w:r>
    </w:p>
    <w:p>
      <w:pPr>
        <w:spacing w:line="360" w:lineRule="auto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</w:t>
      </w:r>
      <w:r>
        <w:rPr>
          <w:rFonts w:ascii="仿宋_GB2312" w:eastAsia="仿宋_GB2312"/>
          <w:b/>
          <w:color w:val="000000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="320" w:firstLineChars="100"/>
        <w:rPr>
          <w:rFonts w:ascii="仿宋" w:hAnsi="仿宋" w:eastAsia="仿宋"/>
          <w:sz w:val="32"/>
          <w:szCs w:val="32"/>
        </w:rPr>
      </w:pPr>
      <w:bookmarkStart w:id="0" w:name="_Toc25448"/>
      <w:bookmarkStart w:id="1" w:name="_Toc17531"/>
      <w:r>
        <w:rPr>
          <w:rFonts w:hint="eastAsia" w:ascii="仿宋" w:hAnsi="仿宋" w:eastAsia="仿宋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在职、离退休人员支出、个人和家庭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补助支出、公用支出</w:t>
      </w:r>
      <w:bookmarkStart w:id="2" w:name="_Toc7025"/>
      <w:bookmarkStart w:id="3" w:name="_Toc3237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（二）项目支出主要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城乡手拉手 共建新农村” 活动</w:t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危险性林木有害生物防控等。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北京市西城区园林绿化局(本级)部门预算中因公出国（境）费、公务接待费、公务用车购置及运行维护费的支出单位包括0个所属单位。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750" w:firstLineChars="2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2018年部门决算“三公”经费财政拨款支出16900元，</w:t>
      </w:r>
      <w:r>
        <w:rPr>
          <w:rFonts w:hint="eastAsia" w:ascii="仿宋" w:hAnsi="仿宋" w:eastAsia="仿宋" w:cs="仿宋_GB2312"/>
          <w:sz w:val="30"/>
          <w:szCs w:val="30"/>
        </w:rPr>
        <w:t>比2017年67030.25元降低了</w:t>
      </w:r>
      <w:r>
        <w:rPr>
          <w:rFonts w:hint="eastAsia" w:ascii="仿宋" w:hAnsi="仿宋" w:eastAsia="仿宋" w:cs="Times New Roman"/>
          <w:sz w:val="30"/>
          <w:szCs w:val="30"/>
        </w:rPr>
        <w:t>50130.25</w:t>
      </w:r>
      <w:r>
        <w:rPr>
          <w:rFonts w:hint="eastAsia" w:ascii="仿宋" w:hAnsi="仿宋" w:eastAsia="仿宋" w:cs="仿宋_GB2312"/>
          <w:sz w:val="30"/>
          <w:szCs w:val="30"/>
        </w:rPr>
        <w:t>元。其中：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（1）因公出国（境）费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2018年财政拨款因公出国（境）费支出16900元，</w:t>
      </w:r>
      <w:r>
        <w:rPr>
          <w:rFonts w:hint="eastAsia" w:ascii="仿宋" w:hAnsi="仿宋" w:eastAsia="仿宋" w:cs="仿宋_GB2312"/>
          <w:sz w:val="30"/>
          <w:szCs w:val="30"/>
        </w:rPr>
        <w:t>比2017年</w:t>
      </w:r>
      <w:r>
        <w:rPr>
          <w:rFonts w:hint="eastAsia" w:ascii="仿宋" w:hAnsi="仿宋" w:eastAsia="仿宋" w:cs="Times New Roman"/>
          <w:sz w:val="30"/>
          <w:szCs w:val="30"/>
        </w:rPr>
        <w:t>47163.6</w:t>
      </w:r>
      <w:r>
        <w:rPr>
          <w:rFonts w:hint="eastAsia" w:ascii="仿宋" w:hAnsi="仿宋" w:eastAsia="仿宋" w:cs="仿宋_GB2312"/>
          <w:sz w:val="30"/>
          <w:szCs w:val="30"/>
        </w:rPr>
        <w:t>元降低了30263.6元,因出国任务减少所致。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因公出国（境）团组情况：本年度本单位使用公共预算财政拨款安排的出国（境）团组0个，参加其他单位组织的出国（境）团组1个；全年因公出国（境）累计1人次。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（2）公务接待费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2018年财政拨款公务接待费支出0元。</w:t>
      </w:r>
      <w:r>
        <w:rPr>
          <w:rFonts w:hint="eastAsia" w:ascii="仿宋" w:hAnsi="仿宋" w:eastAsia="仿宋" w:cs="仿宋_GB2312"/>
          <w:sz w:val="30"/>
          <w:szCs w:val="30"/>
        </w:rPr>
        <w:t>本年度本单位使用公共预算财政拨款支出的国内公务接待0批次， 0人次，共0元；外事接待0批次，0人次，0元。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2017年财政拨款公务接待费支出0元，持平。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（3）公务用车购置及运行维护费</w:t>
      </w:r>
    </w:p>
    <w:p>
      <w:pPr>
        <w:spacing w:line="360" w:lineRule="auto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2018年财政拨款公务用车购置及运行维护费支出0</w:t>
      </w:r>
      <w:r>
        <w:rPr>
          <w:rFonts w:hint="eastAsia" w:ascii="仿宋" w:hAnsi="仿宋" w:eastAsia="仿宋" w:cs="仿宋_GB2312"/>
          <w:sz w:val="30"/>
          <w:szCs w:val="30"/>
        </w:rPr>
        <w:t>元，其中公务用车购置费0元，公务用车运行维护费</w:t>
      </w:r>
      <w:r>
        <w:rPr>
          <w:rFonts w:hint="eastAsia" w:ascii="仿宋" w:hAnsi="仿宋" w:eastAsia="仿宋" w:cs="Times New Roman"/>
          <w:sz w:val="30"/>
          <w:szCs w:val="30"/>
        </w:rPr>
        <w:t>0</w:t>
      </w:r>
      <w:r>
        <w:rPr>
          <w:rFonts w:hint="eastAsia" w:ascii="仿宋" w:hAnsi="仿宋" w:eastAsia="仿宋" w:cs="仿宋_GB2312"/>
          <w:sz w:val="30"/>
          <w:szCs w:val="30"/>
        </w:rPr>
        <w:t>元,比2017年</w:t>
      </w:r>
      <w:r>
        <w:rPr>
          <w:rFonts w:hint="eastAsia" w:ascii="仿宋" w:hAnsi="仿宋" w:eastAsia="仿宋" w:cs="Times New Roman"/>
          <w:sz w:val="30"/>
          <w:szCs w:val="30"/>
        </w:rPr>
        <w:t>19866.65</w:t>
      </w:r>
      <w:r>
        <w:rPr>
          <w:rFonts w:hint="eastAsia" w:ascii="仿宋" w:hAnsi="仿宋" w:eastAsia="仿宋" w:cs="仿宋_GB2312"/>
          <w:sz w:val="30"/>
          <w:szCs w:val="30"/>
        </w:rPr>
        <w:t>降低19866.65元，</w:t>
      </w:r>
      <w:r>
        <w:rPr>
          <w:rFonts w:hint="eastAsia" w:ascii="仿宋" w:hAnsi="仿宋" w:eastAsia="仿宋"/>
          <w:sz w:val="30"/>
          <w:szCs w:val="30"/>
        </w:rPr>
        <w:t>主要原因是2018年根据区车改办统一安排,将公务用车调拨出本单位集中管理</w:t>
      </w:r>
      <w:r>
        <w:rPr>
          <w:rFonts w:hint="eastAsia" w:ascii="仿宋" w:hAnsi="仿宋" w:eastAsia="仿宋" w:cs="Times New Roman"/>
          <w:sz w:val="30"/>
          <w:szCs w:val="30"/>
        </w:rPr>
        <w:t>。本年度</w:t>
      </w:r>
      <w:r>
        <w:rPr>
          <w:rFonts w:hint="eastAsia" w:ascii="仿宋" w:hAnsi="仿宋" w:eastAsia="仿宋" w:cs="仿宋_GB2312"/>
          <w:sz w:val="30"/>
          <w:szCs w:val="30"/>
        </w:rPr>
        <w:t>使用公共预算财政拨款购置公务用车0辆，年末公共预算财政拨款开支运行维护费的公务用车保有量0辆。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 xml:space="preserve"> 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2018年本部门（无下属单位）履行一般行政事业管理职能、维持机关运行，用于一般公共预算安排的行政运行经费，合计</w:t>
      </w:r>
      <w:r>
        <w:rPr>
          <w:rFonts w:hint="eastAsia" w:ascii="仿宋" w:hAnsi="仿宋" w:eastAsia="仿宋"/>
          <w:sz w:val="30"/>
          <w:szCs w:val="30"/>
        </w:rPr>
        <w:t>120.64</w:t>
      </w:r>
      <w:r>
        <w:rPr>
          <w:rFonts w:hint="eastAsia" w:ascii="仿宋" w:hAnsi="仿宋" w:eastAsia="仿宋" w:cs="Times New Roman"/>
          <w:sz w:val="30"/>
          <w:szCs w:val="30"/>
        </w:rPr>
        <w:t>万元。比2017年118.25万元增加了2.39万元，</w:t>
      </w:r>
      <w:r>
        <w:rPr>
          <w:rFonts w:hint="eastAsia" w:ascii="仿宋" w:hAnsi="仿宋" w:eastAsia="仿宋"/>
          <w:kern w:val="0"/>
          <w:sz w:val="30"/>
          <w:szCs w:val="30"/>
        </w:rPr>
        <w:t>增长2.02 %，主要原因是维修费略有增加所致。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2018年涉及政府采购项目6个，决算资金65.19万元。</w:t>
      </w:r>
    </w:p>
    <w:p>
      <w:pPr>
        <w:spacing w:line="360" w:lineRule="auto"/>
        <w:ind w:firstLine="470" w:firstLineChars="147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2018年涉及政府购买服务项目3个，决算资金81.3万元。其中：E01法律服务1个，金额10万元；E12后勤服务2个，金额合计71.3万元。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2018年填报绩效目标的重点项目为2个，</w:t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城乡手拉手 共建新农村” 活动</w:t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危险性林木有害生物防控。</w:t>
      </w: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2018年区财政局组织对我局</w:t>
      </w:r>
      <w:r>
        <w:rPr>
          <w:rFonts w:hint="eastAsia" w:ascii="仿宋" w:hAnsi="仿宋" w:eastAsia="仿宋" w:cs="仿宋"/>
          <w:sz w:val="32"/>
          <w:szCs w:val="32"/>
        </w:rPr>
        <w:t>2017年度部门预算整体支出绩效评价，评定级别为“优秀”。</w:t>
      </w: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2019年按照财政局的工作要求,我局委托事务所对</w:t>
      </w:r>
      <w:r>
        <w:rPr>
          <w:rFonts w:hint="eastAsia" w:ascii="仿宋" w:hAnsi="仿宋" w:eastAsia="仿宋" w:cs="仿宋"/>
          <w:sz w:val="32"/>
          <w:szCs w:val="32"/>
        </w:rPr>
        <w:t>2018年度部门预算整体支出绩效评价，评定级别为“优秀”。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2018年我局不属于国有资本经营预算拨款收支范围。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国有资产总计322.99万元,其中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eastAsia="仿宋" w:cs="Times New Roman"/>
          <w:sz w:val="30"/>
        </w:rPr>
        <w:t>183.63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车辆0台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0万元；单位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0台（套）、0万元，单位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360" w:lineRule="auto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6"/>
          <w:szCs w:val="36"/>
        </w:rPr>
        <w:t xml:space="preserve"> 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第二部分</w:t>
      </w:r>
      <w:r>
        <w:rPr>
          <w:rFonts w:ascii="楷体" w:hAns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2018年</w:t>
      </w:r>
      <w:r>
        <w:rPr>
          <w:rFonts w:ascii="楷体" w:hAnsi="楷体" w:eastAsia="楷体"/>
          <w:b/>
          <w:color w:val="000000"/>
          <w:sz w:val="36"/>
          <w:szCs w:val="36"/>
        </w:rPr>
        <w:t>部门决算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表</w:t>
      </w:r>
    </w:p>
    <w:tbl>
      <w:tblPr>
        <w:tblStyle w:val="5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900"/>
        <w:gridCol w:w="246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表一：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部门收支决算总体情况表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1,869,150.00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12,520,570.16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1,412,922.00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  <w:sectPr>
          <w:footerReference r:id="rId3" w:type="default"/>
          <w:pgSz w:w="11907" w:h="16840"/>
          <w:pgMar w:top="1077" w:right="1304" w:bottom="851" w:left="1304" w:header="851" w:footer="992" w:gutter="0"/>
          <w:cols w:space="720" w:num="1"/>
          <w:docGrid w:linePitch="312" w:charSpace="0"/>
        </w:sectPr>
      </w:pPr>
    </w:p>
    <w:tbl>
      <w:tblPr>
        <w:tblStyle w:val="5"/>
        <w:tblW w:w="248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536"/>
        <w:gridCol w:w="1640"/>
        <w:gridCol w:w="700"/>
        <w:gridCol w:w="1580"/>
        <w:gridCol w:w="1080"/>
        <w:gridCol w:w="840"/>
        <w:gridCol w:w="680"/>
        <w:gridCol w:w="680"/>
        <w:gridCol w:w="1080"/>
        <w:gridCol w:w="64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143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0"/>
              <w:gridCol w:w="3340"/>
              <w:gridCol w:w="1640"/>
              <w:gridCol w:w="700"/>
              <w:gridCol w:w="1580"/>
              <w:gridCol w:w="927"/>
              <w:gridCol w:w="993"/>
              <w:gridCol w:w="680"/>
              <w:gridCol w:w="680"/>
              <w:gridCol w:w="1080"/>
              <w:gridCol w:w="640"/>
              <w:gridCol w:w="10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3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 xml:space="preserve">表二：                                 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部门收入决算总体情况表             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单位：元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44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上年结转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一般公共预算拨款收入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政府性基金预算拨款收入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上级补助收入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经营收入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附属单位上缴收入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其他收入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用事业基金弥补收支差额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科目编码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6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17,609,946.70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17,609,946.70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社会保障和就业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1869150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Arial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869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20805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行政事业单位离退休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1869150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869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2080501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归口管理的行政单位离退休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800040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040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2080505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机关事业单位基本养老保险缴费支出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763579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763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579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2080506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机关事业单位职业年金缴费支出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305531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531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医疗卫生与计划生育支出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797304.54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797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304.54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21011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行政事业单位医疗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797304.54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797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304.54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2101101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行政单位医疗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797304.54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797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304.54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城乡社区支出</w:t>
                  </w:r>
                </w:p>
              </w:tc>
              <w:tc>
                <w:tcPr>
                  <w:tcW w:w="16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12520570.16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520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570.16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21205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城乡社区环境卫生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12520570.16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520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570.16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2120501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0"/>
                      <w:szCs w:val="20"/>
                    </w:rPr>
                    <w:t>城乡社区环境卫生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12520570.16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520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570.16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农林水支出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1010000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010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21302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林业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1010000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010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2130299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其他林业支出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1010000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010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000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住房保障支出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1412922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922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22102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住房改革支出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1412922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412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922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2210201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 住房公积金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772257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772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257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0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2210203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 购房补贴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640665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640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665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  <w:sectPr>
          <w:pgSz w:w="16840" w:h="11907" w:orient="landscape"/>
          <w:pgMar w:top="737" w:right="1644" w:bottom="737" w:left="851" w:header="851" w:footer="992" w:gutter="0"/>
          <w:cols w:space="720" w:num="1"/>
          <w:docGrid w:linePitch="312" w:charSpace="0"/>
        </w:sectPr>
      </w:pPr>
    </w:p>
    <w:p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 xml:space="preserve">   表三：</w:t>
      </w:r>
    </w:p>
    <w:tbl>
      <w:tblPr>
        <w:tblStyle w:val="5"/>
        <w:tblW w:w="13986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00"/>
        <w:gridCol w:w="1740"/>
        <w:gridCol w:w="1840"/>
        <w:gridCol w:w="1580"/>
        <w:gridCol w:w="1840"/>
        <w:gridCol w:w="19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部门支出决算总体情况表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行政事业单位离退休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归口管理的行政单位离退休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机关事业单位职业年金缴费支出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304.54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行政事业单位医疗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304.54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304.54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570.16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160.76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409.4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城乡社区环境卫生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12520570.16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7921160.76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409.4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570.16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160.76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409.4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林业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2130299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其他林业支出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住房改革支出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购房补贴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946.7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537.3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409.4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  <w:sectPr>
          <w:pgSz w:w="16840" w:h="11907" w:orient="landscape"/>
          <w:pgMar w:top="737" w:right="1077" w:bottom="737" w:left="851" w:header="851" w:footer="992" w:gutter="0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tbl>
      <w:tblPr>
        <w:tblStyle w:val="5"/>
        <w:tblW w:w="14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10"/>
        <w:gridCol w:w="1660"/>
        <w:gridCol w:w="2766"/>
        <w:gridCol w:w="454"/>
        <w:gridCol w:w="1389"/>
        <w:gridCol w:w="1651"/>
        <w:gridCol w:w="1080"/>
        <w:gridCol w:w="108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财政拨款收支决算总体情况表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1,869,150.00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（九）医疗卫生与计划生育支出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（十一）城乡社区支出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12,520,570.16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（十二）农林水支出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（十九）住房保障支出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1,412,922.00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2332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27"/>
        <w:gridCol w:w="2268"/>
        <w:gridCol w:w="241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表五：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一般公共预算支出决算情况表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功能分类项级科目名称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1,869,150.00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1,869,150.00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行政事业单位离退休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1,869,150.00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1,869,150.00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800,040.00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800,040.00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763,579.00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763,579.00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305,531.00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305,531.00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行政事业单位医疗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797,304.54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12,520,570.16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7,921,160.76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4,599,409.40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城乡社区环境卫生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12,520,570.16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7,921,160.76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4,599,409.40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12,520,570.16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7,921,160.76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4,599,409.40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21302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林业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2130299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其他林业支出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1,010,000.00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1,412,922.00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1,412,922.00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住房改革支出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1,412,922.00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1,412,922.00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住房公积金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772,257.00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772,257.00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购房补贴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640,665.00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640,665.00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17,609,946.70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12,000,537.30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5,609,406.40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  <w:sectPr>
          <w:pgSz w:w="16838" w:h="11906" w:orient="landscape"/>
          <w:pgMar w:top="860" w:right="1440" w:bottom="663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W w:w="20841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440"/>
        <w:gridCol w:w="2260"/>
        <w:gridCol w:w="2460"/>
        <w:gridCol w:w="885"/>
        <w:gridCol w:w="2240"/>
        <w:gridCol w:w="920"/>
        <w:gridCol w:w="2320"/>
        <w:gridCol w:w="1520"/>
        <w:gridCol w:w="154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表六：</w:t>
            </w:r>
          </w:p>
          <w:tbl>
            <w:tblPr>
              <w:tblStyle w:val="5"/>
              <w:tblW w:w="1057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"/>
              <w:gridCol w:w="2050"/>
              <w:gridCol w:w="850"/>
              <w:gridCol w:w="2410"/>
              <w:gridCol w:w="1516"/>
              <w:gridCol w:w="1516"/>
              <w:gridCol w:w="141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05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一般公共预算基本支出决算情况表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2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政府经济分类代码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政府经济分类名称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部门经济分类代码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部门经济分类名称</w:t>
                  </w:r>
                </w:p>
              </w:tc>
              <w:tc>
                <w:tcPr>
                  <w:tcW w:w="151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51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人员经费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公用经费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50905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离退休费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30302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退休费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295,934.00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295,934.00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机关事业单位基本养老保险缴费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763,579.00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763,579.00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职业年金缴费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305,531.00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305,531.00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50999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6"/>
                      <w:szCs w:val="16"/>
                    </w:rPr>
                    <w:t>其他对个人和家庭的补助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30304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抚恤金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472,616.00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472,616.00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50999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6"/>
                      <w:szCs w:val="16"/>
                    </w:rPr>
                    <w:t>其他对个人和家庭的补助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30399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其他对个人和家庭的补助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600.00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其他社会保障缴费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858,608.16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858,608.16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基本工资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1,518,401.00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1,518,401.00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津贴补贴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4,519,734.00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4,519,734.00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奖金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1,286,847.00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1,286,847.00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50103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772,257.00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772,257.00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其他交通费用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294,240.00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294,240.00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税金及附加费用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93,670.10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93,670.10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76,587.00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76,587.00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手续费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443.00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443.00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水费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2,394.00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2,394.00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74,800.00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74,800.00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邮电费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22,186.07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22,186.07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取暖费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93,238.99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93,238.99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差旅费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960.00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960.00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维修（护）费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维修（护）费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53,383.00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53,383.00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委托业务费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80,000.00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80,000.00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工会经费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86,299.44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86,299.44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福利费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62,318.44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62,318.44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其他商品和服务支出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其他商品和服务支出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265,910.10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265,910.10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3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总计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12,000,537.30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10,794,107.16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1,206,430.14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435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405" w:hRule="atLeast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一般公共预算“三公”经费支出决算情况表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405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2018年决算数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2017年决算数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16,900.00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47,163.60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19,866.65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19,866.65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836" w:type="dxa"/>
          <w:wAfter w:w="10845" w:type="dxa"/>
          <w:trHeight w:val="525" w:hRule="atLeast"/>
        </w:trPr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16,900.00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67,030.25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  <w:sectPr>
          <w:pgSz w:w="11906" w:h="16838"/>
          <w:pgMar w:top="851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24"/>
          <w:szCs w:val="24"/>
        </w:rPr>
        <w:t>表八</w:t>
      </w:r>
      <w:r>
        <w:rPr>
          <w:rFonts w:hint="eastAsia" w:ascii="仿宋_GB2312" w:hAnsi="楷体" w:eastAsia="仿宋_GB2312"/>
          <w:b/>
          <w:sz w:val="32"/>
          <w:szCs w:val="32"/>
        </w:rPr>
        <w:t xml:space="preserve">、           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政府性基金预算收支决算表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2018年度                                  </w:t>
      </w:r>
      <w:r>
        <w:rPr>
          <w:rFonts w:hint="eastAsia" w:ascii="宋体" w:hAnsi="宋体" w:eastAsia="宋体" w:cs="Arial"/>
          <w:color w:val="000000"/>
          <w:kern w:val="0"/>
          <w:sz w:val="20"/>
          <w:szCs w:val="20"/>
        </w:rPr>
        <w:t>单位：元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</w:t>
      </w:r>
    </w:p>
    <w:tbl>
      <w:tblPr>
        <w:tblStyle w:val="5"/>
        <w:tblW w:w="166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0"/>
        <w:gridCol w:w="6"/>
        <w:gridCol w:w="436"/>
        <w:gridCol w:w="318"/>
        <w:gridCol w:w="1556"/>
        <w:gridCol w:w="261"/>
        <w:gridCol w:w="175"/>
        <w:gridCol w:w="582"/>
        <w:gridCol w:w="269"/>
        <w:gridCol w:w="858"/>
        <w:gridCol w:w="236"/>
        <w:gridCol w:w="236"/>
        <w:gridCol w:w="87"/>
        <w:gridCol w:w="557"/>
        <w:gridCol w:w="152"/>
        <w:gridCol w:w="767"/>
        <w:gridCol w:w="472"/>
        <w:gridCol w:w="37"/>
        <w:gridCol w:w="199"/>
        <w:gridCol w:w="368"/>
        <w:gridCol w:w="192"/>
        <w:gridCol w:w="576"/>
        <w:gridCol w:w="104"/>
        <w:gridCol w:w="829"/>
        <w:gridCol w:w="11"/>
        <w:gridCol w:w="686"/>
        <w:gridCol w:w="590"/>
        <w:gridCol w:w="354"/>
        <w:gridCol w:w="236"/>
        <w:gridCol w:w="402"/>
        <w:gridCol w:w="301"/>
        <w:gridCol w:w="283"/>
        <w:gridCol w:w="1137"/>
        <w:gridCol w:w="1134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年初结转和结余</w:t>
            </w:r>
          </w:p>
        </w:tc>
        <w:tc>
          <w:tcPr>
            <w:tcW w:w="2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本年收入</w:t>
            </w:r>
          </w:p>
        </w:tc>
        <w:tc>
          <w:tcPr>
            <w:tcW w:w="347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本年支出</w:t>
            </w:r>
          </w:p>
        </w:tc>
        <w:tc>
          <w:tcPr>
            <w:tcW w:w="443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年末结转和结余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支出功能分类科目编码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基本支出结转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项目支出结转和结余</w:t>
            </w:r>
          </w:p>
        </w:tc>
        <w:tc>
          <w:tcPr>
            <w:tcW w:w="559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基本支出结转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项目支出结转和结余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12" w:hRule="atLeast"/>
        </w:trPr>
        <w:tc>
          <w:tcPr>
            <w:tcW w:w="130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93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日常公用经费</w:t>
            </w:r>
          </w:p>
        </w:tc>
        <w:tc>
          <w:tcPr>
            <w:tcW w:w="69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项目支出结转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项目支出结余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615" w:hRule="atLeast"/>
        </w:trPr>
        <w:tc>
          <w:tcPr>
            <w:tcW w:w="130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58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4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款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4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4" w:type="dxa"/>
          <w:trHeight w:val="308" w:hRule="atLeast"/>
        </w:trPr>
        <w:tc>
          <w:tcPr>
            <w:tcW w:w="1308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注：不属于此项支出统计范围。</w:t>
      </w:r>
    </w:p>
    <w:p/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  <w:sectPr>
          <w:pgSz w:w="16838" w:h="11906" w:orient="landscape"/>
          <w:pgMar w:top="1797" w:right="851" w:bottom="1797" w:left="873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5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40"/>
        <w:gridCol w:w="1682"/>
        <w:gridCol w:w="1843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表九：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注：不属于此项支出统计范围。</w:t>
      </w:r>
    </w:p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pStyle w:val="2"/>
        <w:jc w:val="both"/>
      </w:pPr>
      <w:r>
        <w:rPr>
          <w:rFonts w:hint="eastAsia" w:ascii="宋体" w:hAnsi="宋体" w:cs="宋体"/>
          <w:color w:val="000000"/>
          <w:kern w:val="0"/>
          <w:sz w:val="22"/>
        </w:rPr>
        <w:t xml:space="preserve">表十：            </w:t>
      </w:r>
      <w:r>
        <w:rPr>
          <w:rFonts w:hint="eastAsia"/>
        </w:rPr>
        <w:t>项目支出绩效目标申报表</w:t>
      </w:r>
    </w:p>
    <w:p>
      <w:pPr>
        <w:spacing w:before="100" w:beforeAutospacing="1" w:after="100" w:afterAutospacing="1" w:line="264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5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748"/>
        <w:gridCol w:w="15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部门（单位）名称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北京市西城区园林绿化局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“城乡手拉手 共建新农村”活动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朱延昭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68027653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西城区槐柏树街12号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项目类型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经常性项目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项目绩效目标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完成怀柔区农村“五边”绿化资金补助；完成</w:t>
            </w:r>
            <w:r>
              <w:rPr>
                <w:rFonts w:ascii="宋体" w:hAnsi="宋体" w:eastAsia="宋体"/>
                <w:szCs w:val="21"/>
              </w:rPr>
              <w:t>延庆区</w:t>
            </w:r>
            <w:r>
              <w:rPr>
                <w:rFonts w:hint="eastAsia" w:ascii="宋体" w:hAnsi="宋体" w:eastAsia="宋体"/>
                <w:szCs w:val="21"/>
              </w:rPr>
              <w:t>世园会周边景观节点花卉布置项目。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二级指标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具体指标（指标内容、指标值）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产出数量指标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延庆区花卉布置总面积3733㎡，总计用花卉420364盆。湖北西路栽植矮牵牛、串红、孔雀草、绿叶粉海棠、红叶红海棠、常春藤、垂吊牵牛等一年生花卉，共计1138㎡。妫水街栽植串红、孔雀草、红叶红海棠、绿叶粉海棠等一年生花卉2595㎡。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怀柔区对宝山镇三块石村、长哨营乡八道河村、渤海镇渤海所村、汤河口镇卜营村、桥梓镇秦家东庄村、琉璃庙镇西湾子村6所通过首绿办验收的“五边绿化”村庄进行绿化奖励补助。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产出质量指标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延庆花卉布置达到合同中规定的标准。怀柔区农村“五边”绿化达到首都绿化办验收标准。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产出进度指标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延庆区花卉布置项目于2018年4月12日发布投标邀请函，2018年4月28日发出中选通知书。中标单位为北京那山那水那花花卉培育中心，中标金额为773662.2元。用于花卉采购。目前，该项目已经全部完工，2018年11月13日，北京那山那水那花花卉培育中心的花卉供应款已经全部付完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怀柔区农村“五边”绿化项目已于2018年12月通过首都绿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化委员会办公</w:t>
            </w: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/>
                <w:szCs w:val="21"/>
              </w:rPr>
              <w:t>验收，补助资金将于近期拨付。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产出成本指标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tabs>
                <w:tab w:val="left" w:pos="2580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向怀柔区拨付50万元</w:t>
            </w:r>
          </w:p>
          <w:p>
            <w:pPr>
              <w:tabs>
                <w:tab w:val="left" w:pos="2580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向延庆区拨付80万元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与延庆区手拉手项目的开展全面提升了延庆城区公园、道路重要节点的景观效果，打造出了特色鲜明的园艺主题城区，助力2019年世界园艺博览会。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与怀柔区手拉手项目的开展进一步美化了新农村环境，拓展西城区义务植树尽责形式，形成城乡统筹、优势互补、共建共享的绿化建设新格局。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环境效益指标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进一步拓展首都全民义务植树的尽责形式，组织和动员首都地区各单位积极参与新农村绿化美化建设，绿化美化环境。美化农村环境，为延庆区举办2019年世园会和2022年冬奥会打造出了特色鲜明的城区绿化环境。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可持续影响指标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逐步形成城乡统筹、优势互补、共建共享的新农村绿化建设新格局。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服务对象满意度指标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此项目得到了怀柔延庆两区居民群众的好评。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其他说明的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  <w:bookmarkStart w:id="4" w:name="_Toc380500627"/>
      <w:bookmarkStart w:id="5" w:name="_Toc396293503"/>
      <w:bookmarkStart w:id="6" w:name="_Toc380588472"/>
      <w:r>
        <w:rPr>
          <w:rFonts w:hint="eastAsia"/>
        </w:rPr>
        <w:t>项目支出绩效目标申报表</w:t>
      </w:r>
      <w:bookmarkEnd w:id="4"/>
      <w:bookmarkEnd w:id="5"/>
      <w:bookmarkEnd w:id="6"/>
    </w:p>
    <w:p>
      <w:pPr>
        <w:spacing w:before="100" w:beforeAutospacing="1" w:after="100" w:afterAutospacing="1" w:line="264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     2018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年度）</w:t>
      </w:r>
    </w:p>
    <w:tbl>
      <w:tblPr>
        <w:tblStyle w:val="5"/>
        <w:tblW w:w="93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2126"/>
        <w:gridCol w:w="272"/>
        <w:gridCol w:w="156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部门（单位）名称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北京市西城区园林绿化局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危险性林木有害生物防控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预算金额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项目负责人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王军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68025377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单位地址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西城区槐柏树街12号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项目类型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1.大型会议培训    2.信息化系统改造类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3.宣传活动类      4.其他一般类√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项目绩效目标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过开展林木有害生物防控工作，加强西城区域内危险性林木有害生物和常规病虫害的监测测报工作；对防控工作有困难的社会单位发放防控物资，并开展宣传培训活动，组织全区防控动员，加强群防群治工作。确保2018年西城区不发生美国白蛾等危险性林木有害生物灾害，确保全区绿色景观完整和生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绩效指标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一级指标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二级指标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具体指标（指标内容、指标值）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产出指标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产出数量指标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做好西城区域内美国白蛾等危险性林木有害生物的监测、普查和普防工作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产出质量指标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确保2018年西城区不发生美国白蛾等危险性林木有害生物灾害，确保全区绿色景观完整和生态安全。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产出进度指标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1至12月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产出成本指标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tabs>
                <w:tab w:val="left" w:pos="2580"/>
              </w:tabs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1、购买防控物资、药品等发放社会单位，58000元。2、委托第三方对社区和街巷开展监测和普查工作等，200000元。3、制作宣传品，组织全区防控动员等12000元。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效益指标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经济效益指标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社会效益指标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加强危险性林木有害生物的监测防治及群防群治，确保全区生态安全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环境效益指标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确保2018年西城区不发生美国白蛾等危险性林木有害生物灾害，确保全区绿色景观完整。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可持续影响指标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林木有害生物扰民事件减少，市民投诉减少。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服务对象满意度指标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街道办事处满意度达到95%以上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</w:t>
            </w: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其他说明的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问题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8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/>
    <w:p/>
    <w:sectPr>
      <w:pgSz w:w="11906" w:h="16838"/>
      <w:pgMar w:top="851" w:right="1797" w:bottom="873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17"/>
    <w:rsid w:val="0009403C"/>
    <w:rsid w:val="000C1BE7"/>
    <w:rsid w:val="000C40B7"/>
    <w:rsid w:val="000C599D"/>
    <w:rsid w:val="000D524B"/>
    <w:rsid w:val="0010751A"/>
    <w:rsid w:val="00115882"/>
    <w:rsid w:val="00142867"/>
    <w:rsid w:val="001746FA"/>
    <w:rsid w:val="001B11F0"/>
    <w:rsid w:val="002165C4"/>
    <w:rsid w:val="002365C7"/>
    <w:rsid w:val="0025789C"/>
    <w:rsid w:val="0026537E"/>
    <w:rsid w:val="00272537"/>
    <w:rsid w:val="002A53DA"/>
    <w:rsid w:val="002E595D"/>
    <w:rsid w:val="00305321"/>
    <w:rsid w:val="00333792"/>
    <w:rsid w:val="003474EB"/>
    <w:rsid w:val="0035290B"/>
    <w:rsid w:val="0036215C"/>
    <w:rsid w:val="00367C7E"/>
    <w:rsid w:val="003A53BE"/>
    <w:rsid w:val="003F1FD1"/>
    <w:rsid w:val="00403F48"/>
    <w:rsid w:val="00450D6E"/>
    <w:rsid w:val="00461400"/>
    <w:rsid w:val="004969D1"/>
    <w:rsid w:val="004A1008"/>
    <w:rsid w:val="004A31D5"/>
    <w:rsid w:val="004B1773"/>
    <w:rsid w:val="004D4F7E"/>
    <w:rsid w:val="005028DC"/>
    <w:rsid w:val="0051787C"/>
    <w:rsid w:val="00522CF6"/>
    <w:rsid w:val="005415CB"/>
    <w:rsid w:val="00586DA3"/>
    <w:rsid w:val="00596646"/>
    <w:rsid w:val="005A777C"/>
    <w:rsid w:val="005C0847"/>
    <w:rsid w:val="005F1192"/>
    <w:rsid w:val="005F7645"/>
    <w:rsid w:val="0061748D"/>
    <w:rsid w:val="006422D8"/>
    <w:rsid w:val="00670017"/>
    <w:rsid w:val="006E24A4"/>
    <w:rsid w:val="007128D2"/>
    <w:rsid w:val="00715E63"/>
    <w:rsid w:val="007A2B74"/>
    <w:rsid w:val="007E4DBA"/>
    <w:rsid w:val="007E7455"/>
    <w:rsid w:val="007F18AA"/>
    <w:rsid w:val="007F714A"/>
    <w:rsid w:val="0080023F"/>
    <w:rsid w:val="0081581D"/>
    <w:rsid w:val="008300FA"/>
    <w:rsid w:val="0084523D"/>
    <w:rsid w:val="00856377"/>
    <w:rsid w:val="00860151"/>
    <w:rsid w:val="00894B76"/>
    <w:rsid w:val="008C2CA1"/>
    <w:rsid w:val="008E002E"/>
    <w:rsid w:val="00983F09"/>
    <w:rsid w:val="009E5AB6"/>
    <w:rsid w:val="009F25B1"/>
    <w:rsid w:val="00A42F46"/>
    <w:rsid w:val="00A52AE9"/>
    <w:rsid w:val="00A64BDE"/>
    <w:rsid w:val="00AA708D"/>
    <w:rsid w:val="00AD2731"/>
    <w:rsid w:val="00AE739F"/>
    <w:rsid w:val="00B02851"/>
    <w:rsid w:val="00B562F6"/>
    <w:rsid w:val="00B76901"/>
    <w:rsid w:val="00B81FCB"/>
    <w:rsid w:val="00BA1D45"/>
    <w:rsid w:val="00BE0CBD"/>
    <w:rsid w:val="00BE7624"/>
    <w:rsid w:val="00C51D8D"/>
    <w:rsid w:val="00C719F5"/>
    <w:rsid w:val="00C73ACF"/>
    <w:rsid w:val="00CD60E1"/>
    <w:rsid w:val="00CF7A77"/>
    <w:rsid w:val="00D70D5C"/>
    <w:rsid w:val="00D94FEA"/>
    <w:rsid w:val="00DA3BFC"/>
    <w:rsid w:val="00DA60BE"/>
    <w:rsid w:val="00DA7AB9"/>
    <w:rsid w:val="00DD3F2B"/>
    <w:rsid w:val="00DE4422"/>
    <w:rsid w:val="00DF5229"/>
    <w:rsid w:val="00E23DDE"/>
    <w:rsid w:val="00E801E2"/>
    <w:rsid w:val="00E87963"/>
    <w:rsid w:val="00EB2218"/>
    <w:rsid w:val="00F04067"/>
    <w:rsid w:val="00F210BE"/>
    <w:rsid w:val="00F3540E"/>
    <w:rsid w:val="00F56901"/>
    <w:rsid w:val="00FD1F7D"/>
    <w:rsid w:val="00FE278F"/>
    <w:rsid w:val="0DC65E35"/>
    <w:rsid w:val="2F0F5043"/>
    <w:rsid w:val="601326D8"/>
    <w:rsid w:val="6D5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spacing w:line="312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sz w:val="36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1826</Words>
  <Characters>10413</Characters>
  <Lines>86</Lines>
  <Paragraphs>24</Paragraphs>
  <TotalTime>228</TotalTime>
  <ScaleCrop>false</ScaleCrop>
  <LinksUpToDate>false</LinksUpToDate>
  <CharactersWithSpaces>12215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2019-08-28T07:32:00Z</dcterms:created>
  <dc:creator>lenovo</dc:creator>
  <cp:lastModifiedBy>HP</cp:lastModifiedBy>
  <cp:lastPrinted>2019-08-28T08:22:00Z</cp:lastPrinted>
  <dcterms:modified xsi:type="dcterms:W3CDTF">2024-07-23T05:58:42Z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