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Times New Roman"/>
          <w:b/>
          <w:bCs/>
          <w:sz w:val="44"/>
          <w:szCs w:val="44"/>
        </w:rPr>
      </w:pPr>
      <w:r>
        <w:rPr>
          <w:rFonts w:hint="eastAsia" w:ascii="宋体" w:hAnsi="宋体" w:cs="宋体"/>
          <w:b/>
          <w:bCs/>
          <w:sz w:val="44"/>
          <w:szCs w:val="44"/>
        </w:rPr>
        <w:t>北京市西城人力资源和社会保障局</w:t>
      </w:r>
    </w:p>
    <w:p>
      <w:pPr>
        <w:jc w:val="center"/>
        <w:rPr>
          <w:rFonts w:ascii="宋体" w:cs="Times New Roman"/>
          <w:b/>
          <w:bCs/>
          <w:sz w:val="44"/>
          <w:szCs w:val="44"/>
        </w:rPr>
      </w:pPr>
      <w:r>
        <w:rPr>
          <w:rFonts w:ascii="宋体" w:hAnsi="宋体" w:cs="宋体"/>
          <w:b/>
          <w:bCs/>
          <w:sz w:val="44"/>
          <w:szCs w:val="44"/>
        </w:rPr>
        <w:t>2020</w:t>
      </w:r>
      <w:r>
        <w:rPr>
          <w:rFonts w:hint="eastAsia" w:ascii="宋体" w:hAnsi="宋体" w:cs="宋体"/>
          <w:b/>
          <w:bCs/>
          <w:sz w:val="44"/>
          <w:szCs w:val="44"/>
        </w:rPr>
        <w:t>年部门预算</w:t>
      </w:r>
    </w:p>
    <w:p>
      <w:pPr>
        <w:jc w:val="center"/>
        <w:rPr>
          <w:rFonts w:ascii="宋体" w:cs="Times New Roman"/>
          <w:b/>
          <w:bCs/>
          <w:sz w:val="44"/>
          <w:szCs w:val="44"/>
        </w:rPr>
      </w:pPr>
    </w:p>
    <w:p>
      <w:pPr>
        <w:jc w:val="center"/>
        <w:rPr>
          <w:rFonts w:ascii="宋体" w:cs="Times New Roman"/>
          <w:b/>
          <w:bCs/>
          <w:sz w:val="44"/>
          <w:szCs w:val="44"/>
        </w:rPr>
      </w:pPr>
      <w:r>
        <w:rPr>
          <w:rFonts w:hint="eastAsia" w:ascii="宋体" w:hAnsi="宋体" w:cs="宋体"/>
          <w:b/>
          <w:bCs/>
          <w:sz w:val="44"/>
          <w:szCs w:val="44"/>
        </w:rPr>
        <w:t>公开目录</w:t>
      </w:r>
    </w:p>
    <w:p>
      <w:pPr>
        <w:spacing w:line="560" w:lineRule="exact"/>
        <w:rPr>
          <w:rFonts w:ascii="仿宋_GB2312" w:hAnsi="Times New Roman" w:eastAsia="仿宋_GB2312" w:cs="Times New Roman"/>
          <w:color w:val="000000"/>
          <w:sz w:val="32"/>
          <w:szCs w:val="32"/>
        </w:rPr>
      </w:pPr>
    </w:p>
    <w:p>
      <w:pPr>
        <w:spacing w:line="560" w:lineRule="exact"/>
        <w:rPr>
          <w:rFonts w:ascii="黑体" w:hAnsi="黑体" w:eastAsia="黑体" w:cs="Times New Roman"/>
          <w:color w:val="000000"/>
          <w:sz w:val="32"/>
          <w:szCs w:val="32"/>
        </w:rPr>
      </w:pPr>
      <w:r>
        <w:rPr>
          <w:rFonts w:hint="eastAsia" w:ascii="黑体" w:hAnsi="黑体" w:eastAsia="黑体" w:cs="黑体"/>
          <w:color w:val="000000"/>
          <w:sz w:val="32"/>
          <w:szCs w:val="32"/>
        </w:rPr>
        <w:t>第一部分、</w:t>
      </w:r>
      <w:r>
        <w:rPr>
          <w:rFonts w:ascii="黑体" w:hAnsi="黑体" w:eastAsia="黑体" w:cs="黑体"/>
          <w:color w:val="000000"/>
          <w:sz w:val="32"/>
          <w:szCs w:val="32"/>
        </w:rPr>
        <w:t>2020</w:t>
      </w:r>
      <w:r>
        <w:rPr>
          <w:rFonts w:hint="eastAsia" w:ascii="黑体" w:hAnsi="黑体" w:eastAsia="黑体" w:cs="黑体"/>
          <w:color w:val="000000"/>
          <w:sz w:val="32"/>
          <w:szCs w:val="32"/>
        </w:rPr>
        <w:t>年部门预算情况说明</w:t>
      </w:r>
    </w:p>
    <w:p>
      <w:pPr>
        <w:spacing w:line="560" w:lineRule="exact"/>
        <w:ind w:firstLine="642" w:firstLineChars="200"/>
        <w:rPr>
          <w:rFonts w:ascii="仿宋_GB2312" w:hAnsi="Times New Roman" w:eastAsia="仿宋_GB2312" w:cs="Times New Roman"/>
          <w:b/>
          <w:bCs/>
          <w:color w:val="000000"/>
          <w:sz w:val="32"/>
          <w:szCs w:val="32"/>
        </w:rPr>
      </w:pPr>
      <w:r>
        <w:rPr>
          <w:rFonts w:hint="eastAsia" w:ascii="仿宋_GB2312" w:eastAsia="仿宋_GB2312" w:cs="仿宋_GB2312"/>
          <w:b/>
          <w:bCs/>
          <w:color w:val="000000"/>
          <w:sz w:val="32"/>
          <w:szCs w:val="32"/>
        </w:rPr>
        <w:t>一、部门主要职责及机构设置情况</w:t>
      </w:r>
    </w:p>
    <w:p>
      <w:pPr>
        <w:spacing w:line="560" w:lineRule="exact"/>
        <w:ind w:firstLine="640" w:firstLineChars="200"/>
        <w:rPr>
          <w:rFonts w:ascii="仿宋_GB2312" w:hAnsi="Times New Roman" w:eastAsia="仿宋_GB2312" w:cs="Times New Roman"/>
          <w:b/>
          <w:bCs/>
          <w:color w:val="000000"/>
          <w:sz w:val="32"/>
          <w:szCs w:val="32"/>
        </w:rPr>
      </w:pPr>
      <w:r>
        <w:rPr>
          <w:rFonts w:hint="eastAsia" w:ascii="仿宋_GB2312" w:eastAsia="仿宋_GB2312" w:cs="仿宋_GB2312"/>
          <w:color w:val="000000"/>
          <w:sz w:val="32"/>
          <w:szCs w:val="32"/>
        </w:rPr>
        <w:t>（一）部门机构设置、职责</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（二）人员构成情况</w:t>
      </w:r>
    </w:p>
    <w:p>
      <w:pPr>
        <w:spacing w:line="560" w:lineRule="exact"/>
        <w:ind w:firstLine="640" w:firstLineChars="200"/>
        <w:rPr>
          <w:rFonts w:ascii="仿宋" w:hAnsi="仿宋" w:eastAsia="仿宋" w:cs="Times New Roman"/>
          <w:sz w:val="32"/>
          <w:szCs w:val="32"/>
        </w:rPr>
      </w:pPr>
      <w:r>
        <w:rPr>
          <w:rFonts w:hint="eastAsia" w:ascii="仿宋_GB2312" w:eastAsia="仿宋_GB2312" w:cs="仿宋_GB2312"/>
          <w:color w:val="000000"/>
          <w:sz w:val="32"/>
          <w:szCs w:val="32"/>
        </w:rPr>
        <w:t>（三）本预算年度的主要工作任务</w:t>
      </w:r>
    </w:p>
    <w:p>
      <w:pPr>
        <w:spacing w:line="560" w:lineRule="exact"/>
        <w:ind w:firstLine="642" w:firstLineChars="200"/>
        <w:rPr>
          <w:rFonts w:ascii="仿宋_GB2312" w:eastAsia="仿宋_GB2312" w:cs="Times New Roman"/>
          <w:b/>
          <w:bCs/>
          <w:color w:val="000000"/>
          <w:sz w:val="32"/>
          <w:szCs w:val="32"/>
        </w:rPr>
      </w:pPr>
      <w:r>
        <w:rPr>
          <w:rFonts w:hint="eastAsia" w:ascii="仿宋_GB2312" w:eastAsia="仿宋_GB2312" w:cs="仿宋_GB2312"/>
          <w:b/>
          <w:bCs/>
          <w:color w:val="000000"/>
          <w:sz w:val="32"/>
          <w:szCs w:val="32"/>
        </w:rPr>
        <w:t>二、</w:t>
      </w:r>
      <w:r>
        <w:rPr>
          <w:rFonts w:ascii="仿宋_GB2312" w:eastAsia="仿宋_GB2312" w:cs="仿宋_GB2312"/>
          <w:b/>
          <w:bCs/>
          <w:color w:val="000000"/>
          <w:sz w:val="32"/>
          <w:szCs w:val="32"/>
        </w:rPr>
        <w:t>2020</w:t>
      </w:r>
      <w:r>
        <w:rPr>
          <w:rFonts w:hint="eastAsia" w:ascii="仿宋_GB2312" w:eastAsia="仿宋_GB2312" w:cs="仿宋_GB2312"/>
          <w:b/>
          <w:bCs/>
          <w:color w:val="000000"/>
          <w:sz w:val="32"/>
          <w:szCs w:val="32"/>
        </w:rPr>
        <w:t>年部门预算收支及增减变化情况说明</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（一）收入预算说明</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（二）支出预算说明</w:t>
      </w:r>
    </w:p>
    <w:p>
      <w:pPr>
        <w:spacing w:line="560" w:lineRule="exact"/>
        <w:ind w:firstLine="642" w:firstLineChars="200"/>
        <w:rPr>
          <w:rFonts w:ascii="仿宋_GB2312" w:eastAsia="仿宋_GB2312" w:cs="Times New Roman"/>
          <w:b/>
          <w:bCs/>
          <w:color w:val="000000"/>
          <w:sz w:val="32"/>
          <w:szCs w:val="32"/>
        </w:rPr>
      </w:pPr>
      <w:r>
        <w:rPr>
          <w:rFonts w:hint="eastAsia" w:ascii="仿宋_GB2312" w:eastAsia="仿宋_GB2312" w:cs="仿宋_GB2312"/>
          <w:b/>
          <w:bCs/>
          <w:color w:val="000000"/>
          <w:sz w:val="32"/>
          <w:szCs w:val="32"/>
        </w:rPr>
        <w:t>三、主要支出情况</w:t>
      </w:r>
    </w:p>
    <w:p>
      <w:pPr>
        <w:spacing w:line="560" w:lineRule="exact"/>
        <w:ind w:firstLine="642" w:firstLineChars="200"/>
        <w:rPr>
          <w:rFonts w:ascii="仿宋_GB2312" w:eastAsia="仿宋_GB2312" w:cs="Times New Roman"/>
          <w:b/>
          <w:bCs/>
          <w:color w:val="000000"/>
          <w:sz w:val="32"/>
          <w:szCs w:val="32"/>
        </w:rPr>
      </w:pPr>
      <w:r>
        <w:rPr>
          <w:rFonts w:hint="eastAsia" w:ascii="仿宋_GB2312" w:eastAsia="仿宋_GB2312" w:cs="仿宋_GB2312"/>
          <w:b/>
          <w:bCs/>
          <w:color w:val="000000"/>
          <w:sz w:val="32"/>
          <w:szCs w:val="32"/>
        </w:rPr>
        <w:t>四、部门</w:t>
      </w:r>
      <w:r>
        <w:rPr>
          <w:rFonts w:ascii="仿宋_GB2312" w:eastAsia="仿宋_GB2312"/>
          <w:b/>
          <w:bCs/>
          <w:color w:val="000000"/>
          <w:sz w:val="32"/>
          <w:szCs w:val="32"/>
        </w:rPr>
        <w:t>“</w:t>
      </w:r>
      <w:r>
        <w:rPr>
          <w:rFonts w:hint="eastAsia" w:ascii="仿宋_GB2312" w:eastAsia="仿宋_GB2312" w:cs="仿宋_GB2312"/>
          <w:b/>
          <w:bCs/>
          <w:color w:val="000000"/>
          <w:sz w:val="32"/>
          <w:szCs w:val="32"/>
        </w:rPr>
        <w:t>三公</w:t>
      </w:r>
      <w:r>
        <w:rPr>
          <w:rFonts w:ascii="仿宋_GB2312" w:eastAsia="仿宋_GB2312"/>
          <w:b/>
          <w:bCs/>
          <w:color w:val="000000"/>
          <w:sz w:val="32"/>
          <w:szCs w:val="32"/>
        </w:rPr>
        <w:t>”</w:t>
      </w:r>
      <w:r>
        <w:rPr>
          <w:rFonts w:hint="eastAsia" w:ascii="仿宋_GB2312" w:eastAsia="仿宋_GB2312" w:cs="仿宋_GB2312"/>
          <w:b/>
          <w:bCs/>
          <w:color w:val="000000"/>
          <w:sz w:val="32"/>
          <w:szCs w:val="32"/>
        </w:rPr>
        <w:t>经费财政拨款预算说明</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（一）</w:t>
      </w:r>
      <w:r>
        <w:rPr>
          <w:rFonts w:ascii="仿宋_GB2312" w:eastAsia="仿宋_GB2312"/>
          <w:color w:val="000000"/>
          <w:sz w:val="32"/>
          <w:szCs w:val="32"/>
        </w:rPr>
        <w:t>“</w:t>
      </w:r>
      <w:r>
        <w:rPr>
          <w:rFonts w:hint="eastAsia" w:ascii="仿宋_GB2312" w:eastAsia="仿宋_GB2312" w:cs="仿宋_GB2312"/>
          <w:color w:val="000000"/>
          <w:sz w:val="32"/>
          <w:szCs w:val="32"/>
        </w:rPr>
        <w:t>三公</w:t>
      </w:r>
      <w:r>
        <w:rPr>
          <w:rFonts w:ascii="仿宋_GB2312" w:eastAsia="仿宋_GB2312"/>
          <w:color w:val="000000"/>
          <w:sz w:val="32"/>
          <w:szCs w:val="32"/>
        </w:rPr>
        <w:t>”</w:t>
      </w:r>
      <w:r>
        <w:rPr>
          <w:rFonts w:hint="eastAsia" w:ascii="仿宋_GB2312" w:eastAsia="仿宋_GB2312" w:cs="仿宋_GB2312"/>
          <w:color w:val="000000"/>
          <w:sz w:val="32"/>
          <w:szCs w:val="32"/>
        </w:rPr>
        <w:t>经费的单位范围</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（二）</w:t>
      </w:r>
      <w:r>
        <w:rPr>
          <w:rFonts w:ascii="仿宋_GB2312" w:eastAsia="仿宋_GB2312"/>
          <w:color w:val="000000"/>
          <w:sz w:val="32"/>
          <w:szCs w:val="32"/>
        </w:rPr>
        <w:t>“</w:t>
      </w:r>
      <w:r>
        <w:rPr>
          <w:rFonts w:hint="eastAsia" w:ascii="仿宋_GB2312" w:eastAsia="仿宋_GB2312" w:cs="仿宋_GB2312"/>
          <w:color w:val="000000"/>
          <w:sz w:val="32"/>
          <w:szCs w:val="32"/>
        </w:rPr>
        <w:t>三公</w:t>
      </w:r>
      <w:r>
        <w:rPr>
          <w:rFonts w:ascii="仿宋_GB2312" w:eastAsia="仿宋_GB2312"/>
          <w:color w:val="000000"/>
          <w:sz w:val="32"/>
          <w:szCs w:val="32"/>
        </w:rPr>
        <w:t>”</w:t>
      </w:r>
      <w:r>
        <w:rPr>
          <w:rFonts w:hint="eastAsia" w:ascii="仿宋_GB2312" w:eastAsia="仿宋_GB2312" w:cs="仿宋_GB2312"/>
          <w:color w:val="000000"/>
          <w:sz w:val="32"/>
          <w:szCs w:val="32"/>
        </w:rPr>
        <w:t>经费预算财政拨款情况说明</w:t>
      </w:r>
    </w:p>
    <w:p>
      <w:pPr>
        <w:spacing w:line="560" w:lineRule="exact"/>
        <w:ind w:firstLine="642" w:firstLineChars="200"/>
        <w:rPr>
          <w:rFonts w:ascii="仿宋_GB2312" w:eastAsia="仿宋_GB2312" w:cs="Times New Roman"/>
          <w:b/>
          <w:bCs/>
          <w:color w:val="000000"/>
          <w:sz w:val="32"/>
          <w:szCs w:val="32"/>
        </w:rPr>
      </w:pPr>
      <w:r>
        <w:rPr>
          <w:rFonts w:hint="eastAsia" w:ascii="仿宋_GB2312" w:eastAsia="仿宋_GB2312" w:cs="仿宋_GB2312"/>
          <w:b/>
          <w:bCs/>
          <w:color w:val="000000"/>
          <w:sz w:val="32"/>
          <w:szCs w:val="32"/>
        </w:rPr>
        <w:t>五、</w:t>
      </w:r>
      <w:r>
        <w:rPr>
          <w:rFonts w:ascii="仿宋_GB2312" w:eastAsia="仿宋_GB2312" w:cs="仿宋_GB2312"/>
          <w:b/>
          <w:bCs/>
          <w:color w:val="000000"/>
          <w:sz w:val="32"/>
          <w:szCs w:val="32"/>
        </w:rPr>
        <w:t>2020</w:t>
      </w:r>
      <w:r>
        <w:rPr>
          <w:rFonts w:hint="eastAsia" w:ascii="仿宋_GB2312" w:eastAsia="仿宋_GB2312" w:cs="仿宋_GB2312"/>
          <w:b/>
          <w:bCs/>
          <w:color w:val="000000"/>
          <w:sz w:val="32"/>
          <w:szCs w:val="32"/>
        </w:rPr>
        <w:t>年政府基金政府性基金预算财政拨款收入支出说明</w:t>
      </w:r>
    </w:p>
    <w:p>
      <w:pPr>
        <w:spacing w:line="560" w:lineRule="exact"/>
        <w:rPr>
          <w:rFonts w:ascii="仿宋_GB2312" w:eastAsia="仿宋_GB2312" w:cs="Times New Roman"/>
          <w:b/>
          <w:bCs/>
          <w:color w:val="000000"/>
          <w:sz w:val="32"/>
          <w:szCs w:val="32"/>
        </w:rPr>
      </w:pP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 xml:space="preserve"> </w:t>
      </w:r>
      <w:r>
        <w:rPr>
          <w:rFonts w:hint="eastAsia" w:ascii="仿宋_GB2312" w:eastAsia="仿宋_GB2312" w:cs="仿宋_GB2312"/>
          <w:b/>
          <w:bCs/>
          <w:color w:val="000000"/>
          <w:sz w:val="32"/>
          <w:szCs w:val="32"/>
        </w:rPr>
        <w:t>六、其他情况说明</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（一）机关运行经费说明</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（二）政府采购预算说明</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（三）政府购买服务预算说明</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（四）绩效目标情况及绩效评价结果说明</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（五）国有资本经营预算财政拨款情况说明</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（六）国有资产占用情况说明</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（七）重点行政事业性收费情况说明</w:t>
      </w:r>
    </w:p>
    <w:p>
      <w:pPr>
        <w:spacing w:line="560" w:lineRule="exact"/>
        <w:ind w:firstLine="642" w:firstLineChars="200"/>
        <w:rPr>
          <w:rFonts w:ascii="仿宋_GB2312" w:eastAsia="仿宋_GB2312" w:cs="Times New Roman"/>
          <w:b/>
          <w:bCs/>
          <w:color w:val="000000"/>
          <w:sz w:val="32"/>
          <w:szCs w:val="32"/>
        </w:rPr>
      </w:pPr>
      <w:r>
        <w:rPr>
          <w:rFonts w:hint="eastAsia" w:ascii="仿宋_GB2312" w:eastAsia="仿宋_GB2312" w:cs="仿宋_GB2312"/>
          <w:b/>
          <w:bCs/>
          <w:color w:val="000000"/>
          <w:sz w:val="32"/>
          <w:szCs w:val="32"/>
        </w:rPr>
        <w:t>七、名称解释</w:t>
      </w:r>
    </w:p>
    <w:p>
      <w:pPr>
        <w:spacing w:line="560" w:lineRule="exact"/>
        <w:rPr>
          <w:rFonts w:ascii="黑体" w:hAnsi="黑体" w:eastAsia="黑体" w:cs="Times New Roman"/>
          <w:color w:val="000000"/>
          <w:sz w:val="32"/>
          <w:szCs w:val="32"/>
        </w:rPr>
      </w:pPr>
      <w:r>
        <w:rPr>
          <w:rFonts w:hint="eastAsia" w:ascii="黑体" w:hAnsi="黑体" w:eastAsia="黑体" w:cs="黑体"/>
          <w:color w:val="000000"/>
          <w:sz w:val="32"/>
          <w:szCs w:val="32"/>
        </w:rPr>
        <w:t>第二部分、</w:t>
      </w:r>
      <w:r>
        <w:rPr>
          <w:rFonts w:ascii="黑体" w:hAnsi="黑体" w:eastAsia="黑体" w:cs="黑体"/>
          <w:color w:val="000000"/>
          <w:sz w:val="32"/>
          <w:szCs w:val="32"/>
        </w:rPr>
        <w:t>2020</w:t>
      </w:r>
      <w:r>
        <w:rPr>
          <w:rFonts w:hint="eastAsia" w:ascii="黑体" w:hAnsi="黑体" w:eastAsia="黑体" w:cs="黑体"/>
          <w:color w:val="000000"/>
          <w:sz w:val="32"/>
          <w:szCs w:val="32"/>
        </w:rPr>
        <w:t>年部门预算表</w:t>
      </w:r>
    </w:p>
    <w:p>
      <w:pPr>
        <w:ind w:firstLine="640" w:firstLineChars="200"/>
        <w:rPr>
          <w:rFonts w:ascii="仿宋_GB2312" w:hAnsi="楷体" w:eastAsia="仿宋_GB2312" w:cs="Times New Roman"/>
          <w:sz w:val="32"/>
          <w:szCs w:val="32"/>
        </w:rPr>
      </w:pPr>
      <w:r>
        <w:rPr>
          <w:rFonts w:hint="eastAsia" w:ascii="仿宋_GB2312" w:hAnsi="楷体" w:eastAsia="仿宋_GB2312" w:cs="仿宋_GB2312"/>
          <w:sz w:val="32"/>
          <w:szCs w:val="32"/>
        </w:rPr>
        <w:t>表一、部门收支总体情况表</w:t>
      </w:r>
    </w:p>
    <w:p>
      <w:pPr>
        <w:ind w:firstLine="640" w:firstLineChars="200"/>
        <w:rPr>
          <w:rFonts w:ascii="仿宋_GB2312" w:hAnsi="楷体" w:eastAsia="仿宋_GB2312" w:cs="Times New Roman"/>
          <w:sz w:val="32"/>
          <w:szCs w:val="32"/>
        </w:rPr>
      </w:pPr>
      <w:r>
        <w:rPr>
          <w:rFonts w:hint="eastAsia" w:ascii="仿宋_GB2312" w:hAnsi="楷体" w:eastAsia="仿宋_GB2312" w:cs="仿宋_GB2312"/>
          <w:sz w:val="32"/>
          <w:szCs w:val="32"/>
        </w:rPr>
        <w:t>表二、部门收入总体情况表</w:t>
      </w:r>
    </w:p>
    <w:p>
      <w:pPr>
        <w:ind w:firstLine="640" w:firstLineChars="200"/>
        <w:rPr>
          <w:rFonts w:ascii="仿宋_GB2312" w:hAnsi="楷体" w:eastAsia="仿宋_GB2312" w:cs="Times New Roman"/>
          <w:sz w:val="32"/>
          <w:szCs w:val="32"/>
        </w:rPr>
      </w:pPr>
      <w:r>
        <w:rPr>
          <w:rFonts w:hint="eastAsia" w:ascii="仿宋_GB2312" w:hAnsi="楷体" w:eastAsia="仿宋_GB2312" w:cs="仿宋_GB2312"/>
          <w:sz w:val="32"/>
          <w:szCs w:val="32"/>
        </w:rPr>
        <w:t>表三、部门支出总体情况表</w:t>
      </w:r>
    </w:p>
    <w:p>
      <w:pPr>
        <w:ind w:firstLine="640" w:firstLineChars="200"/>
        <w:rPr>
          <w:rFonts w:ascii="仿宋_GB2312" w:hAnsi="楷体" w:eastAsia="仿宋_GB2312" w:cs="Times New Roman"/>
          <w:sz w:val="32"/>
          <w:szCs w:val="32"/>
        </w:rPr>
      </w:pPr>
      <w:r>
        <w:rPr>
          <w:rFonts w:hint="eastAsia" w:ascii="仿宋_GB2312" w:hAnsi="楷体" w:eastAsia="仿宋_GB2312" w:cs="仿宋_GB2312"/>
          <w:sz w:val="32"/>
          <w:szCs w:val="32"/>
        </w:rPr>
        <w:t>表四、财政拨款收支总体情况表</w:t>
      </w:r>
    </w:p>
    <w:p>
      <w:pPr>
        <w:ind w:firstLine="640" w:firstLineChars="200"/>
        <w:rPr>
          <w:rFonts w:ascii="仿宋_GB2312" w:hAnsi="楷体" w:eastAsia="仿宋_GB2312" w:cs="Times New Roman"/>
          <w:sz w:val="32"/>
          <w:szCs w:val="32"/>
        </w:rPr>
      </w:pPr>
      <w:r>
        <w:rPr>
          <w:rFonts w:hint="eastAsia" w:ascii="仿宋_GB2312" w:hAnsi="楷体" w:eastAsia="仿宋_GB2312" w:cs="仿宋_GB2312"/>
          <w:sz w:val="32"/>
          <w:szCs w:val="32"/>
        </w:rPr>
        <w:t>表五、一般公共预算支出情况表</w:t>
      </w:r>
    </w:p>
    <w:p>
      <w:pPr>
        <w:ind w:firstLine="640" w:firstLineChars="200"/>
        <w:rPr>
          <w:rFonts w:ascii="仿宋_GB2312" w:hAnsi="楷体" w:eastAsia="仿宋_GB2312" w:cs="Times New Roman"/>
          <w:sz w:val="32"/>
          <w:szCs w:val="32"/>
        </w:rPr>
      </w:pPr>
      <w:r>
        <w:rPr>
          <w:rFonts w:hint="eastAsia" w:ascii="仿宋_GB2312" w:hAnsi="楷体" w:eastAsia="仿宋_GB2312" w:cs="仿宋_GB2312"/>
          <w:sz w:val="32"/>
          <w:szCs w:val="32"/>
        </w:rPr>
        <w:t>表六、一般公共预算基本支出情况表</w:t>
      </w:r>
    </w:p>
    <w:p>
      <w:pPr>
        <w:ind w:firstLine="640" w:firstLineChars="200"/>
        <w:rPr>
          <w:rFonts w:ascii="仿宋_GB2312" w:hAnsi="楷体" w:eastAsia="仿宋_GB2312" w:cs="Times New Roman"/>
          <w:sz w:val="32"/>
          <w:szCs w:val="32"/>
        </w:rPr>
      </w:pPr>
      <w:r>
        <w:rPr>
          <w:rFonts w:hint="eastAsia" w:ascii="仿宋_GB2312" w:hAnsi="楷体" w:eastAsia="仿宋_GB2312" w:cs="仿宋_GB2312"/>
          <w:sz w:val="32"/>
          <w:szCs w:val="32"/>
        </w:rPr>
        <w:t>表七、一般公共预算“三公”经费支出情况表</w:t>
      </w:r>
    </w:p>
    <w:p>
      <w:pPr>
        <w:ind w:firstLine="640" w:firstLineChars="200"/>
        <w:rPr>
          <w:rFonts w:ascii="仿宋_GB2312" w:hAnsi="楷体" w:eastAsia="仿宋_GB2312" w:cs="Times New Roman"/>
          <w:sz w:val="32"/>
          <w:szCs w:val="32"/>
        </w:rPr>
      </w:pPr>
      <w:r>
        <w:rPr>
          <w:rFonts w:hint="eastAsia" w:ascii="仿宋_GB2312" w:hAnsi="楷体" w:eastAsia="仿宋_GB2312" w:cs="仿宋_GB2312"/>
          <w:sz w:val="32"/>
          <w:szCs w:val="32"/>
        </w:rPr>
        <w:t>表八、政府性基金预算支出情况表</w:t>
      </w:r>
    </w:p>
    <w:p>
      <w:pPr>
        <w:ind w:firstLine="640" w:firstLineChars="200"/>
        <w:rPr>
          <w:rFonts w:ascii="仿宋_GB2312" w:hAnsi="楷体" w:eastAsia="仿宋_GB2312" w:cs="Times New Roman"/>
          <w:sz w:val="32"/>
          <w:szCs w:val="32"/>
        </w:rPr>
      </w:pPr>
      <w:r>
        <w:rPr>
          <w:rFonts w:hint="eastAsia" w:ascii="仿宋_GB2312" w:hAnsi="楷体" w:eastAsia="仿宋_GB2312" w:cs="仿宋_GB2312"/>
          <w:sz w:val="32"/>
          <w:szCs w:val="32"/>
        </w:rPr>
        <w:t>表九、部门预算明细表</w:t>
      </w:r>
    </w:p>
    <w:p>
      <w:pPr>
        <w:ind w:firstLine="640" w:firstLineChars="200"/>
        <w:rPr>
          <w:rFonts w:ascii="仿宋_GB2312" w:hAnsi="楷体" w:eastAsia="仿宋_GB2312" w:cs="Times New Roman"/>
          <w:sz w:val="32"/>
          <w:szCs w:val="32"/>
        </w:rPr>
      </w:pPr>
      <w:r>
        <w:rPr>
          <w:rFonts w:hint="eastAsia" w:ascii="仿宋_GB2312" w:hAnsi="楷体" w:eastAsia="仿宋_GB2312" w:cs="仿宋_GB2312"/>
          <w:sz w:val="32"/>
          <w:szCs w:val="32"/>
        </w:rPr>
        <w:t>表十、专项转移支付预算表</w:t>
      </w:r>
    </w:p>
    <w:p>
      <w:pPr>
        <w:ind w:firstLine="640" w:firstLineChars="200"/>
        <w:rPr>
          <w:rFonts w:ascii="仿宋_GB2312" w:hAnsi="楷体" w:eastAsia="仿宋_GB2312" w:cs="Times New Roman"/>
          <w:sz w:val="32"/>
          <w:szCs w:val="32"/>
        </w:rPr>
      </w:pPr>
      <w:r>
        <w:rPr>
          <w:rFonts w:hint="eastAsia" w:ascii="仿宋_GB2312" w:hAnsi="楷体" w:eastAsia="仿宋_GB2312" w:cs="仿宋_GB2312"/>
          <w:sz w:val="32"/>
          <w:szCs w:val="32"/>
        </w:rPr>
        <w:t>表十一、部门整体支出绩效目标申报表</w:t>
      </w:r>
    </w:p>
    <w:p>
      <w:pPr>
        <w:ind w:firstLine="640" w:firstLineChars="200"/>
        <w:rPr>
          <w:rFonts w:ascii="仿宋_GB2312" w:hAnsi="楷体" w:eastAsia="仿宋_GB2312" w:cs="Times New Roman"/>
          <w:sz w:val="32"/>
          <w:szCs w:val="32"/>
        </w:rPr>
      </w:pPr>
      <w:r>
        <w:rPr>
          <w:rFonts w:hint="eastAsia" w:ascii="仿宋_GB2312" w:hAnsi="楷体" w:eastAsia="仿宋_GB2312" w:cs="仿宋_GB2312"/>
          <w:sz w:val="32"/>
          <w:szCs w:val="32"/>
        </w:rPr>
        <w:t>表十二、项目支出绩效目标申报表</w:t>
      </w:r>
    </w:p>
    <w:p>
      <w:pPr>
        <w:rPr>
          <w:rFonts w:ascii="仿宋_GB2312" w:hAnsi="楷体" w:eastAsia="仿宋_GB2312" w:cs="Times New Roman"/>
          <w:sz w:val="32"/>
          <w:szCs w:val="32"/>
        </w:rPr>
      </w:pPr>
    </w:p>
    <w:p>
      <w:pPr>
        <w:rPr>
          <w:rFonts w:ascii="仿宋_GB2312" w:hAnsi="楷体" w:eastAsia="仿宋_GB2312" w:cs="Times New Roman"/>
          <w:sz w:val="32"/>
          <w:szCs w:val="32"/>
        </w:rPr>
      </w:pPr>
    </w:p>
    <w:p>
      <w:pPr>
        <w:rPr>
          <w:rFonts w:ascii="仿宋_GB2312" w:hAnsi="楷体" w:eastAsia="仿宋_GB2312" w:cs="Times New Roman"/>
          <w:sz w:val="32"/>
          <w:szCs w:val="32"/>
        </w:rPr>
      </w:pPr>
    </w:p>
    <w:p>
      <w:pPr>
        <w:rPr>
          <w:rFonts w:ascii="仿宋_GB2312" w:hAnsi="楷体" w:eastAsia="仿宋_GB2312" w:cs="Times New Roman"/>
          <w:sz w:val="32"/>
          <w:szCs w:val="32"/>
        </w:rPr>
      </w:pPr>
    </w:p>
    <w:p>
      <w:pPr>
        <w:rPr>
          <w:rFonts w:ascii="宋体" w:cs="Times New Roman"/>
          <w:b/>
          <w:bCs/>
          <w:sz w:val="36"/>
          <w:szCs w:val="36"/>
        </w:rPr>
      </w:pPr>
    </w:p>
    <w:p>
      <w:pPr>
        <w:jc w:val="center"/>
        <w:rPr>
          <w:rFonts w:ascii="楷体" w:hAnsi="楷体" w:eastAsia="楷体" w:cs="Times New Roman"/>
          <w:b/>
          <w:bCs/>
          <w:sz w:val="36"/>
          <w:szCs w:val="36"/>
        </w:rPr>
      </w:pPr>
      <w:r>
        <w:rPr>
          <w:rFonts w:hint="eastAsia" w:ascii="楷体" w:hAnsi="楷体" w:eastAsia="楷体" w:cs="楷体"/>
          <w:b/>
          <w:bCs/>
          <w:sz w:val="36"/>
          <w:szCs w:val="36"/>
        </w:rPr>
        <w:t>第一部分</w:t>
      </w:r>
      <w:r>
        <w:rPr>
          <w:rFonts w:ascii="楷体" w:hAnsi="楷体" w:eastAsia="楷体" w:cs="楷体"/>
          <w:b/>
          <w:bCs/>
          <w:sz w:val="36"/>
          <w:szCs w:val="36"/>
        </w:rPr>
        <w:t xml:space="preserve">  2020</w:t>
      </w:r>
      <w:r>
        <w:rPr>
          <w:rFonts w:hint="eastAsia" w:ascii="楷体" w:hAnsi="楷体" w:eastAsia="楷体" w:cs="楷体"/>
          <w:b/>
          <w:bCs/>
          <w:sz w:val="36"/>
          <w:szCs w:val="36"/>
        </w:rPr>
        <w:t>年部门预算情况说明</w:t>
      </w:r>
    </w:p>
    <w:p>
      <w:pPr>
        <w:rPr>
          <w:rFonts w:ascii="仿宋_GB2312" w:hAnsi="Times New Roman" w:eastAsia="仿宋_GB2312" w:cs="Times New Roman"/>
          <w:b/>
          <w:bCs/>
          <w:sz w:val="32"/>
          <w:szCs w:val="32"/>
        </w:rPr>
      </w:pPr>
    </w:p>
    <w:p>
      <w:pPr>
        <w:spacing w:line="560" w:lineRule="exact"/>
        <w:ind w:firstLine="602" w:firstLineChars="200"/>
        <w:rPr>
          <w:rFonts w:ascii="黑体" w:hAnsi="黑体" w:eastAsia="黑体" w:cs="Times New Roman"/>
          <w:b/>
          <w:bCs/>
          <w:color w:val="000000"/>
          <w:sz w:val="30"/>
          <w:szCs w:val="30"/>
        </w:rPr>
      </w:pPr>
      <w:r>
        <w:rPr>
          <w:rFonts w:hint="eastAsia" w:ascii="黑体" w:hAnsi="黑体" w:eastAsia="黑体" w:cs="黑体"/>
          <w:b/>
          <w:bCs/>
          <w:sz w:val="30"/>
          <w:szCs w:val="30"/>
        </w:rPr>
        <w:t>一、</w:t>
      </w:r>
      <w:r>
        <w:rPr>
          <w:rFonts w:hint="eastAsia" w:ascii="黑体" w:hAnsi="黑体" w:eastAsia="黑体" w:cs="黑体"/>
          <w:b/>
          <w:bCs/>
          <w:color w:val="000000"/>
          <w:sz w:val="30"/>
          <w:szCs w:val="30"/>
        </w:rPr>
        <w:t>部门主要职责及机构设置情况</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（一）部门机构设置、职责</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 xml:space="preserve">1. </w:t>
      </w:r>
      <w:r>
        <w:rPr>
          <w:rFonts w:hint="eastAsia" w:ascii="仿宋" w:hAnsi="仿宋" w:eastAsia="仿宋" w:cs="仿宋"/>
          <w:sz w:val="32"/>
          <w:szCs w:val="32"/>
        </w:rPr>
        <w:t>机构设置</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内设机构：区人力社保局设</w:t>
      </w:r>
      <w:r>
        <w:rPr>
          <w:rFonts w:ascii="仿宋" w:hAnsi="仿宋" w:eastAsia="仿宋" w:cs="仿宋"/>
          <w:sz w:val="32"/>
          <w:szCs w:val="32"/>
        </w:rPr>
        <w:t>2</w:t>
      </w:r>
      <w:r>
        <w:rPr>
          <w:rFonts w:hint="eastAsia" w:ascii="仿宋" w:hAnsi="仿宋" w:eastAsia="仿宋" w:cs="仿宋"/>
          <w:sz w:val="32"/>
          <w:szCs w:val="32"/>
        </w:rPr>
        <w:t>0个内设机构，所属事业单位7个。</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 xml:space="preserve">2. </w:t>
      </w:r>
      <w:r>
        <w:rPr>
          <w:rFonts w:hint="eastAsia" w:ascii="仿宋" w:hAnsi="仿宋" w:eastAsia="仿宋" w:cs="仿宋"/>
          <w:sz w:val="32"/>
          <w:szCs w:val="32"/>
        </w:rPr>
        <w:t>职责：</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1）贯彻国家关于人力资源和社会保障方面的法律法规、规章、政策和北京市的相关规定。研究制定本区人力资源和社会保障管理方面的管理措施。拟订本区人力资源和社会保障事业发展规划，并组织实施和监督检查。</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（2）负责拟订并组织实施本区人力资源市场发展规划，依法管理人力资源市场，促进人力资源合理流动、有效配置。</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3）负责本区促进就业工作，完善公共就业服务体系，落实就业创业及就业援助政策。实行职业资格证书制度相关政策，实施面向劳动者的职业培训制度。贯彻高校毕业生就业政策以及技能人才的培养和激励政策。</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（4）负责管理辖区养老、失业、工伤保险工作。贯彻社会保险规定。指导本区社会保险经办机构依法开展社会保险具体工作。负责对社会保险基金的收支、管理情况进行监督检查。</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5）负责本区机关事业单位人员工资、福利和分配制度改革工作。贯彻机关事业单位工作人员工资、福利、津贴和补贴政策。落实机关企事业单位工作人员工资增长和支付保障机制。执行机关事业单位工作人员离退休政策。</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6）负责会同有关部门指导本区事业单位人事制度改革。管理本区专业技术职称工作。贯彻专业技术人员管理和继续教育政策。落实本区事业单位人员和机关工勤人员管理政策。落实博士后管理制度。负责积分落户工作。</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（7）负责高层次人才选拔、培养和管理服务。负责引进国外智力工作。参与本区人才管理工作。</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（8）负责承担以区委、区政府名义及各系统表彰、奖励的管理工作。负责中央和北京市级表彰、奖励或授予荣誉称号的区级人选推荐管理工作。负责承办区政府授权管理的人事任免相关事项。</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(9）负责贯彻劳动关系政策。完善劳动关系协调机制。负责落实企业工资政策。指导本区劳动人事争议调解仲裁工作。组织实施劳动保障监察，依法纠正和查处违反劳动保障法律、法规或者规章的行为，落实各项童工、未成年工和女职工劳动保护政策。</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（10）按照“管行业必须管安全、管业务必须管安全、管生产经营必须管安全”的要求，承担相关安全生产工作职责。</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（11）完成区委、区政府交办的其他任务。</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（二）人员构成情况</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北京市西城区人力资源和社会保障局行政编制</w:t>
      </w:r>
      <w:r>
        <w:rPr>
          <w:rFonts w:ascii="仿宋_GB2312" w:hAnsi="仿宋" w:eastAsia="仿宋_GB2312"/>
          <w:sz w:val="32"/>
          <w:szCs w:val="32"/>
        </w:rPr>
        <w:t>5</w:t>
      </w:r>
      <w:r>
        <w:rPr>
          <w:rFonts w:hint="eastAsia" w:ascii="仿宋_GB2312" w:hAnsi="仿宋" w:eastAsia="仿宋_GB2312"/>
          <w:sz w:val="32"/>
          <w:szCs w:val="32"/>
        </w:rPr>
        <w:t>22人（含参公）；事业编制194人，工勤编制5人；实际在职</w:t>
      </w:r>
      <w:r>
        <w:rPr>
          <w:rFonts w:ascii="仿宋_GB2312" w:hAnsi="仿宋" w:eastAsia="仿宋_GB2312"/>
          <w:sz w:val="32"/>
          <w:szCs w:val="32"/>
        </w:rPr>
        <w:t>6</w:t>
      </w:r>
      <w:r>
        <w:rPr>
          <w:rFonts w:hint="eastAsia" w:ascii="仿宋_GB2312" w:hAnsi="仿宋" w:eastAsia="仿宋_GB2312"/>
          <w:sz w:val="32"/>
          <w:szCs w:val="32"/>
        </w:rPr>
        <w:t>88人；长期聘用临时工69人。离退休人员</w:t>
      </w:r>
      <w:r>
        <w:rPr>
          <w:rFonts w:ascii="仿宋_GB2312" w:hAnsi="仿宋" w:eastAsia="仿宋_GB2312"/>
          <w:sz w:val="32"/>
          <w:szCs w:val="32"/>
        </w:rPr>
        <w:t>2</w:t>
      </w:r>
      <w:r>
        <w:rPr>
          <w:rFonts w:hint="eastAsia" w:ascii="仿宋_GB2312" w:hAnsi="仿宋" w:eastAsia="仿宋_GB2312"/>
          <w:sz w:val="32"/>
          <w:szCs w:val="32"/>
        </w:rPr>
        <w:t>86人，其中：离休</w:t>
      </w:r>
      <w:r>
        <w:rPr>
          <w:rFonts w:ascii="仿宋_GB2312" w:hAnsi="仿宋" w:eastAsia="仿宋_GB2312"/>
          <w:sz w:val="32"/>
          <w:szCs w:val="32"/>
        </w:rPr>
        <w:t>11</w:t>
      </w:r>
      <w:r>
        <w:rPr>
          <w:rFonts w:hint="eastAsia" w:ascii="仿宋_GB2312" w:hAnsi="仿宋" w:eastAsia="仿宋_GB2312"/>
          <w:sz w:val="32"/>
          <w:szCs w:val="32"/>
        </w:rPr>
        <w:t>人，退休</w:t>
      </w:r>
      <w:r>
        <w:rPr>
          <w:rFonts w:ascii="仿宋_GB2312" w:hAnsi="仿宋" w:eastAsia="仿宋_GB2312"/>
          <w:sz w:val="32"/>
          <w:szCs w:val="32"/>
        </w:rPr>
        <w:t>2</w:t>
      </w:r>
      <w:r>
        <w:rPr>
          <w:rFonts w:hint="eastAsia" w:ascii="仿宋_GB2312" w:hAnsi="仿宋" w:eastAsia="仿宋_GB2312"/>
          <w:sz w:val="32"/>
          <w:szCs w:val="32"/>
        </w:rPr>
        <w:t>7</w:t>
      </w:r>
      <w:r>
        <w:rPr>
          <w:rFonts w:ascii="仿宋_GB2312" w:hAnsi="仿宋" w:eastAsia="仿宋_GB2312"/>
          <w:sz w:val="32"/>
          <w:szCs w:val="32"/>
        </w:rPr>
        <w:t>5</w:t>
      </w:r>
      <w:r>
        <w:rPr>
          <w:rFonts w:hint="eastAsia" w:ascii="仿宋_GB2312" w:hAnsi="仿宋" w:eastAsia="仿宋_GB2312"/>
          <w:sz w:val="32"/>
          <w:szCs w:val="32"/>
        </w:rPr>
        <w:t>人。</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（三）本预算年度的主要工作任务</w:t>
      </w:r>
    </w:p>
    <w:p>
      <w:pPr>
        <w:spacing w:line="600" w:lineRule="exact"/>
        <w:ind w:firstLine="640" w:firstLineChars="200"/>
        <w:rPr>
          <w:rFonts w:ascii="楷体_GB2312" w:hAnsi="黑体" w:eastAsia="楷体_GB2312"/>
          <w:bCs/>
          <w:sz w:val="32"/>
          <w:szCs w:val="32"/>
        </w:rPr>
      </w:pPr>
      <w:r>
        <w:rPr>
          <w:rFonts w:hint="eastAsia" w:ascii="楷体_GB2312" w:hAnsi="黑体" w:eastAsia="楷体_GB2312"/>
          <w:bCs/>
          <w:sz w:val="32"/>
          <w:szCs w:val="32"/>
        </w:rPr>
        <w:t>1、推动实现更高质量和更充分就业。</w:t>
      </w:r>
    </w:p>
    <w:p>
      <w:pPr>
        <w:spacing w:line="600" w:lineRule="exact"/>
        <w:ind w:firstLine="640" w:firstLineChars="200"/>
        <w:rPr>
          <w:rFonts w:ascii="仿宋_GB2312" w:eastAsia="仿宋_GB2312"/>
          <w:bCs/>
          <w:sz w:val="32"/>
          <w:szCs w:val="32"/>
        </w:rPr>
      </w:pPr>
      <w:r>
        <w:rPr>
          <w:rFonts w:hint="eastAsia" w:ascii="仿宋_GB2312" w:eastAsia="仿宋_GB2312"/>
          <w:bCs/>
          <w:sz w:val="32"/>
          <w:szCs w:val="32"/>
        </w:rPr>
        <w:t>1. 创新区级促进就业政策。研究出台我区新一轮促进就业政策，适度提高岗位补贴、就业奖励标准，扩大就业见习补贴范围，鼓励引导企业稳定岗位。加大城市基层公共服务岗位供给，规范辅助岗位用工，扩大服务城市运行和社区基层治理的用工规模，增加城市公共服务岗位供给和岗位储备。完善区域就业监测预警机制，建立就业形势会商制度，对可能引发规模性失业的情形提前介入，确保登记失业率控制在1.5%以内。</w:t>
      </w:r>
    </w:p>
    <w:p>
      <w:pPr>
        <w:spacing w:line="600" w:lineRule="exact"/>
        <w:ind w:firstLine="640" w:firstLineChars="200"/>
        <w:rPr>
          <w:rFonts w:ascii="仿宋_GB2312" w:eastAsia="仿宋_GB2312"/>
          <w:bCs/>
          <w:sz w:val="32"/>
          <w:szCs w:val="32"/>
        </w:rPr>
      </w:pPr>
      <w:r>
        <w:rPr>
          <w:rFonts w:hint="eastAsia" w:ascii="仿宋_GB2312" w:eastAsia="仿宋_GB2312"/>
          <w:bCs/>
          <w:sz w:val="32"/>
          <w:szCs w:val="32"/>
        </w:rPr>
        <w:t>2. 精准实施公共就业服务。通过组织就业援助培训、春风行动招聘会、青年就业见习等活动，为辖区高校毕业生、登记失业人员等重点群体送政策、传技术、搭桥梁，提升就业成功率。举办西城区第二届创业创新大赛，增强示范带动作用。梳理预警企业、后备企业、即时服务企业3个清单，提高企业就业服务精准度。</w:t>
      </w:r>
    </w:p>
    <w:p>
      <w:pPr>
        <w:spacing w:line="600" w:lineRule="exact"/>
        <w:ind w:firstLine="640" w:firstLineChars="200"/>
        <w:rPr>
          <w:rFonts w:ascii="仿宋_GB2312" w:eastAsia="仿宋_GB2312"/>
          <w:bCs/>
          <w:sz w:val="32"/>
          <w:szCs w:val="32"/>
        </w:rPr>
      </w:pPr>
      <w:r>
        <w:rPr>
          <w:rFonts w:hint="eastAsia" w:ascii="仿宋_GB2312" w:eastAsia="仿宋_GB2312"/>
          <w:bCs/>
          <w:sz w:val="32"/>
          <w:szCs w:val="32"/>
        </w:rPr>
        <w:t>3.实施职业技能提升行动。探索创新与新业态相适应的技能培训项目，开展区级职业技能大赛，挖掘辖区高技能人才，推荐参评“市突出贡献人才”“优秀青年人才”“百名英才”。年度计划开展新入职职工岗前适应性培训、岗位技能提升培训和新型学徒制培训 5000人次；重点群体就业创业免费培训5000人次。</w:t>
      </w:r>
    </w:p>
    <w:p>
      <w:pPr>
        <w:spacing w:line="600" w:lineRule="exact"/>
        <w:ind w:firstLine="640" w:firstLineChars="200"/>
        <w:rPr>
          <w:rFonts w:ascii="仿宋_GB2312" w:eastAsia="仿宋_GB2312"/>
          <w:bCs/>
          <w:sz w:val="32"/>
          <w:szCs w:val="32"/>
        </w:rPr>
      </w:pPr>
      <w:r>
        <w:rPr>
          <w:rFonts w:hint="eastAsia" w:ascii="仿宋_GB2312" w:eastAsia="仿宋_GB2312"/>
          <w:bCs/>
          <w:sz w:val="32"/>
          <w:szCs w:val="32"/>
        </w:rPr>
        <w:t>4.继续扩大就业服务成果。加强人力资源市场监管，发挥市场配置人力资源决定性作用。加强公共就业服务机构与高层次人力资源服务机构合作，对接高精尖企业筛选高层次就业岗位，匹配个人需求。实施扶贫“授渔”行动，继续在喀喇沁、鄂伦春、阜平推进致富带头人实训基地建设，扩大实训基地数量和规模。订制帮扶项目，提升返乡创业致富带头人带贫益贫能力。</w:t>
      </w:r>
    </w:p>
    <w:p>
      <w:pPr>
        <w:spacing w:line="600" w:lineRule="exact"/>
        <w:ind w:firstLine="640" w:firstLineChars="200"/>
        <w:rPr>
          <w:rFonts w:ascii="楷体_GB2312" w:hAnsi="黑体" w:eastAsia="楷体_GB2312"/>
          <w:bCs/>
          <w:sz w:val="32"/>
          <w:szCs w:val="32"/>
        </w:rPr>
      </w:pPr>
      <w:r>
        <w:rPr>
          <w:rFonts w:hint="eastAsia" w:ascii="楷体_GB2312" w:hAnsi="黑体" w:eastAsia="楷体_GB2312"/>
          <w:bCs/>
          <w:sz w:val="32"/>
          <w:szCs w:val="32"/>
        </w:rPr>
        <w:t>2、着力提升社会保障水平。</w:t>
      </w:r>
    </w:p>
    <w:p>
      <w:pPr>
        <w:spacing w:line="600" w:lineRule="exact"/>
        <w:ind w:firstLine="640" w:firstLineChars="200"/>
        <w:rPr>
          <w:rFonts w:ascii="仿宋_GB2312" w:eastAsia="仿宋_GB2312"/>
          <w:bCs/>
          <w:sz w:val="32"/>
          <w:szCs w:val="32"/>
        </w:rPr>
      </w:pPr>
      <w:r>
        <w:rPr>
          <w:rFonts w:hint="eastAsia" w:ascii="仿宋_GB2312" w:eastAsia="仿宋_GB2312"/>
          <w:bCs/>
          <w:sz w:val="32"/>
          <w:szCs w:val="32"/>
        </w:rPr>
        <w:t>1.完善社会保险体系。实施全民参保计划，推动建立多层次的社会保障体系，支持引导有条件的企业积极参加企业年金等补充养老保险。落实社保待遇正常调整机制，全面推进第三代社保卡“多卡合一”建设，稳步提高各项社保待遇水平。按照北京市要求落实城乡居民养老保险基金市级统筹任务。制定实施西城区街道市区养老保险退休申报服务规范，统一行政业务审核标准。制定工伤保险行政工作内控管理办法，规范工伤认定行为，加大案情研判力度，确保工伤认定行政争议案件发生率控制在业务总量的0.8%以内。</w:t>
      </w:r>
    </w:p>
    <w:p>
      <w:pPr>
        <w:spacing w:line="600" w:lineRule="exact"/>
        <w:ind w:firstLine="640" w:firstLineChars="200"/>
        <w:rPr>
          <w:rFonts w:ascii="仿宋_GB2312" w:hAnsi="仿宋" w:eastAsia="仿宋_GB2312"/>
          <w:sz w:val="32"/>
          <w:szCs w:val="32"/>
        </w:rPr>
      </w:pPr>
      <w:r>
        <w:rPr>
          <w:rFonts w:hint="eastAsia" w:ascii="仿宋_GB2312" w:eastAsia="仿宋_GB2312"/>
          <w:bCs/>
          <w:sz w:val="32"/>
          <w:szCs w:val="32"/>
        </w:rPr>
        <w:t>2.</w:t>
      </w:r>
      <w:r>
        <w:rPr>
          <w:rFonts w:hint="eastAsia" w:ascii="仿宋_GB2312" w:hAnsi="楷体" w:eastAsia="仿宋_GB2312"/>
          <w:sz w:val="32"/>
          <w:szCs w:val="32"/>
        </w:rPr>
        <w:t>推进社保服务改革。梳理整合业务流程，实行“一窗式受理”“综合柜员制”等服务模式；优化网上申报办理流程，实现复杂业务“少跑路”、简单业务“零跑路”。推进西城人力社保大厦服务大厅改造，增加便民功能，展示社保文化。</w:t>
      </w:r>
      <w:r>
        <w:rPr>
          <w:rFonts w:hint="eastAsia" w:ascii="仿宋_GB2312" w:eastAsia="仿宋_GB2312"/>
          <w:bCs/>
          <w:sz w:val="32"/>
          <w:szCs w:val="32"/>
        </w:rPr>
        <w:t>提升劳动能力鉴定环境，推进业务档案电子化，继续保持鉴定结论“零改变”。</w:t>
      </w:r>
      <w:r>
        <w:rPr>
          <w:rFonts w:hint="eastAsia" w:ascii="仿宋_GB2312" w:hAnsi="仿宋" w:eastAsia="仿宋_GB2312"/>
          <w:sz w:val="32"/>
          <w:szCs w:val="32"/>
        </w:rPr>
        <w:t>做好职务职级并行、事业单位改革等配套的机关事业养老保险制度改革。</w:t>
      </w:r>
    </w:p>
    <w:p>
      <w:pPr>
        <w:spacing w:line="600" w:lineRule="exact"/>
        <w:ind w:firstLine="640" w:firstLineChars="200"/>
        <w:rPr>
          <w:rFonts w:ascii="仿宋_GB2312" w:eastAsia="仿宋_GB2312"/>
          <w:bCs/>
          <w:sz w:val="32"/>
          <w:szCs w:val="32"/>
        </w:rPr>
      </w:pPr>
      <w:r>
        <w:rPr>
          <w:rFonts w:hint="eastAsia" w:ascii="仿宋_GB2312" w:eastAsia="仿宋_GB2312"/>
          <w:bCs/>
          <w:sz w:val="32"/>
          <w:szCs w:val="32"/>
        </w:rPr>
        <w:t>3.做好重点改革任务衔接工作。制定《西城区国有企业退休人员社会化管理操作办法》，完成国有企业退休人员社会化管理任务。做好社保费用划转税务征收、医保局相关业务划转工作，及时处理疑难问题，维护参保人权益。积极与北京市社保中心建立数据对接机制，实现社保数据共享。积极做好社保基金安全防范工作，保证基金平稳安全有效运行。</w:t>
      </w:r>
    </w:p>
    <w:p>
      <w:pPr>
        <w:spacing w:line="600" w:lineRule="exact"/>
        <w:ind w:firstLine="640" w:firstLineChars="200"/>
        <w:rPr>
          <w:rFonts w:ascii="楷体_GB2312" w:hAnsi="黑体" w:eastAsia="楷体_GB2312" w:cs="仿宋_GB2312"/>
          <w:color w:val="000000"/>
          <w:sz w:val="32"/>
          <w:szCs w:val="32"/>
        </w:rPr>
      </w:pPr>
      <w:r>
        <w:rPr>
          <w:rFonts w:hint="eastAsia" w:ascii="楷体_GB2312" w:hAnsi="黑体" w:eastAsia="楷体_GB2312" w:cs="仿宋_GB2312"/>
          <w:color w:val="000000"/>
          <w:sz w:val="32"/>
          <w:szCs w:val="32"/>
        </w:rPr>
        <w:t>3、深化人才人事体制机制改革。</w:t>
      </w:r>
    </w:p>
    <w:p>
      <w:pPr>
        <w:spacing w:line="600" w:lineRule="exact"/>
        <w:ind w:firstLine="640" w:firstLineChars="200"/>
        <w:rPr>
          <w:rFonts w:ascii="仿宋_GB2312" w:hAnsi="仿宋" w:eastAsia="仿宋_GB2312"/>
          <w:sz w:val="32"/>
          <w:szCs w:val="32"/>
        </w:rPr>
      </w:pPr>
      <w:r>
        <w:rPr>
          <w:rFonts w:hint="eastAsia" w:ascii="仿宋" w:hAnsi="仿宋" w:eastAsia="仿宋"/>
          <w:sz w:val="32"/>
          <w:szCs w:val="32"/>
        </w:rPr>
        <w:t>1.加大人才服务效能。围绕区域“高精尖”产业发展人才需求，研究制定加强西城区人才服务工作的意见，运行人力资源总监联席会制度，为辖区各类用人单位的人力资源管理者搭建培训交流平台。通过专家推荐引</w:t>
      </w:r>
      <w:r>
        <w:rPr>
          <w:rFonts w:hint="eastAsia" w:ascii="仿宋_GB2312" w:hAnsi="仿宋_GB2312" w:eastAsia="仿宋_GB2312" w:cs="仿宋_GB2312"/>
          <w:color w:val="000000"/>
          <w:sz w:val="32"/>
          <w:szCs w:val="32"/>
        </w:rPr>
        <w:t>进、创新成果评价引进、突</w:t>
      </w:r>
      <w:r>
        <w:rPr>
          <w:rFonts w:hint="eastAsia" w:ascii="仿宋_GB2312" w:hAnsi="仿宋" w:eastAsia="仿宋_GB2312"/>
          <w:sz w:val="32"/>
          <w:szCs w:val="32"/>
        </w:rPr>
        <w:t>出贡献评价引进、市场评价引进等多元化引才机制</w:t>
      </w:r>
      <w:r>
        <w:rPr>
          <w:rFonts w:hint="eastAsia" w:ascii="仿宋_GB2312" w:hAnsi="仿宋_GB2312" w:eastAsia="仿宋_GB2312" w:cs="仿宋_GB2312"/>
          <w:color w:val="000000"/>
          <w:sz w:val="32"/>
          <w:szCs w:val="32"/>
        </w:rPr>
        <w:t>，培育和引入高端人力资源服务机构和国际猎头公司</w:t>
      </w:r>
      <w:r>
        <w:rPr>
          <w:rFonts w:hint="eastAsia" w:ascii="仿宋_GB2312" w:hAnsi="仿宋" w:eastAsia="仿宋_GB2312"/>
          <w:sz w:val="32"/>
          <w:szCs w:val="32"/>
        </w:rPr>
        <w:t>，加大人才引进效能。</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深化人事制度改革。积极争取市级试点，按照北京市统一要求完成事业单位机构改革任务。落实《事业单位工作人员奖励规定》，开展我区事业单位人员首次奖励工作。组织事业单位任职和新招聘人员培训、事业单位人员招聘引入专业测评和心理测试等环节，不断规范事业单位人事管理。深化职称改革，拓展职称评价范围，推行职称评审代表作制度，积极开展职称评审直通车、职称结构比例调整工作。按照北京市统一要求，以区委区政府名义开展区级表彰。</w:t>
      </w:r>
    </w:p>
    <w:p>
      <w:pPr>
        <w:spacing w:line="600" w:lineRule="exact"/>
        <w:ind w:firstLine="640" w:firstLineChars="200"/>
        <w:rPr>
          <w:rFonts w:ascii="楷体_GB2312" w:hAnsi="黑体" w:eastAsia="楷体_GB2312"/>
          <w:sz w:val="32"/>
          <w:szCs w:val="32"/>
        </w:rPr>
      </w:pPr>
      <w:r>
        <w:rPr>
          <w:rFonts w:hint="eastAsia" w:ascii="楷体_GB2312" w:hAnsi="黑体" w:eastAsia="楷体_GB2312"/>
          <w:sz w:val="32"/>
          <w:szCs w:val="32"/>
        </w:rPr>
        <w:t>4、确保区域劳动关系和谐稳定。</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完善劳动关系调控体系。探索建设“构建和谐劳动关系服务平台”，健全完善劳动关系三方委员会工作机制，实施辖区和谐劳动关系单位星级评价制度，发挥创建引领作用。推行集体协商制度，提高职工参与度和协商实效性。</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积极防控劳动关系风险。强化源头预防，聚焦案件多发领域及行业，采取上门普法、服务指导、政策推送等宣传形式，指导企业规范用工行为。加大执法监管，完善部门联动机制，集中开展根治欠薪攻坚行动，实现欠薪隐患排查“全覆盖、零盲区”，实现欠薪案件“两个清零”、群体性事件“四下降”。推进劳动保障领域社会信用体系建设，对失信企业实施联合监管、综合治理。全力做好“治欠保支”国考迎检任务。</w:t>
      </w:r>
    </w:p>
    <w:p>
      <w:pPr>
        <w:spacing w:line="600" w:lineRule="exact"/>
        <w:ind w:firstLine="640" w:firstLineChars="200"/>
        <w:rPr>
          <w:rFonts w:eastAsia="仿宋_GB2312"/>
          <w:sz w:val="32"/>
          <w:szCs w:val="32"/>
        </w:rPr>
      </w:pPr>
      <w:r>
        <w:rPr>
          <w:rFonts w:hint="eastAsia" w:ascii="仿宋_GB2312" w:hAnsi="仿宋" w:eastAsia="仿宋_GB2312"/>
          <w:sz w:val="32"/>
          <w:szCs w:val="32"/>
        </w:rPr>
        <w:t>3.不断提高争议仲裁质量。针对不同群体需求，探索差异化服务措施，组织专场法律宣讲、“仲裁员进百企”、“仲裁开放日”等</w:t>
      </w:r>
      <w:r>
        <w:rPr>
          <w:rFonts w:hint="eastAsia" w:eastAsia="仿宋_GB2312"/>
          <w:sz w:val="32"/>
          <w:szCs w:val="32"/>
        </w:rPr>
        <w:t>活动，推进纠纷预防。建立金融街和德胜园区分庭，近距离为金融、高新技术企业提供服务。成立仲裁院专家咨询委员会，提高仲裁办案质量。加强调解组织建设，与街道调解实现信息共享，提高案件调解率。优化办案流程，提高办案效率，强化裁审衔接机制，合力维护区域劳动关系稳定。</w:t>
      </w:r>
    </w:p>
    <w:p>
      <w:pPr>
        <w:spacing w:line="600" w:lineRule="exact"/>
        <w:ind w:firstLine="640" w:firstLineChars="200"/>
        <w:rPr>
          <w:rFonts w:ascii="楷体_GB2312" w:hAnsi="黑体" w:eastAsia="楷体_GB2312"/>
          <w:sz w:val="32"/>
          <w:szCs w:val="32"/>
        </w:rPr>
      </w:pPr>
      <w:r>
        <w:rPr>
          <w:rFonts w:hint="eastAsia" w:ascii="楷体_GB2312" w:hAnsi="黑体" w:eastAsia="楷体_GB2312"/>
          <w:sz w:val="32"/>
          <w:szCs w:val="32"/>
        </w:rPr>
        <w:t>5、全力提升人力社保综合效能。</w:t>
      </w:r>
    </w:p>
    <w:p>
      <w:pPr>
        <w:spacing w:line="600" w:lineRule="exact"/>
        <w:ind w:firstLine="640" w:firstLineChars="200"/>
        <w:rPr>
          <w:rFonts w:ascii="仿宋_GB2312" w:hAnsi="楷体" w:eastAsia="仿宋_GB2312"/>
          <w:sz w:val="32"/>
          <w:szCs w:val="32"/>
        </w:rPr>
      </w:pPr>
      <w:r>
        <w:rPr>
          <w:rFonts w:hint="eastAsia" w:ascii="仿宋_GB2312" w:hAnsi="仿宋" w:eastAsia="仿宋_GB2312"/>
          <w:sz w:val="32"/>
          <w:szCs w:val="32"/>
        </w:rPr>
        <w:t>1.积极推进人力社保治理体系和治理能力现代化。探索建立局政务服务体系，配套制定相关制度，定期梳理法规、职权、服务事项清单，定期公布实施。</w:t>
      </w:r>
      <w:r>
        <w:rPr>
          <w:rFonts w:hint="eastAsia" w:ascii="仿宋_GB2312" w:hAnsi="楷体" w:eastAsia="仿宋_GB2312"/>
          <w:sz w:val="32"/>
          <w:szCs w:val="32"/>
        </w:rPr>
        <w:t>完善微信公众号服务功能，加快建设“网上人社”和“掌上人社”，不断提升政务服务水平。</w:t>
      </w:r>
      <w:r>
        <w:rPr>
          <w:rFonts w:hint="eastAsia" w:ascii="仿宋_GB2312" w:hAnsi="仿宋" w:eastAsia="仿宋_GB2312"/>
          <w:sz w:val="32"/>
          <w:szCs w:val="32"/>
        </w:rPr>
        <w:t>开展人力</w:t>
      </w:r>
      <w:r>
        <w:rPr>
          <w:rFonts w:hint="eastAsia" w:ascii="仿宋_GB2312" w:hAnsi="楷体" w:eastAsia="仿宋_GB2312"/>
          <w:sz w:val="32"/>
          <w:szCs w:val="32"/>
        </w:rPr>
        <w:t>社保“一件事流程图”二期编制工作，适时向社会发布。全力做好12345接诉即办工作，</w:t>
      </w:r>
      <w:r>
        <w:rPr>
          <w:rFonts w:ascii="仿宋_GB2312" w:hAnsi="楷体" w:eastAsia="仿宋_GB2312"/>
          <w:sz w:val="32"/>
          <w:szCs w:val="32"/>
        </w:rPr>
        <w:t>检视问题、分析症结，从深化认识、狠抓管理、建立长效机制入手，全力提升“接诉即办”工作水平。</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 开展十四五时期西城区促进充分就业和社会保障体系研究，编制西城区“十四五”时期人力资源和社会保障事业发展规划。牵头实施全区《关于进一步优化整合基层一线力量的实施方案》，建立基层治理一线力量区级统筹、街道管理、社区使用的体制机制。</w:t>
      </w:r>
    </w:p>
    <w:p>
      <w:pPr>
        <w:spacing w:line="360" w:lineRule="auto"/>
        <w:ind w:firstLine="600" w:firstLineChars="200"/>
        <w:outlineLvl w:val="0"/>
        <w:rPr>
          <w:rFonts w:ascii="黑体" w:hAnsi="黑体" w:eastAsia="黑体" w:cs="Times New Roman"/>
          <w:sz w:val="30"/>
          <w:szCs w:val="30"/>
        </w:rPr>
      </w:pPr>
      <w:r>
        <w:rPr>
          <w:rFonts w:hint="eastAsia" w:ascii="黑体" w:hAnsi="黑体" w:eastAsia="黑体" w:cs="黑体"/>
          <w:sz w:val="30"/>
          <w:szCs w:val="30"/>
        </w:rPr>
        <w:t>二、</w:t>
      </w:r>
      <w:r>
        <w:rPr>
          <w:rFonts w:ascii="黑体" w:hAnsi="黑体" w:eastAsia="黑体" w:cs="黑体"/>
          <w:sz w:val="30"/>
          <w:szCs w:val="30"/>
        </w:rPr>
        <w:t>2020</w:t>
      </w:r>
      <w:r>
        <w:rPr>
          <w:rFonts w:hint="eastAsia" w:ascii="黑体" w:hAnsi="黑体" w:eastAsia="黑体" w:cs="黑体"/>
          <w:sz w:val="30"/>
          <w:szCs w:val="30"/>
        </w:rPr>
        <w:t>年部门预算收支及增减变化情况说明</w:t>
      </w:r>
    </w:p>
    <w:p>
      <w:pPr>
        <w:spacing w:line="360" w:lineRule="auto"/>
        <w:ind w:firstLine="640" w:firstLineChars="200"/>
        <w:outlineLvl w:val="0"/>
        <w:rPr>
          <w:rFonts w:ascii="仿宋" w:hAnsi="仿宋" w:eastAsia="仿宋" w:cs="Times New Roman"/>
          <w:sz w:val="32"/>
          <w:szCs w:val="32"/>
        </w:rPr>
      </w:pPr>
      <w:r>
        <w:rPr>
          <w:rFonts w:ascii="仿宋" w:hAnsi="仿宋" w:eastAsia="仿宋" w:cs="仿宋"/>
          <w:sz w:val="32"/>
          <w:szCs w:val="32"/>
        </w:rPr>
        <w:t>(</w:t>
      </w:r>
      <w:r>
        <w:rPr>
          <w:rFonts w:hint="eastAsia" w:ascii="仿宋" w:hAnsi="仿宋" w:eastAsia="仿宋" w:cs="仿宋"/>
          <w:sz w:val="32"/>
          <w:szCs w:val="32"/>
        </w:rPr>
        <w:t>一</w:t>
      </w:r>
      <w:r>
        <w:rPr>
          <w:rFonts w:ascii="仿宋" w:hAnsi="仿宋" w:eastAsia="仿宋" w:cs="仿宋"/>
          <w:sz w:val="32"/>
          <w:szCs w:val="32"/>
        </w:rPr>
        <w:t>)</w:t>
      </w:r>
      <w:r>
        <w:rPr>
          <w:rFonts w:hint="eastAsia" w:ascii="仿宋" w:hAnsi="仿宋" w:eastAsia="仿宋" w:cs="仿宋"/>
          <w:sz w:val="32"/>
          <w:szCs w:val="32"/>
        </w:rPr>
        <w:t>收入预算说明</w:t>
      </w:r>
    </w:p>
    <w:p>
      <w:pPr>
        <w:spacing w:line="360" w:lineRule="auto"/>
        <w:ind w:firstLine="640" w:firstLineChars="200"/>
        <w:rPr>
          <w:rFonts w:ascii="仿宋_GB2312" w:hAnsi="仿宋" w:eastAsia="仿宋_GB2312"/>
          <w:sz w:val="32"/>
          <w:szCs w:val="32"/>
        </w:rPr>
      </w:pPr>
      <w:r>
        <w:rPr>
          <w:rFonts w:ascii="仿宋_GB2312" w:hAnsi="仿宋" w:eastAsia="仿宋_GB2312"/>
          <w:sz w:val="32"/>
          <w:szCs w:val="32"/>
        </w:rPr>
        <w:t>2020</w:t>
      </w:r>
      <w:r>
        <w:rPr>
          <w:rFonts w:hint="eastAsia" w:ascii="仿宋_GB2312" w:hAnsi="仿宋" w:eastAsia="仿宋_GB2312"/>
          <w:sz w:val="32"/>
          <w:szCs w:val="32"/>
        </w:rPr>
        <w:t>年收入预算</w:t>
      </w:r>
      <w:r>
        <w:rPr>
          <w:rFonts w:ascii="仿宋_GB2312" w:hAnsi="仿宋" w:eastAsia="仿宋_GB2312"/>
          <w:sz w:val="32"/>
          <w:szCs w:val="32"/>
        </w:rPr>
        <w:t>404,811,845.20</w:t>
      </w:r>
      <w:r>
        <w:rPr>
          <w:rFonts w:hint="eastAsia" w:ascii="仿宋_GB2312" w:hAnsi="仿宋" w:eastAsia="仿宋_GB2312"/>
          <w:sz w:val="32"/>
          <w:szCs w:val="32"/>
        </w:rPr>
        <w:t>元，其中</w:t>
      </w:r>
      <w:r>
        <w:rPr>
          <w:rFonts w:ascii="仿宋_GB2312" w:hAnsi="仿宋" w:eastAsia="仿宋_GB2312"/>
          <w:sz w:val="32"/>
          <w:szCs w:val="32"/>
        </w:rPr>
        <w:t>:</w:t>
      </w:r>
      <w:r>
        <w:rPr>
          <w:rFonts w:hint="eastAsia" w:ascii="仿宋_GB2312" w:hAnsi="仿宋" w:eastAsia="仿宋_GB2312"/>
          <w:sz w:val="32"/>
          <w:szCs w:val="32"/>
        </w:rPr>
        <w:t>一般公共预算财政拨款</w:t>
      </w:r>
      <w:r>
        <w:rPr>
          <w:rFonts w:ascii="仿宋_GB2312" w:hAnsi="仿宋" w:eastAsia="仿宋_GB2312"/>
          <w:sz w:val="32"/>
          <w:szCs w:val="32"/>
        </w:rPr>
        <w:t>404,652,805.20</w:t>
      </w:r>
      <w:r>
        <w:rPr>
          <w:rFonts w:hint="eastAsia" w:ascii="仿宋_GB2312" w:hAnsi="仿宋" w:eastAsia="仿宋_GB2312"/>
          <w:sz w:val="32"/>
          <w:szCs w:val="32"/>
        </w:rPr>
        <w:t>元，市级提前下达专项转移支付项目资金</w:t>
      </w:r>
      <w:r>
        <w:rPr>
          <w:rFonts w:ascii="仿宋_GB2312" w:hAnsi="仿宋" w:eastAsia="仿宋_GB2312"/>
          <w:sz w:val="32"/>
          <w:szCs w:val="32"/>
        </w:rPr>
        <w:t>159,040.00</w:t>
      </w:r>
      <w:r>
        <w:rPr>
          <w:rFonts w:hint="eastAsia" w:ascii="仿宋_GB2312" w:hAnsi="仿宋" w:eastAsia="仿宋_GB2312"/>
          <w:sz w:val="32"/>
          <w:szCs w:val="32"/>
        </w:rPr>
        <w:t>元。比</w:t>
      </w:r>
      <w:r>
        <w:rPr>
          <w:rFonts w:ascii="仿宋_GB2312" w:hAnsi="仿宋" w:eastAsia="仿宋_GB2312"/>
          <w:sz w:val="32"/>
          <w:szCs w:val="32"/>
        </w:rPr>
        <w:t>2019</w:t>
      </w:r>
      <w:r>
        <w:rPr>
          <w:rFonts w:hint="eastAsia" w:ascii="仿宋_GB2312" w:hAnsi="仿宋" w:eastAsia="仿宋_GB2312"/>
          <w:sz w:val="32"/>
          <w:szCs w:val="32"/>
        </w:rPr>
        <w:t>年收入预算</w:t>
      </w:r>
      <w:r>
        <w:rPr>
          <w:rFonts w:ascii="仿宋_GB2312" w:hAnsi="仿宋" w:eastAsia="仿宋_GB2312"/>
          <w:sz w:val="32"/>
          <w:szCs w:val="32"/>
        </w:rPr>
        <w:t>1,071,325,102.36</w:t>
      </w:r>
      <w:r>
        <w:rPr>
          <w:rFonts w:hint="eastAsia" w:ascii="仿宋_GB2312" w:hAnsi="仿宋" w:eastAsia="仿宋_GB2312"/>
          <w:sz w:val="32"/>
          <w:szCs w:val="32"/>
        </w:rPr>
        <w:t>元减少了</w:t>
      </w:r>
      <w:r>
        <w:rPr>
          <w:rFonts w:ascii="仿宋_GB2312" w:hAnsi="仿宋" w:eastAsia="仿宋_GB2312"/>
          <w:sz w:val="32"/>
          <w:szCs w:val="32"/>
        </w:rPr>
        <w:t>666,513,257.16</w:t>
      </w:r>
      <w:r>
        <w:rPr>
          <w:rFonts w:hint="eastAsia" w:ascii="仿宋_GB2312" w:hAnsi="仿宋" w:eastAsia="仿宋_GB2312"/>
          <w:sz w:val="32"/>
          <w:szCs w:val="32"/>
        </w:rPr>
        <w:t>元</w:t>
      </w:r>
      <w:r>
        <w:rPr>
          <w:rFonts w:ascii="仿宋_GB2312" w:hAnsi="仿宋" w:eastAsia="仿宋_GB2312"/>
          <w:sz w:val="32"/>
          <w:szCs w:val="32"/>
        </w:rPr>
        <w:t>,</w:t>
      </w:r>
      <w:r>
        <w:rPr>
          <w:rFonts w:hint="eastAsia" w:ascii="仿宋_GB2312" w:hAnsi="仿宋" w:eastAsia="仿宋_GB2312"/>
          <w:sz w:val="32"/>
          <w:szCs w:val="32"/>
        </w:rPr>
        <w:t>减幅</w:t>
      </w:r>
      <w:r>
        <w:rPr>
          <w:rFonts w:ascii="仿宋_GB2312" w:hAnsi="仿宋" w:eastAsia="仿宋_GB2312"/>
          <w:sz w:val="32"/>
          <w:szCs w:val="32"/>
        </w:rPr>
        <w:t>6</w:t>
      </w:r>
      <w:r>
        <w:rPr>
          <w:rFonts w:hint="eastAsia" w:ascii="仿宋_GB2312" w:hAnsi="仿宋" w:eastAsia="仿宋_GB2312"/>
          <w:sz w:val="32"/>
          <w:szCs w:val="32"/>
        </w:rPr>
        <w:t>2</w:t>
      </w:r>
      <w:r>
        <w:rPr>
          <w:rFonts w:ascii="仿宋_GB2312" w:hAnsi="仿宋" w:eastAsia="仿宋_GB2312"/>
          <w:sz w:val="32"/>
          <w:szCs w:val="32"/>
        </w:rPr>
        <w:t>.</w:t>
      </w:r>
      <w:r>
        <w:rPr>
          <w:rFonts w:hint="eastAsia" w:ascii="仿宋_GB2312" w:hAnsi="仿宋" w:eastAsia="仿宋_GB2312"/>
          <w:sz w:val="32"/>
          <w:szCs w:val="32"/>
        </w:rPr>
        <w:t>21</w:t>
      </w:r>
      <w:r>
        <w:rPr>
          <w:rFonts w:ascii="仿宋_GB2312" w:hAnsi="仿宋" w:eastAsia="仿宋_GB2312"/>
          <w:sz w:val="32"/>
          <w:szCs w:val="32"/>
        </w:rPr>
        <w:t xml:space="preserve"> %</w:t>
      </w:r>
      <w:r>
        <w:rPr>
          <w:rFonts w:hint="eastAsia" w:ascii="仿宋_GB2312" w:hAnsi="仿宋" w:eastAsia="仿宋_GB2312"/>
          <w:sz w:val="32"/>
          <w:szCs w:val="32"/>
        </w:rPr>
        <w:t>。减少的主要原因是市级专项转移支付项目提前下达资金减少。比</w:t>
      </w:r>
      <w:r>
        <w:rPr>
          <w:rFonts w:ascii="仿宋_GB2312" w:hAnsi="仿宋" w:eastAsia="仿宋_GB2312"/>
          <w:sz w:val="32"/>
          <w:szCs w:val="32"/>
        </w:rPr>
        <w:t>2019</w:t>
      </w:r>
      <w:r>
        <w:rPr>
          <w:rFonts w:hint="eastAsia" w:ascii="仿宋_GB2312" w:hAnsi="仿宋" w:eastAsia="仿宋_GB2312"/>
          <w:sz w:val="32"/>
          <w:szCs w:val="32"/>
        </w:rPr>
        <w:t>年一般公共预算财政拨款收入</w:t>
      </w:r>
      <w:r>
        <w:rPr>
          <w:rFonts w:ascii="仿宋_GB2312" w:hAnsi="仿宋" w:eastAsia="仿宋_GB2312"/>
          <w:sz w:val="32"/>
          <w:szCs w:val="32"/>
        </w:rPr>
        <w:t>652,197,731.58</w:t>
      </w:r>
      <w:r>
        <w:rPr>
          <w:rFonts w:hint="eastAsia" w:ascii="仿宋_GB2312" w:hAnsi="仿宋" w:eastAsia="仿宋_GB2312"/>
          <w:sz w:val="32"/>
          <w:szCs w:val="32"/>
        </w:rPr>
        <w:t>元减少</w:t>
      </w:r>
      <w:r>
        <w:rPr>
          <w:rFonts w:ascii="仿宋_GB2312" w:hAnsi="仿宋" w:eastAsia="仿宋_GB2312"/>
          <w:sz w:val="32"/>
          <w:szCs w:val="32"/>
        </w:rPr>
        <w:t>247,544,926.38</w:t>
      </w:r>
      <w:r>
        <w:rPr>
          <w:rFonts w:hint="eastAsia" w:ascii="仿宋_GB2312" w:hAnsi="仿宋" w:eastAsia="仿宋_GB2312"/>
          <w:sz w:val="32"/>
          <w:szCs w:val="32"/>
        </w:rPr>
        <w:t>元，下降37</w:t>
      </w:r>
      <w:r>
        <w:rPr>
          <w:rFonts w:ascii="仿宋_GB2312" w:hAnsi="仿宋" w:eastAsia="仿宋_GB2312"/>
          <w:sz w:val="32"/>
          <w:szCs w:val="32"/>
        </w:rPr>
        <w:t>.</w:t>
      </w:r>
      <w:r>
        <w:rPr>
          <w:rFonts w:hint="eastAsia" w:ascii="仿宋_GB2312" w:hAnsi="仿宋" w:eastAsia="仿宋_GB2312"/>
          <w:sz w:val="32"/>
          <w:szCs w:val="32"/>
        </w:rPr>
        <w:t>96</w:t>
      </w:r>
      <w:r>
        <w:rPr>
          <w:rFonts w:ascii="仿宋_GB2312" w:hAnsi="仿宋" w:eastAsia="仿宋_GB2312"/>
          <w:sz w:val="32"/>
          <w:szCs w:val="32"/>
        </w:rPr>
        <w:t>%</w:t>
      </w:r>
      <w:r>
        <w:rPr>
          <w:rFonts w:hint="eastAsia" w:ascii="仿宋_GB2312" w:hAnsi="仿宋" w:eastAsia="仿宋_GB2312"/>
          <w:sz w:val="32"/>
          <w:szCs w:val="32"/>
        </w:rPr>
        <w:t>，下降的主要原因是根据中共北京市委、北京市政府批准的《北京市西城区机构改革方案》，进行职责调整</w:t>
      </w:r>
      <w:r>
        <w:rPr>
          <w:rFonts w:ascii="仿宋_GB2312" w:hAnsi="仿宋" w:eastAsia="仿宋_GB2312"/>
          <w:sz w:val="32"/>
          <w:szCs w:val="32"/>
        </w:rPr>
        <w:t>,</w:t>
      </w:r>
      <w:r>
        <w:rPr>
          <w:rFonts w:hint="eastAsia" w:ascii="仿宋_GB2312" w:hAnsi="仿宋" w:eastAsia="仿宋_GB2312"/>
          <w:sz w:val="32"/>
          <w:szCs w:val="32"/>
        </w:rPr>
        <w:t xml:space="preserve"> 将公务员管理职责、人才工作相关职责划转至区委组织部，将军官转业安置职责划转至区退役军人事务局。</w:t>
      </w:r>
    </w:p>
    <w:p>
      <w:pPr>
        <w:spacing w:line="360" w:lineRule="auto"/>
        <w:ind w:firstLine="640" w:firstLineChars="200"/>
        <w:outlineLvl w:val="0"/>
        <w:rPr>
          <w:rFonts w:ascii="仿宋" w:hAnsi="仿宋" w:eastAsia="仿宋" w:cs="Times New Roman"/>
          <w:sz w:val="32"/>
          <w:szCs w:val="32"/>
        </w:rPr>
      </w:pPr>
      <w:r>
        <w:rPr>
          <w:rFonts w:ascii="仿宋" w:hAnsi="仿宋" w:eastAsia="仿宋" w:cs="仿宋"/>
          <w:sz w:val="32"/>
          <w:szCs w:val="32"/>
        </w:rPr>
        <w:t>(</w:t>
      </w:r>
      <w:r>
        <w:rPr>
          <w:rFonts w:hint="eastAsia" w:ascii="仿宋" w:hAnsi="仿宋" w:eastAsia="仿宋" w:cs="仿宋"/>
          <w:sz w:val="32"/>
          <w:szCs w:val="32"/>
        </w:rPr>
        <w:t>二</w:t>
      </w:r>
      <w:r>
        <w:rPr>
          <w:rFonts w:ascii="仿宋" w:hAnsi="仿宋" w:eastAsia="仿宋" w:cs="仿宋"/>
          <w:sz w:val="32"/>
          <w:szCs w:val="32"/>
        </w:rPr>
        <w:t>)</w:t>
      </w:r>
      <w:r>
        <w:rPr>
          <w:rFonts w:hint="eastAsia" w:ascii="仿宋" w:hAnsi="仿宋" w:eastAsia="仿宋" w:cs="仿宋"/>
          <w:sz w:val="32"/>
          <w:szCs w:val="32"/>
        </w:rPr>
        <w:t>支出预算说明</w:t>
      </w:r>
    </w:p>
    <w:p>
      <w:pPr>
        <w:ind w:firstLine="640" w:firstLineChars="200"/>
        <w:rPr>
          <w:rFonts w:ascii="仿宋" w:hAnsi="仿宋" w:eastAsia="仿宋" w:cs="Times New Roman"/>
          <w:sz w:val="32"/>
          <w:szCs w:val="32"/>
        </w:rPr>
      </w:pPr>
      <w:r>
        <w:rPr>
          <w:rFonts w:ascii="仿宋" w:hAnsi="仿宋" w:eastAsia="仿宋" w:cs="仿宋"/>
          <w:sz w:val="32"/>
          <w:szCs w:val="32"/>
        </w:rPr>
        <w:t>2020</w:t>
      </w:r>
      <w:r>
        <w:rPr>
          <w:rFonts w:hint="eastAsia" w:ascii="仿宋" w:hAnsi="仿宋" w:eastAsia="仿宋" w:cs="仿宋"/>
          <w:sz w:val="32"/>
          <w:szCs w:val="32"/>
        </w:rPr>
        <w:t>年支出预算按用途划分：</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、基本支出预算</w:t>
      </w:r>
      <w:r>
        <w:rPr>
          <w:rFonts w:ascii="仿宋" w:hAnsi="仿宋" w:eastAsia="仿宋" w:cs="仿宋"/>
          <w:sz w:val="32"/>
          <w:szCs w:val="32"/>
        </w:rPr>
        <w:t>209,035,220.83</w:t>
      </w:r>
      <w:r>
        <w:rPr>
          <w:rFonts w:hint="eastAsia" w:ascii="仿宋" w:hAnsi="仿宋" w:eastAsia="仿宋" w:cs="仿宋"/>
          <w:sz w:val="32"/>
          <w:szCs w:val="32"/>
        </w:rPr>
        <w:t>元，占总支出预算的51</w:t>
      </w:r>
      <w:r>
        <w:rPr>
          <w:rFonts w:ascii="仿宋" w:hAnsi="仿宋" w:eastAsia="仿宋" w:cs="仿宋"/>
          <w:sz w:val="32"/>
          <w:szCs w:val="32"/>
        </w:rPr>
        <w:t>.66%</w:t>
      </w:r>
      <w:r>
        <w:rPr>
          <w:rFonts w:hint="eastAsia" w:ascii="仿宋" w:hAnsi="仿宋" w:eastAsia="仿宋" w:cs="仿宋"/>
          <w:sz w:val="32"/>
          <w:szCs w:val="32"/>
        </w:rPr>
        <w:t>，比</w:t>
      </w:r>
      <w:r>
        <w:rPr>
          <w:rFonts w:ascii="仿宋" w:hAnsi="仿宋" w:eastAsia="仿宋" w:cs="仿宋"/>
          <w:sz w:val="32"/>
          <w:szCs w:val="32"/>
        </w:rPr>
        <w:t>2019</w:t>
      </w:r>
      <w:r>
        <w:rPr>
          <w:rFonts w:hint="eastAsia" w:ascii="仿宋" w:hAnsi="仿宋" w:eastAsia="仿宋" w:cs="仿宋"/>
          <w:sz w:val="32"/>
          <w:szCs w:val="32"/>
        </w:rPr>
        <w:t>年</w:t>
      </w:r>
      <w:r>
        <w:rPr>
          <w:rFonts w:ascii="仿宋" w:hAnsi="仿宋" w:eastAsia="仿宋" w:cs="仿宋"/>
          <w:sz w:val="32"/>
          <w:szCs w:val="32"/>
        </w:rPr>
        <w:t>200,881,325.22</w:t>
      </w:r>
      <w:r>
        <w:rPr>
          <w:rFonts w:hint="eastAsia" w:ascii="仿宋" w:hAnsi="仿宋" w:eastAsia="仿宋" w:cs="仿宋"/>
          <w:sz w:val="32"/>
          <w:szCs w:val="32"/>
        </w:rPr>
        <w:t>元增加</w:t>
      </w:r>
      <w:r>
        <w:rPr>
          <w:rFonts w:ascii="仿宋" w:hAnsi="仿宋" w:eastAsia="仿宋" w:cs="仿宋"/>
          <w:sz w:val="32"/>
          <w:szCs w:val="32"/>
        </w:rPr>
        <w:t>8,153,895.61</w:t>
      </w:r>
      <w:r>
        <w:rPr>
          <w:rFonts w:hint="eastAsia" w:ascii="仿宋" w:hAnsi="仿宋" w:eastAsia="仿宋" w:cs="仿宋"/>
          <w:sz w:val="32"/>
          <w:szCs w:val="32"/>
        </w:rPr>
        <w:t>元，增长</w:t>
      </w:r>
      <w:r>
        <w:rPr>
          <w:rFonts w:ascii="仿宋" w:hAnsi="仿宋" w:eastAsia="仿宋" w:cs="仿宋"/>
          <w:sz w:val="32"/>
          <w:szCs w:val="32"/>
        </w:rPr>
        <w:t>4.06%</w:t>
      </w:r>
      <w:r>
        <w:rPr>
          <w:rFonts w:hint="eastAsia" w:ascii="仿宋" w:hAnsi="仿宋" w:eastAsia="仿宋" w:cs="仿宋"/>
          <w:sz w:val="32"/>
          <w:szCs w:val="32"/>
        </w:rPr>
        <w:t>，</w:t>
      </w:r>
      <w:r>
        <w:rPr>
          <w:rFonts w:hint="eastAsia" w:ascii="仿宋" w:hAnsi="仿宋" w:eastAsia="仿宋" w:cs="Arial"/>
          <w:kern w:val="0"/>
          <w:sz w:val="32"/>
          <w:szCs w:val="32"/>
        </w:rPr>
        <w:t>主要是原因人员支出增加</w:t>
      </w:r>
      <w:r>
        <w:rPr>
          <w:rFonts w:hint="eastAsia" w:ascii="仿宋" w:hAnsi="仿宋" w:eastAsia="仿宋" w:cs="仿宋"/>
          <w:sz w:val="32"/>
          <w:szCs w:val="32"/>
        </w:rPr>
        <w:t>。</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、项目支出预算</w:t>
      </w:r>
      <w:r>
        <w:rPr>
          <w:rFonts w:ascii="仿宋" w:hAnsi="仿宋" w:eastAsia="仿宋" w:cs="仿宋"/>
          <w:sz w:val="32"/>
          <w:szCs w:val="32"/>
        </w:rPr>
        <w:t>195,617,584.37</w:t>
      </w:r>
      <w:r>
        <w:rPr>
          <w:rFonts w:hint="eastAsia" w:ascii="仿宋" w:hAnsi="仿宋" w:eastAsia="仿宋" w:cs="仿宋"/>
          <w:sz w:val="32"/>
          <w:szCs w:val="32"/>
        </w:rPr>
        <w:t>元，占总支出预算的48</w:t>
      </w:r>
      <w:r>
        <w:rPr>
          <w:rFonts w:ascii="仿宋" w:hAnsi="仿宋" w:eastAsia="仿宋" w:cs="仿宋"/>
          <w:sz w:val="32"/>
          <w:szCs w:val="32"/>
        </w:rPr>
        <w:t>.3</w:t>
      </w:r>
      <w:r>
        <w:rPr>
          <w:rFonts w:hint="eastAsia" w:ascii="仿宋" w:hAnsi="仿宋" w:eastAsia="仿宋" w:cs="仿宋"/>
          <w:sz w:val="32"/>
          <w:szCs w:val="32"/>
        </w:rPr>
        <w:t>4</w:t>
      </w:r>
      <w:r>
        <w:rPr>
          <w:rFonts w:ascii="仿宋" w:hAnsi="仿宋" w:eastAsia="仿宋" w:cs="仿宋"/>
          <w:sz w:val="32"/>
          <w:szCs w:val="32"/>
        </w:rPr>
        <w:t>%</w:t>
      </w:r>
      <w:r>
        <w:rPr>
          <w:rFonts w:hint="eastAsia" w:ascii="仿宋" w:hAnsi="仿宋" w:eastAsia="仿宋" w:cs="仿宋"/>
          <w:sz w:val="32"/>
          <w:szCs w:val="32"/>
        </w:rPr>
        <w:t>，比</w:t>
      </w:r>
      <w:r>
        <w:rPr>
          <w:rFonts w:ascii="仿宋" w:hAnsi="仿宋" w:eastAsia="仿宋" w:cs="仿宋"/>
          <w:sz w:val="32"/>
          <w:szCs w:val="32"/>
        </w:rPr>
        <w:t>2019</w:t>
      </w:r>
      <w:r>
        <w:rPr>
          <w:rFonts w:hint="eastAsia" w:ascii="仿宋" w:hAnsi="仿宋" w:eastAsia="仿宋" w:cs="仿宋"/>
          <w:sz w:val="32"/>
          <w:szCs w:val="32"/>
        </w:rPr>
        <w:t>年</w:t>
      </w:r>
      <w:r>
        <w:rPr>
          <w:rFonts w:ascii="仿宋" w:hAnsi="仿宋" w:eastAsia="仿宋" w:cs="仿宋"/>
          <w:sz w:val="32"/>
          <w:szCs w:val="32"/>
        </w:rPr>
        <w:t>259,214,197.14</w:t>
      </w:r>
      <w:r>
        <w:rPr>
          <w:rFonts w:hint="eastAsia" w:ascii="仿宋" w:hAnsi="仿宋" w:eastAsia="仿宋" w:cs="仿宋"/>
          <w:sz w:val="32"/>
          <w:szCs w:val="32"/>
        </w:rPr>
        <w:t>减少</w:t>
      </w:r>
      <w:r>
        <w:rPr>
          <w:rFonts w:ascii="仿宋" w:hAnsi="仿宋" w:eastAsia="仿宋" w:cs="仿宋"/>
          <w:sz w:val="32"/>
          <w:szCs w:val="32"/>
        </w:rPr>
        <w:t>63,596,612.77</w:t>
      </w:r>
      <w:r>
        <w:rPr>
          <w:rFonts w:hint="eastAsia" w:ascii="仿宋" w:hAnsi="仿宋" w:eastAsia="仿宋" w:cs="仿宋"/>
          <w:sz w:val="32"/>
          <w:szCs w:val="32"/>
        </w:rPr>
        <w:t>元，减少24</w:t>
      </w:r>
      <w:r>
        <w:rPr>
          <w:rFonts w:ascii="仿宋" w:hAnsi="仿宋" w:eastAsia="仿宋" w:cs="仿宋"/>
          <w:sz w:val="32"/>
          <w:szCs w:val="32"/>
        </w:rPr>
        <w:t>.</w:t>
      </w:r>
      <w:r>
        <w:rPr>
          <w:rFonts w:hint="eastAsia" w:ascii="仿宋" w:hAnsi="仿宋" w:eastAsia="仿宋" w:cs="仿宋"/>
          <w:sz w:val="32"/>
          <w:szCs w:val="32"/>
        </w:rPr>
        <w:t>53</w:t>
      </w:r>
      <w:r>
        <w:rPr>
          <w:rFonts w:ascii="仿宋" w:hAnsi="仿宋" w:eastAsia="仿宋" w:cs="仿宋"/>
          <w:sz w:val="32"/>
          <w:szCs w:val="32"/>
        </w:rPr>
        <w:t>%</w:t>
      </w:r>
      <w:r>
        <w:rPr>
          <w:rFonts w:hint="eastAsia" w:ascii="仿宋" w:hAnsi="仿宋" w:eastAsia="仿宋" w:cs="仿宋"/>
          <w:sz w:val="32"/>
          <w:szCs w:val="32"/>
        </w:rPr>
        <w:t>。减少的主要原因是:根据中共北京市委、北京市政府批准的《北京市西城区机构改革方案》，进行职责调整。</w:t>
      </w:r>
    </w:p>
    <w:p>
      <w:pPr>
        <w:widowControl/>
        <w:ind w:firstLine="640" w:firstLineChars="20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、市级提前下达专项转移支付项目资金</w:t>
      </w:r>
      <w:r>
        <w:rPr>
          <w:rFonts w:ascii="仿宋" w:hAnsi="仿宋" w:eastAsia="仿宋" w:cs="仿宋"/>
          <w:sz w:val="32"/>
          <w:szCs w:val="32"/>
        </w:rPr>
        <w:t>159,040.00</w:t>
      </w:r>
      <w:r>
        <w:rPr>
          <w:rFonts w:hint="eastAsia" w:ascii="仿宋" w:hAnsi="仿宋" w:eastAsia="仿宋" w:cs="仿宋"/>
          <w:sz w:val="32"/>
          <w:szCs w:val="32"/>
        </w:rPr>
        <w:t>元。项目为2020年水务改革发展专项资金。</w:t>
      </w:r>
    </w:p>
    <w:p>
      <w:pPr>
        <w:spacing w:line="360" w:lineRule="auto"/>
        <w:ind w:firstLine="600" w:firstLineChars="200"/>
        <w:rPr>
          <w:rFonts w:ascii="黑体" w:hAnsi="黑体" w:eastAsia="黑体" w:cs="Times New Roman"/>
          <w:kern w:val="0"/>
          <w:sz w:val="30"/>
          <w:szCs w:val="30"/>
        </w:rPr>
      </w:pPr>
      <w:r>
        <w:rPr>
          <w:rFonts w:hint="eastAsia" w:ascii="黑体" w:hAnsi="黑体" w:eastAsia="黑体" w:cs="黑体"/>
          <w:kern w:val="0"/>
          <w:sz w:val="30"/>
          <w:szCs w:val="30"/>
        </w:rPr>
        <w:t>三、主要支出情况</w:t>
      </w:r>
    </w:p>
    <w:p>
      <w:pPr>
        <w:snapToGrid w:val="0"/>
        <w:spacing w:line="360" w:lineRule="auto"/>
        <w:ind w:firstLine="640" w:firstLineChars="200"/>
        <w:rPr>
          <w:rFonts w:ascii="仿宋" w:hAnsi="仿宋" w:eastAsia="仿宋" w:cs="Times New Roman"/>
          <w:sz w:val="32"/>
          <w:szCs w:val="32"/>
        </w:rPr>
      </w:pPr>
      <w:bookmarkStart w:id="0" w:name="_Toc25448"/>
      <w:bookmarkStart w:id="1" w:name="_Toc17531"/>
      <w:r>
        <w:rPr>
          <w:rFonts w:hint="eastAsia" w:ascii="仿宋" w:hAnsi="仿宋" w:eastAsia="仿宋" w:cs="仿宋"/>
          <w:sz w:val="32"/>
          <w:szCs w:val="32"/>
        </w:rPr>
        <w:t>（一）基本支出主要包括</w:t>
      </w:r>
      <w:bookmarkEnd w:id="0"/>
      <w:bookmarkEnd w:id="1"/>
      <w:r>
        <w:rPr>
          <w:rFonts w:hint="eastAsia" w:ascii="仿宋" w:hAnsi="仿宋" w:eastAsia="仿宋" w:cs="仿宋"/>
          <w:sz w:val="32"/>
          <w:szCs w:val="32"/>
        </w:rPr>
        <w:t>在职、离退休人员支出、个人</w:t>
      </w:r>
    </w:p>
    <w:p>
      <w:pPr>
        <w:snapToGrid w:val="0"/>
        <w:spacing w:line="360" w:lineRule="auto"/>
        <w:rPr>
          <w:rFonts w:ascii="仿宋" w:hAnsi="仿宋" w:eastAsia="仿宋" w:cs="Times New Roman"/>
          <w:sz w:val="32"/>
          <w:szCs w:val="32"/>
        </w:rPr>
      </w:pPr>
      <w:r>
        <w:rPr>
          <w:rFonts w:hint="eastAsia" w:ascii="仿宋" w:hAnsi="仿宋" w:eastAsia="仿宋" w:cs="仿宋"/>
          <w:sz w:val="32"/>
          <w:szCs w:val="32"/>
        </w:rPr>
        <w:t>和家庭补助支出、公用支出</w:t>
      </w:r>
      <w:bookmarkStart w:id="2" w:name="_Toc3237"/>
      <w:bookmarkStart w:id="3" w:name="_Toc7025"/>
      <w:r>
        <w:rPr>
          <w:rFonts w:hint="eastAsia" w:ascii="仿宋" w:hAnsi="仿宋" w:eastAsia="仿宋" w:cs="仿宋"/>
          <w:sz w:val="32"/>
          <w:szCs w:val="32"/>
        </w:rPr>
        <w:t>。</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（二）项目支出主要</w:t>
      </w:r>
      <w:bookmarkEnd w:id="2"/>
      <w:bookmarkEnd w:id="3"/>
      <w:r>
        <w:rPr>
          <w:rFonts w:hint="eastAsia" w:ascii="仿宋" w:hAnsi="仿宋" w:eastAsia="仿宋" w:cs="仿宋"/>
          <w:sz w:val="32"/>
          <w:szCs w:val="32"/>
        </w:rPr>
        <w:t>项目是</w:t>
      </w:r>
      <w:r>
        <w:rPr>
          <w:rFonts w:ascii="仿宋" w:hAnsi="仿宋" w:eastAsia="仿宋" w:cs="仿宋"/>
          <w:sz w:val="32"/>
          <w:szCs w:val="32"/>
        </w:rPr>
        <w:fldChar w:fldCharType="begin"/>
      </w:r>
      <w:r>
        <w:rPr>
          <w:rFonts w:ascii="仿宋" w:hAnsi="仿宋" w:eastAsia="仿宋" w:cs="仿宋"/>
          <w:sz w:val="32"/>
          <w:szCs w:val="32"/>
        </w:rPr>
        <w:instrText xml:space="preserve"> = 1 \* GB3 </w:instrText>
      </w:r>
      <w:r>
        <w:rPr>
          <w:rFonts w:ascii="仿宋" w:hAnsi="仿宋" w:eastAsia="仿宋" w:cs="仿宋"/>
          <w:sz w:val="32"/>
          <w:szCs w:val="32"/>
        </w:rPr>
        <w:fldChar w:fldCharType="separate"/>
      </w:r>
      <w:r>
        <w:rPr>
          <w:rFonts w:hint="eastAsia" w:ascii="仿宋" w:hAnsi="仿宋" w:eastAsia="仿宋" w:cs="仿宋"/>
          <w:sz w:val="32"/>
          <w:szCs w:val="32"/>
        </w:rPr>
        <w:t>①</w:t>
      </w:r>
      <w:r>
        <w:rPr>
          <w:rFonts w:ascii="仿宋" w:hAnsi="仿宋" w:eastAsia="仿宋" w:cs="仿宋"/>
          <w:sz w:val="32"/>
          <w:szCs w:val="32"/>
        </w:rPr>
        <w:fldChar w:fldCharType="end"/>
      </w:r>
      <w:r>
        <w:rPr>
          <w:rFonts w:hint="eastAsia" w:ascii="仿宋" w:hAnsi="仿宋" w:eastAsia="仿宋" w:cs="仿宋"/>
          <w:sz w:val="32"/>
          <w:szCs w:val="32"/>
        </w:rPr>
        <w:t>城乡无社会保障老年居民养老保障支出；</w:t>
      </w:r>
      <w:r>
        <w:rPr>
          <w:rFonts w:ascii="仿宋" w:hAnsi="仿宋" w:eastAsia="仿宋" w:cs="仿宋"/>
          <w:sz w:val="32"/>
          <w:szCs w:val="32"/>
        </w:rPr>
        <w:fldChar w:fldCharType="begin"/>
      </w:r>
      <w:r>
        <w:rPr>
          <w:rFonts w:ascii="仿宋" w:hAnsi="仿宋" w:eastAsia="仿宋" w:cs="仿宋"/>
          <w:sz w:val="32"/>
          <w:szCs w:val="32"/>
        </w:rPr>
        <w:instrText xml:space="preserve"> = 2 \* GB3 </w:instrText>
      </w:r>
      <w:r>
        <w:rPr>
          <w:rFonts w:ascii="仿宋" w:hAnsi="仿宋" w:eastAsia="仿宋" w:cs="仿宋"/>
          <w:sz w:val="32"/>
          <w:szCs w:val="32"/>
        </w:rPr>
        <w:fldChar w:fldCharType="separate"/>
      </w:r>
      <w:r>
        <w:rPr>
          <w:rFonts w:hint="eastAsia" w:ascii="仿宋" w:hAnsi="仿宋" w:eastAsia="仿宋" w:cs="仿宋"/>
          <w:sz w:val="32"/>
          <w:szCs w:val="32"/>
        </w:rPr>
        <w:t>②</w:t>
      </w:r>
      <w:r>
        <w:rPr>
          <w:rFonts w:ascii="仿宋" w:hAnsi="仿宋" w:eastAsia="仿宋" w:cs="仿宋"/>
          <w:sz w:val="32"/>
          <w:szCs w:val="32"/>
        </w:rPr>
        <w:fldChar w:fldCharType="end"/>
      </w:r>
      <w:r>
        <w:rPr>
          <w:rFonts w:hint="eastAsia" w:ascii="仿宋" w:hAnsi="仿宋" w:eastAsia="仿宋" w:cs="仿宋"/>
          <w:sz w:val="32"/>
          <w:szCs w:val="32"/>
        </w:rPr>
        <w:t>区县离休干部生活补贴支出；</w:t>
      </w:r>
      <w:r>
        <w:rPr>
          <w:rFonts w:ascii="仿宋" w:hAnsi="仿宋" w:eastAsia="仿宋" w:cs="仿宋"/>
          <w:sz w:val="32"/>
          <w:szCs w:val="32"/>
        </w:rPr>
        <w:fldChar w:fldCharType="begin"/>
      </w:r>
      <w:r>
        <w:rPr>
          <w:rFonts w:ascii="仿宋" w:hAnsi="仿宋" w:eastAsia="仿宋" w:cs="仿宋"/>
          <w:sz w:val="32"/>
          <w:szCs w:val="32"/>
        </w:rPr>
        <w:instrText xml:space="preserve"> = 3 \* GB3 </w:instrText>
      </w:r>
      <w:r>
        <w:rPr>
          <w:rFonts w:ascii="仿宋" w:hAnsi="仿宋" w:eastAsia="仿宋" w:cs="仿宋"/>
          <w:sz w:val="32"/>
          <w:szCs w:val="32"/>
        </w:rPr>
        <w:fldChar w:fldCharType="separate"/>
      </w:r>
      <w:r>
        <w:rPr>
          <w:rFonts w:hint="eastAsia" w:ascii="仿宋" w:hAnsi="仿宋" w:eastAsia="仿宋" w:cs="仿宋"/>
          <w:sz w:val="32"/>
          <w:szCs w:val="32"/>
        </w:rPr>
        <w:t>③</w:t>
      </w:r>
      <w:r>
        <w:rPr>
          <w:rFonts w:ascii="仿宋" w:hAnsi="仿宋" w:eastAsia="仿宋" w:cs="仿宋"/>
          <w:sz w:val="32"/>
          <w:szCs w:val="32"/>
        </w:rPr>
        <w:fldChar w:fldCharType="end"/>
      </w:r>
      <w:r>
        <w:rPr>
          <w:rFonts w:hint="eastAsia" w:ascii="仿宋" w:hAnsi="仿宋" w:eastAsia="仿宋" w:cs="仿宋"/>
          <w:sz w:val="32"/>
          <w:szCs w:val="32"/>
        </w:rPr>
        <w:t>城乡居民基本养老保险支出等。</w:t>
      </w:r>
    </w:p>
    <w:p>
      <w:pPr>
        <w:snapToGrid w:val="0"/>
        <w:spacing w:line="360" w:lineRule="auto"/>
        <w:ind w:firstLine="600" w:firstLineChars="200"/>
        <w:rPr>
          <w:rFonts w:ascii="黑体" w:hAnsi="黑体" w:eastAsia="黑体" w:cs="Times New Roman"/>
          <w:sz w:val="30"/>
          <w:szCs w:val="30"/>
        </w:rPr>
      </w:pPr>
      <w:r>
        <w:rPr>
          <w:rFonts w:hint="eastAsia" w:ascii="黑体" w:hAnsi="黑体" w:eastAsia="黑体" w:cs="黑体"/>
          <w:sz w:val="30"/>
          <w:szCs w:val="30"/>
        </w:rPr>
        <w:t>四、</w:t>
      </w:r>
      <w:r>
        <w:rPr>
          <w:rFonts w:ascii="黑体" w:hAnsi="黑体" w:eastAsia="黑体" w:cs="黑体"/>
          <w:sz w:val="30"/>
          <w:szCs w:val="30"/>
        </w:rPr>
        <w:t>2020</w:t>
      </w:r>
      <w:r>
        <w:rPr>
          <w:rFonts w:hint="eastAsia" w:ascii="黑体" w:hAnsi="黑体" w:eastAsia="黑体" w:cs="黑体"/>
          <w:sz w:val="30"/>
          <w:szCs w:val="30"/>
        </w:rPr>
        <w:t>年“三公”经费财政拨款预算情况</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（一）预算单位范围</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北京市西城区人力资源和社会保障局预算中因公出国（境）费、公务接待费、公务用车购置及运行维护费的支出单位包括本级和7个所属单位，即</w:t>
      </w:r>
      <w:r>
        <w:rPr>
          <w:rFonts w:ascii="仿宋" w:hAnsi="仿宋" w:eastAsia="仿宋" w:cs="仿宋"/>
          <w:sz w:val="32"/>
          <w:szCs w:val="32"/>
        </w:rPr>
        <w:t>1.</w:t>
      </w:r>
      <w:r>
        <w:rPr>
          <w:rFonts w:hint="eastAsia" w:ascii="仿宋" w:hAnsi="仿宋" w:eastAsia="仿宋" w:cs="仿宋"/>
          <w:sz w:val="32"/>
          <w:szCs w:val="32"/>
        </w:rPr>
        <w:t>西城区职业能力建设指导中心、</w:t>
      </w:r>
      <w:r>
        <w:rPr>
          <w:rFonts w:ascii="仿宋" w:hAnsi="仿宋" w:eastAsia="仿宋" w:cs="仿宋"/>
          <w:sz w:val="32"/>
          <w:szCs w:val="32"/>
        </w:rPr>
        <w:t>2.</w:t>
      </w:r>
      <w:r>
        <w:rPr>
          <w:rFonts w:hint="eastAsia" w:ascii="仿宋" w:hAnsi="仿宋" w:eastAsia="仿宋" w:cs="仿宋"/>
          <w:sz w:val="32"/>
          <w:szCs w:val="32"/>
        </w:rPr>
        <w:t>西城区社会保险管理中心、</w:t>
      </w:r>
      <w:r>
        <w:rPr>
          <w:rFonts w:ascii="仿宋" w:hAnsi="仿宋" w:eastAsia="仿宋" w:cs="仿宋"/>
          <w:sz w:val="32"/>
          <w:szCs w:val="32"/>
        </w:rPr>
        <w:t>3..</w:t>
      </w:r>
      <w:r>
        <w:rPr>
          <w:rFonts w:hint="eastAsia" w:ascii="仿宋" w:hAnsi="仿宋" w:eastAsia="仿宋" w:cs="仿宋"/>
          <w:sz w:val="32"/>
          <w:szCs w:val="32"/>
        </w:rPr>
        <w:t>西城区职业能力鉴定指导中心、4</w:t>
      </w:r>
      <w:r>
        <w:rPr>
          <w:rFonts w:ascii="仿宋" w:hAnsi="仿宋" w:eastAsia="仿宋" w:cs="仿宋"/>
          <w:sz w:val="32"/>
          <w:szCs w:val="32"/>
        </w:rPr>
        <w:t>.</w:t>
      </w:r>
      <w:r>
        <w:rPr>
          <w:rFonts w:hint="eastAsia" w:ascii="仿宋" w:hAnsi="仿宋" w:eastAsia="仿宋" w:cs="仿宋"/>
          <w:sz w:val="32"/>
          <w:szCs w:val="32"/>
        </w:rPr>
        <w:t>西城区劳动服务管理中心、5</w:t>
      </w:r>
      <w:r>
        <w:rPr>
          <w:rFonts w:ascii="仿宋" w:hAnsi="仿宋" w:eastAsia="仿宋" w:cs="仿宋"/>
          <w:sz w:val="32"/>
          <w:szCs w:val="32"/>
        </w:rPr>
        <w:t>.</w:t>
      </w:r>
      <w:r>
        <w:rPr>
          <w:rFonts w:hint="eastAsia" w:ascii="仿宋" w:hAnsi="仿宋" w:eastAsia="仿宋" w:cs="仿宋"/>
          <w:sz w:val="32"/>
          <w:szCs w:val="32"/>
        </w:rPr>
        <w:t>西城区医疗保险事务管理中心、6</w:t>
      </w:r>
      <w:r>
        <w:rPr>
          <w:rFonts w:ascii="仿宋" w:hAnsi="仿宋" w:eastAsia="仿宋" w:cs="仿宋"/>
          <w:sz w:val="32"/>
          <w:szCs w:val="32"/>
        </w:rPr>
        <w:t>.</w:t>
      </w:r>
      <w:r>
        <w:rPr>
          <w:rFonts w:hint="eastAsia" w:ascii="仿宋" w:hAnsi="仿宋" w:eastAsia="仿宋" w:cs="仿宋"/>
          <w:sz w:val="32"/>
          <w:szCs w:val="32"/>
        </w:rPr>
        <w:t>西城区人事考试中心、7</w:t>
      </w:r>
      <w:r>
        <w:rPr>
          <w:rFonts w:ascii="仿宋" w:hAnsi="仿宋" w:eastAsia="仿宋" w:cs="仿宋"/>
          <w:sz w:val="32"/>
          <w:szCs w:val="32"/>
        </w:rPr>
        <w:t>.</w:t>
      </w:r>
      <w:r>
        <w:rPr>
          <w:rFonts w:hint="eastAsia" w:ascii="仿宋" w:hAnsi="仿宋" w:eastAsia="仿宋" w:cs="仿宋"/>
          <w:sz w:val="32"/>
          <w:szCs w:val="32"/>
        </w:rPr>
        <w:t>西城区人力资源公共服务中心。</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二</w:t>
      </w:r>
      <w:r>
        <w:rPr>
          <w:rFonts w:ascii="仿宋" w:hAnsi="仿宋" w:eastAsia="仿宋" w:cs="仿宋"/>
          <w:sz w:val="32"/>
          <w:szCs w:val="32"/>
        </w:rPr>
        <w:t>)</w:t>
      </w:r>
      <w:r>
        <w:rPr>
          <w:rFonts w:hint="eastAsia" w:ascii="仿宋" w:hAnsi="仿宋" w:eastAsia="仿宋" w:cs="仿宋"/>
          <w:sz w:val="32"/>
          <w:szCs w:val="32"/>
        </w:rPr>
        <w:t>关于</w:t>
      </w:r>
      <w:r>
        <w:rPr>
          <w:rFonts w:ascii="仿宋" w:hAnsi="仿宋" w:eastAsia="仿宋" w:cs="仿宋"/>
          <w:sz w:val="32"/>
          <w:szCs w:val="32"/>
        </w:rPr>
        <w:t>2020</w:t>
      </w:r>
      <w:r>
        <w:rPr>
          <w:rFonts w:hint="eastAsia" w:ascii="仿宋" w:hAnsi="仿宋" w:eastAsia="仿宋" w:cs="仿宋"/>
          <w:sz w:val="32"/>
          <w:szCs w:val="32"/>
        </w:rPr>
        <w:t>年部门预算中“三公”经费财政拨款预算情况及与上年对比原因说明</w:t>
      </w:r>
      <w:r>
        <w:rPr>
          <w:rFonts w:ascii="仿宋" w:hAnsi="仿宋" w:eastAsia="仿宋" w:cs="仿宋"/>
          <w:sz w:val="32"/>
          <w:szCs w:val="32"/>
        </w:rPr>
        <w:t>:</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2020</w:t>
      </w:r>
      <w:r>
        <w:rPr>
          <w:rFonts w:hint="eastAsia" w:ascii="仿宋" w:hAnsi="仿宋" w:eastAsia="仿宋" w:cs="仿宋"/>
          <w:sz w:val="32"/>
          <w:szCs w:val="32"/>
        </w:rPr>
        <w:t>年部门预算“三公”经费财政预算</w:t>
      </w:r>
      <w:r>
        <w:rPr>
          <w:rFonts w:ascii="仿宋" w:hAnsi="仿宋" w:eastAsia="仿宋" w:cs="仿宋"/>
          <w:sz w:val="32"/>
          <w:szCs w:val="32"/>
        </w:rPr>
        <w:t>95,125.99</w:t>
      </w:r>
      <w:r>
        <w:rPr>
          <w:rFonts w:hint="eastAsia" w:ascii="仿宋" w:hAnsi="仿宋" w:eastAsia="仿宋" w:cs="仿宋"/>
          <w:sz w:val="32"/>
          <w:szCs w:val="32"/>
        </w:rPr>
        <w:t>元，比</w:t>
      </w:r>
      <w:r>
        <w:rPr>
          <w:rFonts w:ascii="仿宋" w:hAnsi="仿宋" w:eastAsia="仿宋" w:cs="仿宋"/>
          <w:sz w:val="32"/>
          <w:szCs w:val="32"/>
        </w:rPr>
        <w:t>2019</w:t>
      </w:r>
      <w:r>
        <w:rPr>
          <w:rFonts w:hint="eastAsia" w:ascii="仿宋" w:hAnsi="仿宋" w:eastAsia="仿宋" w:cs="仿宋"/>
          <w:sz w:val="32"/>
          <w:szCs w:val="32"/>
        </w:rPr>
        <w:t>年部门预算“三公”经费财政预算</w:t>
      </w:r>
      <w:r>
        <w:rPr>
          <w:rFonts w:ascii="仿宋" w:hAnsi="仿宋" w:eastAsia="仿宋" w:cs="仿宋"/>
          <w:sz w:val="32"/>
          <w:szCs w:val="32"/>
        </w:rPr>
        <w:t>95,208.43</w:t>
      </w:r>
      <w:r>
        <w:rPr>
          <w:rFonts w:hint="eastAsia" w:ascii="仿宋" w:hAnsi="仿宋" w:eastAsia="仿宋" w:cs="仿宋"/>
          <w:sz w:val="32"/>
          <w:szCs w:val="32"/>
        </w:rPr>
        <w:t>元减少</w:t>
      </w:r>
      <w:r>
        <w:rPr>
          <w:rFonts w:ascii="仿宋" w:hAnsi="仿宋" w:eastAsia="仿宋" w:cs="仿宋"/>
          <w:sz w:val="32"/>
          <w:szCs w:val="32"/>
        </w:rPr>
        <w:t>82.44</w:t>
      </w:r>
      <w:r>
        <w:rPr>
          <w:rFonts w:hint="eastAsia" w:ascii="仿宋" w:hAnsi="仿宋" w:eastAsia="仿宋" w:cs="仿宋"/>
          <w:sz w:val="32"/>
          <w:szCs w:val="32"/>
        </w:rPr>
        <w:t>元，其中：</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、因公出国（境）费</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2020</w:t>
      </w:r>
      <w:r>
        <w:rPr>
          <w:rFonts w:hint="eastAsia" w:ascii="仿宋" w:hAnsi="仿宋" w:eastAsia="仿宋" w:cs="仿宋"/>
          <w:sz w:val="32"/>
          <w:szCs w:val="32"/>
        </w:rPr>
        <w:t>年财政预算数</w:t>
      </w:r>
      <w:r>
        <w:rPr>
          <w:rFonts w:ascii="仿宋" w:hAnsi="仿宋" w:eastAsia="仿宋" w:cs="仿宋"/>
          <w:sz w:val="32"/>
          <w:szCs w:val="32"/>
        </w:rPr>
        <w:t>0</w:t>
      </w:r>
      <w:r>
        <w:rPr>
          <w:rFonts w:hint="eastAsia" w:ascii="仿宋" w:hAnsi="仿宋" w:eastAsia="仿宋" w:cs="仿宋"/>
          <w:sz w:val="32"/>
          <w:szCs w:val="32"/>
        </w:rPr>
        <w:t>元，与</w:t>
      </w:r>
      <w:r>
        <w:rPr>
          <w:rFonts w:ascii="仿宋" w:hAnsi="仿宋" w:eastAsia="仿宋" w:cs="仿宋"/>
          <w:sz w:val="32"/>
          <w:szCs w:val="32"/>
        </w:rPr>
        <w:t>2019</w:t>
      </w:r>
      <w:r>
        <w:rPr>
          <w:rFonts w:hint="eastAsia" w:ascii="仿宋" w:hAnsi="仿宋" w:eastAsia="仿宋" w:cs="仿宋"/>
          <w:sz w:val="32"/>
          <w:szCs w:val="32"/>
        </w:rPr>
        <w:t>年财政预算数一致。</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、公务接待费</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2020</w:t>
      </w:r>
      <w:r>
        <w:rPr>
          <w:rFonts w:hint="eastAsia" w:ascii="仿宋" w:hAnsi="仿宋" w:eastAsia="仿宋" w:cs="仿宋"/>
          <w:sz w:val="32"/>
          <w:szCs w:val="32"/>
        </w:rPr>
        <w:t>年财政预算数</w:t>
      </w:r>
      <w:r>
        <w:rPr>
          <w:rFonts w:ascii="仿宋" w:hAnsi="仿宋" w:eastAsia="仿宋" w:cs="仿宋"/>
          <w:sz w:val="32"/>
          <w:szCs w:val="32"/>
        </w:rPr>
        <w:t>49,125.99</w:t>
      </w:r>
      <w:r>
        <w:rPr>
          <w:rFonts w:hint="eastAsia" w:ascii="仿宋" w:hAnsi="仿宋" w:eastAsia="仿宋" w:cs="仿宋"/>
          <w:sz w:val="32"/>
          <w:szCs w:val="32"/>
        </w:rPr>
        <w:t>元，比</w:t>
      </w:r>
      <w:r>
        <w:rPr>
          <w:rFonts w:ascii="仿宋" w:hAnsi="仿宋" w:eastAsia="仿宋" w:cs="仿宋"/>
          <w:sz w:val="32"/>
          <w:szCs w:val="32"/>
        </w:rPr>
        <w:t>2019</w:t>
      </w:r>
      <w:r>
        <w:rPr>
          <w:rFonts w:hint="eastAsia" w:ascii="仿宋" w:hAnsi="仿宋" w:eastAsia="仿宋" w:cs="仿宋"/>
          <w:sz w:val="32"/>
          <w:szCs w:val="32"/>
        </w:rPr>
        <w:t>年财政预算数</w:t>
      </w:r>
      <w:r>
        <w:rPr>
          <w:rFonts w:ascii="仿宋" w:hAnsi="仿宋" w:eastAsia="仿宋" w:cs="仿宋"/>
          <w:sz w:val="32"/>
          <w:szCs w:val="32"/>
        </w:rPr>
        <w:t>49,208.43</w:t>
      </w:r>
      <w:r>
        <w:rPr>
          <w:rFonts w:hint="eastAsia" w:ascii="仿宋" w:hAnsi="仿宋" w:eastAsia="仿宋" w:cs="仿宋"/>
          <w:sz w:val="32"/>
          <w:szCs w:val="32"/>
        </w:rPr>
        <w:t>元减少</w:t>
      </w:r>
      <w:r>
        <w:rPr>
          <w:rFonts w:ascii="仿宋" w:hAnsi="仿宋" w:eastAsia="仿宋" w:cs="仿宋"/>
          <w:sz w:val="32"/>
          <w:szCs w:val="32"/>
        </w:rPr>
        <w:t>82.44</w:t>
      </w:r>
      <w:r>
        <w:rPr>
          <w:rFonts w:hint="eastAsia" w:ascii="仿宋" w:hAnsi="仿宋" w:eastAsia="仿宋" w:cs="仿宋"/>
          <w:sz w:val="32"/>
          <w:szCs w:val="32"/>
        </w:rPr>
        <w:t>元，按照标准系统自动生成。</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、公务用车购置及运行维护费</w:t>
      </w:r>
    </w:p>
    <w:p>
      <w:pPr>
        <w:spacing w:line="360" w:lineRule="auto"/>
        <w:ind w:firstLine="640" w:firstLineChars="200"/>
        <w:rPr>
          <w:rFonts w:ascii="仿宋" w:hAnsi="仿宋" w:eastAsia="仿宋" w:cs="Times New Roman"/>
          <w:color w:val="FF0000"/>
          <w:sz w:val="32"/>
          <w:szCs w:val="32"/>
        </w:rPr>
      </w:pPr>
      <w:r>
        <w:rPr>
          <w:rFonts w:ascii="仿宋" w:hAnsi="仿宋" w:eastAsia="仿宋" w:cs="仿宋"/>
          <w:sz w:val="32"/>
          <w:szCs w:val="32"/>
        </w:rPr>
        <w:t>2020</w:t>
      </w:r>
      <w:r>
        <w:rPr>
          <w:rFonts w:hint="eastAsia" w:ascii="仿宋" w:hAnsi="仿宋" w:eastAsia="仿宋" w:cs="仿宋"/>
          <w:sz w:val="32"/>
          <w:szCs w:val="32"/>
        </w:rPr>
        <w:t>年公务用车财政预算数量为</w:t>
      </w:r>
      <w:r>
        <w:rPr>
          <w:rFonts w:ascii="仿宋" w:hAnsi="仿宋" w:eastAsia="仿宋" w:cs="仿宋"/>
          <w:sz w:val="32"/>
          <w:szCs w:val="32"/>
        </w:rPr>
        <w:t>2</w:t>
      </w:r>
      <w:r>
        <w:rPr>
          <w:rFonts w:hint="eastAsia" w:ascii="仿宋" w:hAnsi="仿宋" w:eastAsia="仿宋" w:cs="仿宋"/>
          <w:sz w:val="32"/>
          <w:szCs w:val="32"/>
        </w:rPr>
        <w:t>辆，为西城区职业能力建设指导中心办公用车，</w:t>
      </w:r>
      <w:r>
        <w:rPr>
          <w:rFonts w:ascii="仿宋" w:hAnsi="仿宋" w:eastAsia="仿宋" w:cs="仿宋"/>
          <w:sz w:val="32"/>
          <w:szCs w:val="32"/>
        </w:rPr>
        <w:t>2019</w:t>
      </w:r>
      <w:r>
        <w:rPr>
          <w:rFonts w:hint="eastAsia" w:ascii="仿宋" w:hAnsi="仿宋" w:eastAsia="仿宋" w:cs="仿宋"/>
          <w:sz w:val="32"/>
          <w:szCs w:val="32"/>
        </w:rPr>
        <w:t>年公务用车数量为2辆。</w:t>
      </w:r>
      <w:r>
        <w:rPr>
          <w:rFonts w:ascii="仿宋" w:hAnsi="仿宋" w:eastAsia="仿宋" w:cs="仿宋"/>
          <w:sz w:val="32"/>
          <w:szCs w:val="32"/>
        </w:rPr>
        <w:t>2020</w:t>
      </w:r>
      <w:r>
        <w:rPr>
          <w:rFonts w:hint="eastAsia" w:ascii="仿宋" w:hAnsi="仿宋" w:eastAsia="仿宋" w:cs="仿宋"/>
          <w:sz w:val="32"/>
          <w:szCs w:val="32"/>
        </w:rPr>
        <w:t>年比</w:t>
      </w:r>
      <w:r>
        <w:rPr>
          <w:rFonts w:ascii="仿宋" w:hAnsi="仿宋" w:eastAsia="仿宋" w:cs="仿宋"/>
          <w:sz w:val="32"/>
          <w:szCs w:val="32"/>
        </w:rPr>
        <w:t>2019</w:t>
      </w:r>
      <w:r>
        <w:rPr>
          <w:rFonts w:hint="eastAsia" w:ascii="仿宋" w:hAnsi="仿宋" w:eastAsia="仿宋" w:cs="仿宋"/>
          <w:sz w:val="32"/>
          <w:szCs w:val="32"/>
        </w:rPr>
        <w:t>年公务用车财政预算数减少0辆。</w:t>
      </w:r>
      <w:r>
        <w:rPr>
          <w:rFonts w:ascii="仿宋" w:hAnsi="仿宋" w:eastAsia="仿宋" w:cs="仿宋"/>
          <w:sz w:val="32"/>
          <w:szCs w:val="32"/>
        </w:rPr>
        <w:t>2020</w:t>
      </w:r>
      <w:r>
        <w:rPr>
          <w:rFonts w:hint="eastAsia" w:ascii="仿宋" w:hAnsi="仿宋" w:eastAsia="仿宋" w:cs="仿宋"/>
          <w:sz w:val="32"/>
          <w:szCs w:val="32"/>
        </w:rPr>
        <w:t>年公务用车购置及运行维护费财政预算数</w:t>
      </w:r>
      <w:r>
        <w:rPr>
          <w:rFonts w:ascii="仿宋" w:hAnsi="仿宋" w:eastAsia="仿宋" w:cs="仿宋"/>
          <w:sz w:val="32"/>
          <w:szCs w:val="32"/>
        </w:rPr>
        <w:t>46,000.00</w:t>
      </w:r>
      <w:r>
        <w:rPr>
          <w:rFonts w:hint="eastAsia" w:ascii="仿宋" w:hAnsi="仿宋" w:eastAsia="仿宋" w:cs="仿宋"/>
          <w:sz w:val="32"/>
          <w:szCs w:val="32"/>
        </w:rPr>
        <w:t>元，</w:t>
      </w:r>
      <w:r>
        <w:rPr>
          <w:rFonts w:hint="eastAsia" w:ascii="仿宋" w:hAnsi="仿宋" w:eastAsia="仿宋"/>
          <w:sz w:val="32"/>
          <w:szCs w:val="32"/>
        </w:rPr>
        <w:t>与2019年公务用车运行维护费一致</w:t>
      </w:r>
    </w:p>
    <w:p>
      <w:pPr>
        <w:snapToGrid w:val="0"/>
        <w:spacing w:line="360" w:lineRule="auto"/>
        <w:ind w:firstLine="600" w:firstLineChars="200"/>
        <w:rPr>
          <w:rFonts w:ascii="黑体" w:hAnsi="黑体" w:eastAsia="黑体" w:cs="Times New Roman"/>
          <w:sz w:val="30"/>
          <w:szCs w:val="30"/>
        </w:rPr>
      </w:pPr>
      <w:r>
        <w:rPr>
          <w:rFonts w:hint="eastAsia" w:ascii="黑体" w:hAnsi="黑体" w:eastAsia="黑体" w:cs="黑体"/>
          <w:sz w:val="30"/>
          <w:szCs w:val="30"/>
        </w:rPr>
        <w:t>五、</w:t>
      </w:r>
      <w:r>
        <w:rPr>
          <w:rFonts w:ascii="黑体" w:hAnsi="黑体" w:eastAsia="黑体" w:cs="黑体"/>
          <w:sz w:val="30"/>
          <w:szCs w:val="30"/>
        </w:rPr>
        <w:t>2020</w:t>
      </w:r>
      <w:r>
        <w:rPr>
          <w:rFonts w:hint="eastAsia" w:ascii="黑体" w:hAnsi="黑体" w:eastAsia="黑体" w:cs="黑体"/>
          <w:sz w:val="30"/>
          <w:szCs w:val="30"/>
        </w:rPr>
        <w:t>年政府基金政府性基金预算财政拨款收入支出说明</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2020</w:t>
      </w:r>
      <w:r>
        <w:rPr>
          <w:rFonts w:hint="eastAsia" w:ascii="仿宋" w:hAnsi="仿宋" w:eastAsia="仿宋" w:cs="仿宋"/>
          <w:sz w:val="32"/>
          <w:szCs w:val="32"/>
        </w:rPr>
        <w:t>年政府性基金预算财政拨款收入、支出全为零。</w:t>
      </w:r>
    </w:p>
    <w:p>
      <w:pPr>
        <w:spacing w:line="560" w:lineRule="exact"/>
        <w:ind w:firstLine="642" w:firstLineChars="200"/>
        <w:rPr>
          <w:rFonts w:ascii="仿宋_GB2312" w:eastAsia="仿宋_GB2312" w:cs="Times New Roman"/>
          <w:b/>
          <w:bCs/>
          <w:color w:val="000000"/>
          <w:sz w:val="32"/>
          <w:szCs w:val="32"/>
        </w:rPr>
      </w:pPr>
      <w:r>
        <w:rPr>
          <w:rFonts w:hint="eastAsia" w:ascii="仿宋_GB2312" w:eastAsia="仿宋_GB2312" w:cs="仿宋_GB2312"/>
          <w:b/>
          <w:bCs/>
          <w:color w:val="000000"/>
          <w:sz w:val="32"/>
          <w:szCs w:val="32"/>
        </w:rPr>
        <w:t>六、其他情况说明</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（一）</w:t>
      </w:r>
      <w:r>
        <w:rPr>
          <w:rFonts w:ascii="仿宋" w:hAnsi="仿宋" w:eastAsia="仿宋" w:cs="仿宋"/>
          <w:sz w:val="32"/>
          <w:szCs w:val="32"/>
        </w:rPr>
        <w:t>2020</w:t>
      </w:r>
      <w:r>
        <w:rPr>
          <w:rFonts w:hint="eastAsia" w:ascii="仿宋" w:hAnsi="仿宋" w:eastAsia="仿宋" w:cs="仿宋"/>
          <w:sz w:val="32"/>
          <w:szCs w:val="32"/>
        </w:rPr>
        <w:t>年机关运行经费说明</w:t>
      </w:r>
    </w:p>
    <w:p>
      <w:pPr>
        <w:ind w:firstLine="640" w:firstLineChars="200"/>
        <w:rPr>
          <w:rFonts w:ascii="仿宋" w:hAnsi="仿宋" w:eastAsia="仿宋" w:cs="仿宋"/>
          <w:sz w:val="32"/>
          <w:szCs w:val="32"/>
        </w:rPr>
      </w:pPr>
      <w:r>
        <w:rPr>
          <w:rFonts w:ascii="仿宋" w:hAnsi="仿宋" w:eastAsia="仿宋" w:cs="仿宋"/>
          <w:sz w:val="32"/>
          <w:szCs w:val="32"/>
        </w:rPr>
        <w:t>2020</w:t>
      </w:r>
      <w:r>
        <w:rPr>
          <w:rFonts w:hint="eastAsia" w:ascii="仿宋" w:hAnsi="仿宋" w:eastAsia="仿宋" w:cs="仿宋"/>
          <w:sz w:val="32"/>
          <w:szCs w:val="32"/>
        </w:rPr>
        <w:t>年本部门（含下属单位）履行一般行政事业管理职能、维持机关运行，用于一般公共预算安排的行政运行经费，合计</w:t>
      </w:r>
      <w:r>
        <w:rPr>
          <w:rFonts w:ascii="仿宋" w:hAnsi="仿宋" w:eastAsia="仿宋" w:cs="仿宋"/>
          <w:sz w:val="32"/>
          <w:szCs w:val="32"/>
        </w:rPr>
        <w:t>27,479,944.12</w:t>
      </w:r>
      <w:r>
        <w:rPr>
          <w:rFonts w:hint="eastAsia" w:ascii="仿宋" w:hAnsi="仿宋" w:eastAsia="仿宋" w:cs="仿宋"/>
          <w:sz w:val="32"/>
          <w:szCs w:val="32"/>
        </w:rPr>
        <w:t>元。比2019年机关运行经费</w:t>
      </w:r>
      <w:r>
        <w:rPr>
          <w:rFonts w:ascii="仿宋" w:hAnsi="仿宋" w:eastAsia="仿宋" w:cs="仿宋"/>
          <w:sz w:val="32"/>
          <w:szCs w:val="32"/>
        </w:rPr>
        <w:t>27,013,575.20</w:t>
      </w:r>
      <w:r>
        <w:rPr>
          <w:rFonts w:hint="eastAsia" w:ascii="仿宋" w:hAnsi="仿宋" w:eastAsia="仿宋" w:cs="仿宋"/>
          <w:sz w:val="32"/>
          <w:szCs w:val="32"/>
        </w:rPr>
        <w:t>元增加</w:t>
      </w:r>
      <w:r>
        <w:rPr>
          <w:rFonts w:ascii="仿宋" w:hAnsi="仿宋" w:eastAsia="仿宋" w:cs="仿宋"/>
          <w:sz w:val="32"/>
          <w:szCs w:val="32"/>
        </w:rPr>
        <w:t>466,368.92</w:t>
      </w:r>
      <w:r>
        <w:rPr>
          <w:rFonts w:hint="eastAsia" w:ascii="仿宋" w:hAnsi="仿宋" w:eastAsia="仿宋" w:cs="仿宋"/>
          <w:sz w:val="32"/>
          <w:szCs w:val="32"/>
        </w:rPr>
        <w:t xml:space="preserve">元,增长1.73 %。 </w:t>
      </w:r>
    </w:p>
    <w:p>
      <w:pPr>
        <w:ind w:firstLine="640" w:firstLineChars="200"/>
        <w:rPr>
          <w:rFonts w:ascii="仿宋" w:hAnsi="仿宋" w:eastAsia="仿宋" w:cs="Times New Roman"/>
          <w:sz w:val="32"/>
          <w:szCs w:val="32"/>
        </w:rPr>
      </w:pPr>
      <w:r>
        <w:rPr>
          <w:rFonts w:hint="eastAsia" w:ascii="仿宋" w:hAnsi="仿宋" w:eastAsia="仿宋" w:cs="仿宋"/>
          <w:sz w:val="32"/>
          <w:szCs w:val="32"/>
        </w:rPr>
        <w:t>行政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w:t>
      </w:r>
      <w:r>
        <w:rPr>
          <w:rFonts w:hint="eastAsia" w:ascii="仿宋" w:hAnsi="仿宋" w:eastAsia="仿宋" w:cs="仿宋"/>
          <w:sz w:val="32"/>
          <w:szCs w:val="32"/>
        </w:rPr>
        <w:t>二</w:t>
      </w:r>
      <w:r>
        <w:rPr>
          <w:rFonts w:ascii="仿宋" w:hAnsi="仿宋" w:eastAsia="仿宋" w:cs="仿宋"/>
          <w:sz w:val="32"/>
          <w:szCs w:val="32"/>
        </w:rPr>
        <w:t>)</w:t>
      </w:r>
      <w:r>
        <w:rPr>
          <w:rFonts w:hint="eastAsia" w:ascii="仿宋" w:hAnsi="仿宋" w:eastAsia="仿宋" w:cs="仿宋"/>
          <w:sz w:val="32"/>
          <w:szCs w:val="32"/>
        </w:rPr>
        <w:t>政府采购预说明</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2020</w:t>
      </w:r>
      <w:r>
        <w:rPr>
          <w:rFonts w:hint="eastAsia" w:ascii="仿宋" w:hAnsi="仿宋" w:eastAsia="仿宋" w:cs="仿宋"/>
          <w:sz w:val="32"/>
          <w:szCs w:val="32"/>
        </w:rPr>
        <w:t>年涉及政府采购项目</w:t>
      </w:r>
      <w:r>
        <w:rPr>
          <w:rFonts w:ascii="仿宋" w:hAnsi="仿宋" w:eastAsia="仿宋" w:cs="仿宋"/>
          <w:sz w:val="32"/>
          <w:szCs w:val="32"/>
        </w:rPr>
        <w:t>2</w:t>
      </w:r>
      <w:r>
        <w:rPr>
          <w:rFonts w:hint="eastAsia" w:ascii="仿宋" w:hAnsi="仿宋" w:eastAsia="仿宋" w:cs="仿宋"/>
          <w:sz w:val="32"/>
          <w:szCs w:val="32"/>
        </w:rPr>
        <w:t>6个，预算资金</w:t>
      </w:r>
      <w:r>
        <w:rPr>
          <w:rFonts w:ascii="仿宋" w:hAnsi="仿宋" w:eastAsia="仿宋" w:cs="仿宋"/>
          <w:sz w:val="32"/>
          <w:szCs w:val="32"/>
        </w:rPr>
        <w:t>10,526,055.60</w:t>
      </w:r>
      <w:r>
        <w:rPr>
          <w:rFonts w:hint="eastAsia" w:ascii="仿宋" w:hAnsi="仿宋" w:eastAsia="仿宋" w:cs="仿宋"/>
          <w:sz w:val="32"/>
          <w:szCs w:val="32"/>
        </w:rPr>
        <w:t>元。</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（三）政府购买服务预算说明</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2020</w:t>
      </w:r>
      <w:r>
        <w:rPr>
          <w:rFonts w:hint="eastAsia" w:ascii="仿宋" w:hAnsi="仿宋" w:eastAsia="仿宋" w:cs="仿宋"/>
          <w:sz w:val="32"/>
          <w:szCs w:val="32"/>
        </w:rPr>
        <w:t>年涉及政府购买服务项目</w:t>
      </w:r>
      <w:r>
        <w:rPr>
          <w:rFonts w:ascii="仿宋" w:hAnsi="仿宋" w:eastAsia="仿宋" w:cs="仿宋"/>
          <w:sz w:val="32"/>
          <w:szCs w:val="32"/>
        </w:rPr>
        <w:t>4</w:t>
      </w:r>
      <w:r>
        <w:rPr>
          <w:rFonts w:hint="eastAsia" w:ascii="仿宋" w:hAnsi="仿宋" w:eastAsia="仿宋" w:cs="仿宋"/>
          <w:sz w:val="32"/>
          <w:szCs w:val="32"/>
        </w:rPr>
        <w:t>个，预算资金</w:t>
      </w:r>
      <w:r>
        <w:rPr>
          <w:rFonts w:ascii="仿宋" w:hAnsi="仿宋" w:eastAsia="仿宋" w:cs="仿宋"/>
          <w:sz w:val="32"/>
          <w:szCs w:val="32"/>
        </w:rPr>
        <w:t>8,113,429.60</w:t>
      </w:r>
      <w:r>
        <w:rPr>
          <w:rFonts w:hint="eastAsia" w:ascii="仿宋" w:hAnsi="仿宋" w:eastAsia="仿宋" w:cs="仿宋"/>
          <w:sz w:val="32"/>
          <w:szCs w:val="32"/>
        </w:rPr>
        <w:t>元。</w:t>
      </w:r>
    </w:p>
    <w:p>
      <w:pPr>
        <w:ind w:firstLine="640" w:firstLineChars="200"/>
        <w:rPr>
          <w:rFonts w:ascii="仿宋" w:hAnsi="仿宋" w:eastAsia="仿宋" w:cs="Times New Roman"/>
          <w:sz w:val="32"/>
          <w:szCs w:val="32"/>
        </w:rPr>
      </w:pPr>
      <w:r>
        <w:rPr>
          <w:rFonts w:hint="eastAsia" w:ascii="仿宋" w:hAnsi="仿宋" w:eastAsia="仿宋" w:cs="仿宋"/>
          <w:sz w:val="32"/>
          <w:szCs w:val="32"/>
        </w:rPr>
        <w:t>（四）绩效目标情况及绩效评价结果说明</w:t>
      </w:r>
    </w:p>
    <w:p>
      <w:pPr>
        <w:ind w:firstLine="640" w:firstLineChars="200"/>
        <w:rPr>
          <w:rFonts w:ascii="仿宋" w:hAnsi="仿宋" w:eastAsia="仿宋" w:cs="Times New Roman"/>
          <w:sz w:val="32"/>
          <w:szCs w:val="32"/>
        </w:rPr>
      </w:pPr>
      <w:r>
        <w:rPr>
          <w:rFonts w:ascii="仿宋" w:hAnsi="仿宋" w:eastAsia="仿宋" w:cs="仿宋"/>
          <w:sz w:val="32"/>
          <w:szCs w:val="32"/>
        </w:rPr>
        <w:t>2020</w:t>
      </w:r>
      <w:r>
        <w:rPr>
          <w:rFonts w:hint="eastAsia" w:ascii="仿宋" w:hAnsi="仿宋" w:eastAsia="仿宋" w:cs="仿宋"/>
          <w:sz w:val="32"/>
          <w:szCs w:val="32"/>
        </w:rPr>
        <w:t>年填报绩效目标的预算项目14个。（详见表十三）</w:t>
      </w:r>
    </w:p>
    <w:p>
      <w:pPr>
        <w:ind w:firstLine="640" w:firstLineChars="200"/>
        <w:rPr>
          <w:rFonts w:ascii="仿宋" w:hAnsi="仿宋" w:eastAsia="仿宋" w:cs="Times New Roman"/>
          <w:sz w:val="32"/>
          <w:szCs w:val="32"/>
        </w:rPr>
      </w:pPr>
      <w:r>
        <w:rPr>
          <w:rFonts w:hint="eastAsia" w:ascii="仿宋" w:hAnsi="仿宋" w:eastAsia="仿宋" w:cs="仿宋"/>
          <w:sz w:val="32"/>
          <w:szCs w:val="32"/>
        </w:rPr>
        <w:t>区财政局2019年对我局</w:t>
      </w:r>
      <w:r>
        <w:rPr>
          <w:rFonts w:ascii="仿宋" w:hAnsi="仿宋" w:eastAsia="仿宋" w:cs="仿宋"/>
          <w:sz w:val="32"/>
          <w:szCs w:val="32"/>
        </w:rPr>
        <w:t>201</w:t>
      </w:r>
      <w:r>
        <w:rPr>
          <w:rFonts w:hint="eastAsia" w:ascii="仿宋" w:hAnsi="仿宋" w:eastAsia="仿宋" w:cs="仿宋"/>
          <w:sz w:val="32"/>
          <w:szCs w:val="32"/>
        </w:rPr>
        <w:t>8年公务员及专业技术人员教育经费项目开展绩效评价的财评工作</w:t>
      </w:r>
      <w:r>
        <w:rPr>
          <w:rFonts w:ascii="仿宋" w:hAnsi="仿宋" w:eastAsia="仿宋" w:cs="仿宋"/>
          <w:sz w:val="32"/>
          <w:szCs w:val="32"/>
        </w:rPr>
        <w:t>,</w:t>
      </w:r>
      <w:r>
        <w:rPr>
          <w:rFonts w:hint="eastAsia" w:ascii="仿宋" w:hAnsi="仿宋" w:eastAsia="仿宋" w:cs="仿宋"/>
          <w:sz w:val="32"/>
          <w:szCs w:val="32"/>
        </w:rPr>
        <w:t>评价得分为85</w:t>
      </w:r>
      <w:r>
        <w:rPr>
          <w:rFonts w:ascii="仿宋" w:hAnsi="仿宋" w:eastAsia="仿宋" w:cs="仿宋"/>
          <w:sz w:val="32"/>
          <w:szCs w:val="32"/>
        </w:rPr>
        <w:t>.40</w:t>
      </w:r>
      <w:r>
        <w:rPr>
          <w:rFonts w:hint="eastAsia" w:ascii="仿宋" w:hAnsi="仿宋" w:eastAsia="仿宋" w:cs="仿宋"/>
          <w:sz w:val="32"/>
          <w:szCs w:val="32"/>
        </w:rPr>
        <w:t>分，绩效评价等级为良好。</w:t>
      </w:r>
    </w:p>
    <w:p>
      <w:pPr>
        <w:ind w:firstLine="640" w:firstLineChars="200"/>
        <w:rPr>
          <w:rFonts w:ascii="仿宋" w:hAnsi="仿宋" w:eastAsia="仿宋" w:cs="Times New Roman"/>
          <w:sz w:val="32"/>
          <w:szCs w:val="32"/>
        </w:rPr>
      </w:pPr>
      <w:r>
        <w:rPr>
          <w:rFonts w:hint="eastAsia" w:ascii="仿宋" w:hAnsi="仿宋" w:eastAsia="仿宋" w:cs="仿宋"/>
          <w:sz w:val="32"/>
          <w:szCs w:val="32"/>
        </w:rPr>
        <w:t>公务员及专业技术人员教育经费项目总体绩效目标：通过开展公务员及专业技术人员的培训，学员掌握现代化管理知识，提升综合素质和能力，培养了一批高层次、复合型、应用型的人才，为进一步提高政府公信力、公共管理水平和行政效率奠定良好基础，为促进经济社会的全面发展提供有力的人才支持。</w:t>
      </w:r>
    </w:p>
    <w:p>
      <w:pPr>
        <w:ind w:firstLine="640" w:firstLineChars="200"/>
        <w:rPr>
          <w:rFonts w:ascii="仿宋" w:hAnsi="仿宋" w:eastAsia="仿宋" w:cs="Times New Roman"/>
          <w:sz w:val="32"/>
          <w:szCs w:val="32"/>
        </w:rPr>
      </w:pPr>
      <w:r>
        <w:rPr>
          <w:rFonts w:hint="eastAsia" w:ascii="仿宋" w:hAnsi="仿宋" w:eastAsia="仿宋" w:cs="仿宋"/>
          <w:sz w:val="32"/>
          <w:szCs w:val="32"/>
        </w:rPr>
        <w:t>（五）</w:t>
      </w:r>
      <w:bookmarkStart w:id="4" w:name="_Toc3895"/>
      <w:bookmarkStart w:id="5" w:name="_Toc2489"/>
      <w:r>
        <w:rPr>
          <w:rFonts w:hint="eastAsia" w:ascii="仿宋" w:hAnsi="仿宋" w:eastAsia="仿宋" w:cs="仿宋"/>
          <w:sz w:val="32"/>
          <w:szCs w:val="32"/>
        </w:rPr>
        <w:t>国</w:t>
      </w:r>
      <w:r>
        <w:rPr>
          <w:rFonts w:hint="eastAsia" w:ascii="仿宋" w:hAnsi="仿宋" w:eastAsia="仿宋" w:cs="仿宋"/>
          <w:color w:val="000000"/>
          <w:sz w:val="32"/>
          <w:szCs w:val="32"/>
        </w:rPr>
        <w:t>有资本经营预算财政拨款情况说明</w:t>
      </w:r>
      <w:bookmarkEnd w:id="4"/>
      <w:bookmarkEnd w:id="5"/>
    </w:p>
    <w:p>
      <w:pPr>
        <w:spacing w:line="560" w:lineRule="exact"/>
        <w:ind w:firstLine="640" w:firstLineChars="200"/>
        <w:rPr>
          <w:rFonts w:ascii="仿宋" w:hAnsi="仿宋" w:eastAsia="仿宋" w:cs="Times New Roman"/>
          <w:sz w:val="32"/>
          <w:szCs w:val="32"/>
        </w:rPr>
      </w:pPr>
      <w:r>
        <w:rPr>
          <w:rFonts w:ascii="仿宋" w:hAnsi="仿宋" w:eastAsia="仿宋" w:cs="仿宋"/>
          <w:sz w:val="32"/>
          <w:szCs w:val="32"/>
        </w:rPr>
        <w:t>2020</w:t>
      </w:r>
      <w:r>
        <w:rPr>
          <w:rFonts w:hint="eastAsia" w:ascii="仿宋" w:hAnsi="仿宋" w:eastAsia="仿宋" w:cs="仿宋"/>
          <w:sz w:val="32"/>
          <w:szCs w:val="32"/>
        </w:rPr>
        <w:t>年北京市西城区人力资源和社会保障局无国有资本经营预算财政拨款。</w:t>
      </w:r>
    </w:p>
    <w:p>
      <w:pPr>
        <w:spacing w:line="560" w:lineRule="exact"/>
        <w:ind w:firstLine="640" w:firstLineChars="200"/>
        <w:rPr>
          <w:rFonts w:ascii="仿宋" w:hAnsi="仿宋" w:eastAsia="仿宋" w:cs="Times New Roman"/>
          <w:sz w:val="32"/>
          <w:szCs w:val="32"/>
        </w:rPr>
      </w:pPr>
      <w:r>
        <w:rPr>
          <w:rFonts w:hint="eastAsia" w:ascii="仿宋_GB2312" w:hAnsi="Times New Roman" w:eastAsia="仿宋_GB2312" w:cs="仿宋_GB2312"/>
          <w:sz w:val="32"/>
          <w:szCs w:val="32"/>
        </w:rPr>
        <w:t>（</w:t>
      </w:r>
      <w:r>
        <w:rPr>
          <w:rFonts w:hint="eastAsia" w:ascii="仿宋" w:hAnsi="仿宋" w:eastAsia="仿宋" w:cs="仿宋"/>
          <w:sz w:val="32"/>
          <w:szCs w:val="32"/>
        </w:rPr>
        <w:t>六）国有资产占用情况说明</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截止</w:t>
      </w:r>
      <w:r>
        <w:rPr>
          <w:rFonts w:ascii="仿宋" w:hAnsi="仿宋" w:eastAsia="仿宋" w:cs="仿宋"/>
          <w:sz w:val="32"/>
          <w:szCs w:val="32"/>
        </w:rPr>
        <w:t>2019</w:t>
      </w:r>
      <w:r>
        <w:rPr>
          <w:rFonts w:hint="eastAsia" w:ascii="仿宋" w:hAnsi="仿宋" w:eastAsia="仿宋" w:cs="仿宋"/>
          <w:sz w:val="32"/>
          <w:szCs w:val="32"/>
        </w:rPr>
        <w:t>年</w:t>
      </w:r>
      <w:r>
        <w:rPr>
          <w:rFonts w:ascii="仿宋" w:hAnsi="仿宋" w:eastAsia="仿宋" w:cs="仿宋"/>
          <w:sz w:val="32"/>
          <w:szCs w:val="32"/>
        </w:rPr>
        <w:t>12</w:t>
      </w:r>
      <w:r>
        <w:rPr>
          <w:rFonts w:hint="eastAsia" w:ascii="仿宋" w:hAnsi="仿宋" w:eastAsia="仿宋" w:cs="仿宋"/>
          <w:sz w:val="32"/>
          <w:szCs w:val="32"/>
        </w:rPr>
        <w:t>月</w:t>
      </w:r>
      <w:r>
        <w:rPr>
          <w:rFonts w:ascii="仿宋" w:hAnsi="仿宋" w:eastAsia="仿宋" w:cs="仿宋"/>
          <w:sz w:val="32"/>
          <w:szCs w:val="32"/>
        </w:rPr>
        <w:t>31</w:t>
      </w:r>
      <w:r>
        <w:rPr>
          <w:rFonts w:hint="eastAsia" w:ascii="仿宋" w:hAnsi="仿宋" w:eastAsia="仿宋" w:cs="仿宋"/>
          <w:sz w:val="32"/>
          <w:szCs w:val="32"/>
        </w:rPr>
        <w:t>日，本部门固定资产原值346,265,284.57元，固定资产累计折旧24,980,362.30元,固定资产净值321,284,922.27元，其中：车辆</w:t>
      </w:r>
      <w:r>
        <w:rPr>
          <w:rFonts w:ascii="仿宋" w:hAnsi="仿宋" w:eastAsia="仿宋" w:cs="仿宋"/>
          <w:sz w:val="32"/>
          <w:szCs w:val="32"/>
        </w:rPr>
        <w:t>2</w:t>
      </w:r>
      <w:r>
        <w:rPr>
          <w:rFonts w:hint="eastAsia" w:ascii="仿宋" w:hAnsi="仿宋" w:eastAsia="仿宋" w:cs="仿宋"/>
          <w:sz w:val="32"/>
          <w:szCs w:val="32"/>
        </w:rPr>
        <w:t>台，</w:t>
      </w:r>
      <w:r>
        <w:rPr>
          <w:rFonts w:ascii="仿宋" w:hAnsi="仿宋" w:eastAsia="仿宋" w:cs="仿宋"/>
          <w:sz w:val="32"/>
          <w:szCs w:val="32"/>
        </w:rPr>
        <w:t>301,615.90</w:t>
      </w:r>
      <w:r>
        <w:rPr>
          <w:rFonts w:hint="eastAsia" w:ascii="仿宋" w:hAnsi="仿宋" w:eastAsia="仿宋" w:cs="仿宋"/>
          <w:sz w:val="32"/>
          <w:szCs w:val="32"/>
        </w:rPr>
        <w:t>元；单位价值</w:t>
      </w:r>
      <w:r>
        <w:rPr>
          <w:rFonts w:ascii="仿宋" w:hAnsi="仿宋" w:eastAsia="仿宋" w:cs="仿宋"/>
          <w:sz w:val="32"/>
          <w:szCs w:val="32"/>
        </w:rPr>
        <w:t>50</w:t>
      </w:r>
      <w:r>
        <w:rPr>
          <w:rFonts w:hint="eastAsia" w:ascii="仿宋" w:hAnsi="仿宋" w:eastAsia="仿宋" w:cs="仿宋"/>
          <w:sz w:val="32"/>
          <w:szCs w:val="32"/>
        </w:rPr>
        <w:t>万元以上的通用设备</w:t>
      </w:r>
      <w:r>
        <w:rPr>
          <w:rFonts w:ascii="仿宋" w:hAnsi="仿宋" w:eastAsia="仿宋" w:cs="仿宋"/>
          <w:sz w:val="32"/>
          <w:szCs w:val="32"/>
        </w:rPr>
        <w:t>1</w:t>
      </w:r>
      <w:r>
        <w:rPr>
          <w:rFonts w:hint="eastAsia" w:ascii="仿宋" w:hAnsi="仿宋" w:eastAsia="仿宋" w:cs="仿宋"/>
          <w:sz w:val="32"/>
          <w:szCs w:val="32"/>
        </w:rPr>
        <w:t>套、</w:t>
      </w:r>
      <w:r>
        <w:rPr>
          <w:rFonts w:ascii="仿宋" w:hAnsi="仿宋" w:eastAsia="仿宋" w:cs="仿宋"/>
          <w:sz w:val="32"/>
          <w:szCs w:val="32"/>
        </w:rPr>
        <w:t>630,000.00</w:t>
      </w:r>
      <w:r>
        <w:rPr>
          <w:rFonts w:hint="eastAsia" w:ascii="仿宋" w:hAnsi="仿宋" w:eastAsia="仿宋" w:cs="仿宋"/>
          <w:sz w:val="32"/>
          <w:szCs w:val="32"/>
        </w:rPr>
        <w:t>元，单位价值</w:t>
      </w:r>
      <w:r>
        <w:rPr>
          <w:rFonts w:ascii="仿宋" w:hAnsi="仿宋" w:eastAsia="仿宋" w:cs="仿宋"/>
          <w:sz w:val="32"/>
          <w:szCs w:val="32"/>
        </w:rPr>
        <w:t>100</w:t>
      </w:r>
      <w:r>
        <w:rPr>
          <w:rFonts w:hint="eastAsia" w:ascii="仿宋" w:hAnsi="仿宋" w:eastAsia="仿宋" w:cs="仿宋"/>
          <w:sz w:val="32"/>
          <w:szCs w:val="32"/>
        </w:rPr>
        <w:t>万元以上的专用设备</w:t>
      </w:r>
      <w:r>
        <w:rPr>
          <w:rFonts w:ascii="仿宋" w:hAnsi="仿宋" w:eastAsia="仿宋" w:cs="仿宋"/>
          <w:sz w:val="32"/>
          <w:szCs w:val="32"/>
        </w:rPr>
        <w:t>0</w:t>
      </w:r>
      <w:r>
        <w:rPr>
          <w:rFonts w:hint="eastAsia" w:ascii="仿宋" w:hAnsi="仿宋" w:eastAsia="仿宋" w:cs="仿宋"/>
          <w:sz w:val="32"/>
          <w:szCs w:val="32"/>
        </w:rPr>
        <w:t>台（套）。</w:t>
      </w:r>
    </w:p>
    <w:p>
      <w:pPr>
        <w:ind w:firstLine="640" w:firstLineChars="200"/>
        <w:rPr>
          <w:rFonts w:ascii="仿宋" w:hAnsi="仿宋" w:eastAsia="仿宋" w:cs="Times New Roman"/>
          <w:sz w:val="32"/>
          <w:szCs w:val="32"/>
        </w:rPr>
      </w:pPr>
      <w:r>
        <w:rPr>
          <w:rFonts w:ascii="仿宋" w:hAnsi="仿宋" w:eastAsia="仿宋" w:cs="仿宋"/>
          <w:sz w:val="32"/>
          <w:szCs w:val="32"/>
        </w:rPr>
        <w:t>2020</w:t>
      </w:r>
      <w:r>
        <w:rPr>
          <w:rFonts w:hint="eastAsia" w:ascii="仿宋" w:hAnsi="仿宋" w:eastAsia="仿宋" w:cs="仿宋"/>
          <w:sz w:val="32"/>
          <w:szCs w:val="32"/>
        </w:rPr>
        <w:t>年部门预算</w:t>
      </w:r>
      <w:r>
        <w:rPr>
          <w:rFonts w:ascii="仿宋" w:hAnsi="仿宋" w:eastAsia="仿宋" w:cs="仿宋"/>
          <w:sz w:val="32"/>
          <w:szCs w:val="32"/>
        </w:rPr>
        <w:t>:</w:t>
      </w:r>
      <w:r>
        <w:rPr>
          <w:rFonts w:hint="eastAsia" w:ascii="仿宋" w:hAnsi="仿宋" w:eastAsia="仿宋" w:cs="仿宋"/>
          <w:sz w:val="32"/>
          <w:szCs w:val="32"/>
        </w:rPr>
        <w:t>安排购置车辆</w:t>
      </w:r>
      <w:r>
        <w:rPr>
          <w:rFonts w:ascii="仿宋" w:hAnsi="仿宋" w:eastAsia="仿宋" w:cs="仿宋"/>
          <w:sz w:val="32"/>
          <w:szCs w:val="32"/>
        </w:rPr>
        <w:t>0</w:t>
      </w:r>
      <w:r>
        <w:rPr>
          <w:rFonts w:hint="eastAsia" w:ascii="仿宋" w:hAnsi="仿宋" w:eastAsia="仿宋" w:cs="仿宋"/>
          <w:sz w:val="32"/>
          <w:szCs w:val="32"/>
        </w:rPr>
        <w:t>台</w:t>
      </w:r>
      <w:r>
        <w:rPr>
          <w:rFonts w:ascii="仿宋" w:hAnsi="仿宋" w:eastAsia="仿宋" w:cs="仿宋"/>
          <w:sz w:val="32"/>
          <w:szCs w:val="32"/>
        </w:rPr>
        <w:t>,0</w:t>
      </w:r>
      <w:r>
        <w:rPr>
          <w:rFonts w:hint="eastAsia" w:ascii="仿宋" w:hAnsi="仿宋" w:eastAsia="仿宋" w:cs="仿宋"/>
          <w:sz w:val="32"/>
          <w:szCs w:val="32"/>
        </w:rPr>
        <w:t>元</w:t>
      </w:r>
      <w:r>
        <w:rPr>
          <w:rFonts w:ascii="仿宋" w:hAnsi="仿宋" w:eastAsia="仿宋" w:cs="仿宋"/>
          <w:sz w:val="32"/>
          <w:szCs w:val="32"/>
        </w:rPr>
        <w:t xml:space="preserve">, </w:t>
      </w:r>
      <w:r>
        <w:rPr>
          <w:rFonts w:hint="eastAsia" w:ascii="仿宋" w:hAnsi="仿宋" w:eastAsia="仿宋" w:cs="仿宋"/>
          <w:sz w:val="32"/>
          <w:szCs w:val="32"/>
        </w:rPr>
        <w:t>安排购置单位价值</w:t>
      </w:r>
      <w:r>
        <w:rPr>
          <w:rFonts w:ascii="仿宋" w:hAnsi="仿宋" w:eastAsia="仿宋" w:cs="仿宋"/>
          <w:sz w:val="32"/>
          <w:szCs w:val="32"/>
        </w:rPr>
        <w:t>50</w:t>
      </w:r>
      <w:r>
        <w:rPr>
          <w:rFonts w:hint="eastAsia" w:ascii="仿宋" w:hAnsi="仿宋" w:eastAsia="仿宋" w:cs="仿宋"/>
          <w:sz w:val="32"/>
          <w:szCs w:val="32"/>
        </w:rPr>
        <w:t>万元以上的通用设备</w:t>
      </w:r>
      <w:r>
        <w:rPr>
          <w:rFonts w:ascii="仿宋" w:hAnsi="仿宋" w:eastAsia="仿宋" w:cs="仿宋"/>
          <w:sz w:val="32"/>
          <w:szCs w:val="32"/>
        </w:rPr>
        <w:t>0</w:t>
      </w:r>
      <w:r>
        <w:rPr>
          <w:rFonts w:hint="eastAsia" w:ascii="仿宋" w:hAnsi="仿宋" w:eastAsia="仿宋" w:cs="仿宋"/>
          <w:sz w:val="32"/>
          <w:szCs w:val="32"/>
        </w:rPr>
        <w:t>台</w:t>
      </w:r>
      <w:r>
        <w:rPr>
          <w:rFonts w:ascii="仿宋" w:hAnsi="仿宋" w:eastAsia="仿宋" w:cs="仿宋"/>
          <w:sz w:val="32"/>
          <w:szCs w:val="32"/>
        </w:rPr>
        <w:t>(</w:t>
      </w:r>
      <w:r>
        <w:rPr>
          <w:rFonts w:hint="eastAsia" w:ascii="仿宋" w:hAnsi="仿宋" w:eastAsia="仿宋" w:cs="仿宋"/>
          <w:sz w:val="32"/>
          <w:szCs w:val="32"/>
        </w:rPr>
        <w:t>套</w:t>
      </w:r>
      <w:r>
        <w:rPr>
          <w:rFonts w:ascii="仿宋" w:hAnsi="仿宋" w:eastAsia="仿宋" w:cs="仿宋"/>
          <w:sz w:val="32"/>
          <w:szCs w:val="32"/>
        </w:rPr>
        <w:t>),0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单位价值</w:t>
      </w:r>
      <w:r>
        <w:rPr>
          <w:rFonts w:ascii="仿宋" w:hAnsi="仿宋" w:eastAsia="仿宋" w:cs="仿宋"/>
          <w:sz w:val="32"/>
          <w:szCs w:val="32"/>
        </w:rPr>
        <w:t>100</w:t>
      </w:r>
      <w:r>
        <w:rPr>
          <w:rFonts w:hint="eastAsia" w:ascii="仿宋" w:hAnsi="仿宋" w:eastAsia="仿宋" w:cs="仿宋"/>
          <w:sz w:val="32"/>
          <w:szCs w:val="32"/>
        </w:rPr>
        <w:t>万元以上的专用设备</w:t>
      </w:r>
      <w:r>
        <w:rPr>
          <w:rFonts w:ascii="仿宋" w:hAnsi="仿宋" w:eastAsia="仿宋" w:cs="仿宋"/>
          <w:sz w:val="32"/>
          <w:szCs w:val="32"/>
        </w:rPr>
        <w:t>0</w:t>
      </w:r>
      <w:r>
        <w:rPr>
          <w:rFonts w:hint="eastAsia" w:ascii="仿宋" w:hAnsi="仿宋" w:eastAsia="仿宋" w:cs="仿宋"/>
          <w:sz w:val="32"/>
          <w:szCs w:val="32"/>
        </w:rPr>
        <w:t>台</w:t>
      </w:r>
      <w:r>
        <w:rPr>
          <w:rFonts w:ascii="仿宋" w:hAnsi="仿宋" w:eastAsia="仿宋" w:cs="仿宋"/>
          <w:sz w:val="32"/>
          <w:szCs w:val="32"/>
        </w:rPr>
        <w:t>(</w:t>
      </w:r>
      <w:r>
        <w:rPr>
          <w:rFonts w:hint="eastAsia" w:ascii="仿宋" w:hAnsi="仿宋" w:eastAsia="仿宋" w:cs="仿宋"/>
          <w:sz w:val="32"/>
          <w:szCs w:val="32"/>
        </w:rPr>
        <w:t>套</w:t>
      </w:r>
      <w:r>
        <w:rPr>
          <w:rFonts w:ascii="仿宋" w:hAnsi="仿宋" w:eastAsia="仿宋" w:cs="仿宋"/>
          <w:sz w:val="32"/>
          <w:szCs w:val="32"/>
        </w:rPr>
        <w:t>),0</w:t>
      </w:r>
      <w:r>
        <w:rPr>
          <w:rFonts w:hint="eastAsia" w:ascii="仿宋" w:hAnsi="仿宋" w:eastAsia="仿宋" w:cs="仿宋"/>
          <w:sz w:val="32"/>
          <w:szCs w:val="32"/>
        </w:rPr>
        <w:t>元。</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（七）重点行政事业性收费情况说明</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2019</w:t>
      </w:r>
      <w:r>
        <w:rPr>
          <w:rFonts w:hint="eastAsia" w:ascii="仿宋" w:hAnsi="仿宋" w:eastAsia="仿宋" w:cs="仿宋"/>
          <w:sz w:val="32"/>
          <w:szCs w:val="32"/>
        </w:rPr>
        <w:t>年北京市西城区人力资源和社会保障局无行政事业性收费重点项目。</w:t>
      </w:r>
    </w:p>
    <w:p>
      <w:pPr>
        <w:spacing w:line="560" w:lineRule="exact"/>
        <w:ind w:firstLine="600" w:firstLineChars="200"/>
        <w:rPr>
          <w:rFonts w:ascii="黑体" w:hAnsi="黑体" w:eastAsia="黑体" w:cs="Times New Roman"/>
          <w:sz w:val="30"/>
          <w:szCs w:val="30"/>
        </w:rPr>
      </w:pPr>
      <w:r>
        <w:rPr>
          <w:rFonts w:hint="eastAsia" w:ascii="黑体" w:hAnsi="黑体" w:eastAsia="黑体" w:cs="黑体"/>
          <w:sz w:val="30"/>
          <w:szCs w:val="30"/>
        </w:rPr>
        <w:t>八、名称解释</w:t>
      </w:r>
    </w:p>
    <w:p>
      <w:pPr>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机关运行经费：指为保障行政单位（含参照公务员法管理事业单位）正常运行，用于购买货物和服务的各项资金，包括办公及印刷费、邮电费、差旅费、会议费、福利费、日常维修费、专用材料及一般设备购置费、网络运行维护费（全区）、办公用房租赁费、办公用房水电费、办公用房取暖费、办公用房物业管理费、公务用车运行维护以及其他费用。</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Times New Roman"/>
          <w:sz w:val="32"/>
          <w:szCs w:val="32"/>
        </w:rPr>
      </w:pPr>
    </w:p>
    <w:p>
      <w:pPr>
        <w:widowControl/>
        <w:jc w:val="center"/>
        <w:rPr>
          <w:rFonts w:ascii="楷体_GB2312" w:hAnsi="宋体" w:eastAsia="楷体_GB2312" w:cs="Times New Roman"/>
          <w:b/>
          <w:bCs/>
          <w:color w:val="000000"/>
          <w:kern w:val="0"/>
          <w:sz w:val="36"/>
          <w:szCs w:val="36"/>
        </w:rPr>
      </w:pPr>
      <w:r>
        <w:rPr>
          <w:rFonts w:hint="eastAsia" w:ascii="楷体_GB2312" w:hAnsi="宋体" w:eastAsia="楷体_GB2312" w:cs="楷体_GB2312"/>
          <w:b/>
          <w:bCs/>
          <w:color w:val="000000"/>
          <w:kern w:val="0"/>
          <w:sz w:val="36"/>
          <w:szCs w:val="36"/>
        </w:rPr>
        <w:t>第二部分</w:t>
      </w:r>
      <w:r>
        <w:rPr>
          <w:rFonts w:ascii="楷体_GB2312" w:hAnsi="宋体" w:eastAsia="楷体_GB2312" w:cs="楷体_GB2312"/>
          <w:b/>
          <w:bCs/>
          <w:color w:val="000000"/>
          <w:kern w:val="0"/>
          <w:sz w:val="36"/>
          <w:szCs w:val="36"/>
        </w:rPr>
        <w:t xml:space="preserve">  2020</w:t>
      </w:r>
      <w:r>
        <w:rPr>
          <w:rFonts w:hint="eastAsia" w:ascii="楷体_GB2312" w:hAnsi="宋体" w:eastAsia="楷体_GB2312" w:cs="楷体_GB2312"/>
          <w:b/>
          <w:bCs/>
          <w:color w:val="000000"/>
          <w:kern w:val="0"/>
          <w:sz w:val="36"/>
          <w:szCs w:val="36"/>
        </w:rPr>
        <w:t>年部门预算表</w:t>
      </w:r>
    </w:p>
    <w:p>
      <w:pPr>
        <w:rPr>
          <w:rFonts w:cs="Times New Roman"/>
          <w:sz w:val="28"/>
          <w:szCs w:val="28"/>
        </w:rPr>
      </w:pPr>
      <w:r>
        <w:rPr>
          <w:rFonts w:hint="eastAsia" w:cs="宋体"/>
          <w:sz w:val="28"/>
          <w:szCs w:val="28"/>
        </w:rPr>
        <w:t>表一：</w:t>
      </w:r>
    </w:p>
    <w:tbl>
      <w:tblPr>
        <w:tblStyle w:val="6"/>
        <w:tblW w:w="8080" w:type="dxa"/>
        <w:tblInd w:w="-106" w:type="dxa"/>
        <w:tblLayout w:type="autofit"/>
        <w:tblCellMar>
          <w:top w:w="0" w:type="dxa"/>
          <w:left w:w="108" w:type="dxa"/>
          <w:bottom w:w="0" w:type="dxa"/>
          <w:right w:w="108" w:type="dxa"/>
        </w:tblCellMar>
      </w:tblPr>
      <w:tblGrid>
        <w:gridCol w:w="199"/>
        <w:gridCol w:w="1741"/>
        <w:gridCol w:w="139"/>
        <w:gridCol w:w="1561"/>
        <w:gridCol w:w="99"/>
        <w:gridCol w:w="2261"/>
        <w:gridCol w:w="39"/>
        <w:gridCol w:w="2020"/>
        <w:gridCol w:w="21"/>
      </w:tblGrid>
      <w:tr>
        <w:tblPrEx>
          <w:tblCellMar>
            <w:top w:w="0" w:type="dxa"/>
            <w:left w:w="108" w:type="dxa"/>
            <w:bottom w:w="0" w:type="dxa"/>
            <w:right w:w="108" w:type="dxa"/>
          </w:tblCellMar>
        </w:tblPrEx>
        <w:trPr>
          <w:trHeight w:val="639" w:hRule="atLeast"/>
        </w:trPr>
        <w:tc>
          <w:tcPr>
            <w:tcW w:w="8080" w:type="dxa"/>
            <w:gridSpan w:val="9"/>
            <w:tcBorders>
              <w:top w:val="nil"/>
              <w:left w:val="nil"/>
              <w:bottom w:val="nil"/>
              <w:right w:val="nil"/>
            </w:tcBorders>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32"/>
                <w:szCs w:val="32"/>
              </w:rPr>
              <w:t>部门收支总体情况表</w:t>
            </w:r>
          </w:p>
        </w:tc>
      </w:tr>
      <w:tr>
        <w:tblPrEx>
          <w:tblCellMar>
            <w:top w:w="0" w:type="dxa"/>
            <w:left w:w="108" w:type="dxa"/>
            <w:bottom w:w="0" w:type="dxa"/>
            <w:right w:w="108" w:type="dxa"/>
          </w:tblCellMar>
        </w:tblPrEx>
        <w:trPr>
          <w:trHeight w:val="288" w:hRule="atLeast"/>
        </w:trPr>
        <w:tc>
          <w:tcPr>
            <w:tcW w:w="1940" w:type="dxa"/>
            <w:gridSpan w:val="2"/>
            <w:tcBorders>
              <w:top w:val="nil"/>
              <w:left w:val="nil"/>
              <w:bottom w:val="nil"/>
              <w:right w:val="nil"/>
            </w:tcBorders>
            <w:vAlign w:val="center"/>
          </w:tcPr>
          <w:p>
            <w:pPr>
              <w:widowControl/>
              <w:jc w:val="left"/>
              <w:rPr>
                <w:rFonts w:ascii="宋体" w:cs="Times New Roman"/>
                <w:color w:val="000000"/>
                <w:kern w:val="0"/>
                <w:sz w:val="18"/>
                <w:szCs w:val="18"/>
              </w:rPr>
            </w:pPr>
          </w:p>
        </w:tc>
        <w:tc>
          <w:tcPr>
            <w:tcW w:w="1700" w:type="dxa"/>
            <w:gridSpan w:val="2"/>
            <w:tcBorders>
              <w:top w:val="nil"/>
              <w:left w:val="nil"/>
              <w:bottom w:val="nil"/>
              <w:right w:val="nil"/>
            </w:tcBorders>
            <w:vAlign w:val="center"/>
          </w:tcPr>
          <w:p>
            <w:pPr>
              <w:widowControl/>
              <w:jc w:val="left"/>
              <w:rPr>
                <w:rFonts w:ascii="宋体" w:cs="Times New Roman"/>
                <w:color w:val="000000"/>
                <w:kern w:val="0"/>
                <w:sz w:val="18"/>
                <w:szCs w:val="18"/>
              </w:rPr>
            </w:pPr>
          </w:p>
        </w:tc>
        <w:tc>
          <w:tcPr>
            <w:tcW w:w="2360" w:type="dxa"/>
            <w:gridSpan w:val="2"/>
            <w:tcBorders>
              <w:top w:val="nil"/>
              <w:left w:val="nil"/>
              <w:bottom w:val="nil"/>
              <w:right w:val="nil"/>
            </w:tcBorders>
            <w:vAlign w:val="center"/>
          </w:tcPr>
          <w:p>
            <w:pPr>
              <w:widowControl/>
              <w:jc w:val="left"/>
              <w:rPr>
                <w:rFonts w:ascii="宋体" w:cs="Times New Roman"/>
                <w:color w:val="000000"/>
                <w:kern w:val="0"/>
                <w:sz w:val="18"/>
                <w:szCs w:val="18"/>
              </w:rPr>
            </w:pPr>
          </w:p>
        </w:tc>
        <w:tc>
          <w:tcPr>
            <w:tcW w:w="2080" w:type="dxa"/>
            <w:gridSpan w:val="3"/>
            <w:tcBorders>
              <w:top w:val="nil"/>
              <w:left w:val="nil"/>
              <w:bottom w:val="nil"/>
              <w:right w:val="nil"/>
            </w:tcBorders>
            <w:vAlign w:val="center"/>
          </w:tcPr>
          <w:p>
            <w:pPr>
              <w:widowControl/>
              <w:jc w:val="right"/>
              <w:rPr>
                <w:rFonts w:ascii="宋体" w:cs="Times New Roman"/>
                <w:color w:val="000000"/>
                <w:kern w:val="0"/>
                <w:sz w:val="18"/>
                <w:szCs w:val="18"/>
              </w:rPr>
            </w:pPr>
            <w:r>
              <w:rPr>
                <w:rFonts w:hint="eastAsia" w:ascii="宋体" w:hAnsi="宋体" w:cs="宋体"/>
                <w:color w:val="000000"/>
                <w:kern w:val="0"/>
                <w:sz w:val="18"/>
                <w:szCs w:val="18"/>
              </w:rPr>
              <w:t>单位</w:t>
            </w:r>
            <w:r>
              <w:rPr>
                <w:rFonts w:ascii="宋体" w:hAnsi="宋体" w:cs="宋体"/>
                <w:color w:val="000000"/>
                <w:kern w:val="0"/>
                <w:sz w:val="18"/>
                <w:szCs w:val="18"/>
              </w:rPr>
              <w:t>:</w:t>
            </w:r>
            <w:r>
              <w:rPr>
                <w:rFonts w:hint="eastAsia" w:ascii="宋体" w:hAnsi="宋体" w:cs="宋体"/>
                <w:color w:val="000000"/>
                <w:kern w:val="0"/>
                <w:sz w:val="18"/>
                <w:szCs w:val="18"/>
              </w:rPr>
              <w:t>元</w:t>
            </w:r>
          </w:p>
        </w:tc>
      </w:tr>
      <w:tr>
        <w:tblPrEx>
          <w:tblCellMar>
            <w:top w:w="0" w:type="dxa"/>
            <w:left w:w="108" w:type="dxa"/>
            <w:bottom w:w="0" w:type="dxa"/>
            <w:right w:w="108" w:type="dxa"/>
          </w:tblCellMar>
        </w:tblPrEx>
        <w:trPr>
          <w:gridBefore w:val="1"/>
          <w:gridAfter w:val="1"/>
          <w:wBefore w:w="199" w:type="dxa"/>
          <w:wAfter w:w="21" w:type="dxa"/>
          <w:trHeight w:val="578" w:hRule="atLeast"/>
        </w:trPr>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收入项目类别</w:t>
            </w:r>
          </w:p>
        </w:tc>
        <w:tc>
          <w:tcPr>
            <w:tcW w:w="16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收入预算金额</w:t>
            </w:r>
          </w:p>
        </w:tc>
        <w:tc>
          <w:tcPr>
            <w:tcW w:w="23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支出项目类别</w:t>
            </w:r>
          </w:p>
        </w:tc>
        <w:tc>
          <w:tcPr>
            <w:tcW w:w="20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支出预算金额</w:t>
            </w:r>
          </w:p>
        </w:tc>
      </w:tr>
      <w:tr>
        <w:tblPrEx>
          <w:tblCellMar>
            <w:top w:w="0" w:type="dxa"/>
            <w:left w:w="108" w:type="dxa"/>
            <w:bottom w:w="0" w:type="dxa"/>
            <w:right w:w="108" w:type="dxa"/>
          </w:tblCellMar>
        </w:tblPrEx>
        <w:trPr>
          <w:gridBefore w:val="1"/>
          <w:gridAfter w:val="1"/>
          <w:wBefore w:w="199" w:type="dxa"/>
          <w:wAfter w:w="21" w:type="dxa"/>
          <w:trHeight w:val="488" w:hRule="atLeast"/>
        </w:trPr>
        <w:tc>
          <w:tcPr>
            <w:tcW w:w="188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预算内资金</w:t>
            </w:r>
          </w:p>
        </w:tc>
        <w:tc>
          <w:tcPr>
            <w:tcW w:w="166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404,652,805.20</w:t>
            </w:r>
          </w:p>
        </w:tc>
        <w:tc>
          <w:tcPr>
            <w:tcW w:w="230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一般公共预算支出</w:t>
            </w:r>
          </w:p>
        </w:tc>
        <w:tc>
          <w:tcPr>
            <w:tcW w:w="20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404,652,805.20</w:t>
            </w:r>
          </w:p>
        </w:tc>
      </w:tr>
      <w:tr>
        <w:tblPrEx>
          <w:tblCellMar>
            <w:top w:w="0" w:type="dxa"/>
            <w:left w:w="108" w:type="dxa"/>
            <w:bottom w:w="0" w:type="dxa"/>
            <w:right w:w="108" w:type="dxa"/>
          </w:tblCellMar>
        </w:tblPrEx>
        <w:trPr>
          <w:gridBefore w:val="1"/>
          <w:gridAfter w:val="1"/>
          <w:wBefore w:w="199" w:type="dxa"/>
          <w:wAfter w:w="21" w:type="dxa"/>
          <w:trHeight w:val="488" w:hRule="atLeast"/>
        </w:trPr>
        <w:tc>
          <w:tcPr>
            <w:tcW w:w="188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财政专户管理</w:t>
            </w:r>
          </w:p>
        </w:tc>
        <w:tc>
          <w:tcPr>
            <w:tcW w:w="166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230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其他共产党事务支出</w:t>
            </w:r>
          </w:p>
        </w:tc>
        <w:tc>
          <w:tcPr>
            <w:tcW w:w="20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1,592,400.00</w:t>
            </w:r>
          </w:p>
        </w:tc>
      </w:tr>
      <w:tr>
        <w:tblPrEx>
          <w:tblCellMar>
            <w:top w:w="0" w:type="dxa"/>
            <w:left w:w="108" w:type="dxa"/>
            <w:bottom w:w="0" w:type="dxa"/>
            <w:right w:w="108" w:type="dxa"/>
          </w:tblCellMar>
        </w:tblPrEx>
        <w:trPr>
          <w:gridBefore w:val="1"/>
          <w:gridAfter w:val="1"/>
          <w:wBefore w:w="199" w:type="dxa"/>
          <w:wAfter w:w="21" w:type="dxa"/>
          <w:trHeight w:val="488" w:hRule="atLeast"/>
        </w:trPr>
        <w:tc>
          <w:tcPr>
            <w:tcW w:w="188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财政专户资金</w:t>
            </w:r>
          </w:p>
        </w:tc>
        <w:tc>
          <w:tcPr>
            <w:tcW w:w="166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230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进修及培训</w:t>
            </w:r>
          </w:p>
        </w:tc>
        <w:tc>
          <w:tcPr>
            <w:tcW w:w="20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701,760.00</w:t>
            </w:r>
          </w:p>
        </w:tc>
      </w:tr>
      <w:tr>
        <w:tblPrEx>
          <w:tblCellMar>
            <w:top w:w="0" w:type="dxa"/>
            <w:left w:w="108" w:type="dxa"/>
            <w:bottom w:w="0" w:type="dxa"/>
            <w:right w:w="108" w:type="dxa"/>
          </w:tblCellMar>
        </w:tblPrEx>
        <w:trPr>
          <w:gridBefore w:val="1"/>
          <w:gridAfter w:val="1"/>
          <w:wBefore w:w="199" w:type="dxa"/>
          <w:wAfter w:w="21" w:type="dxa"/>
          <w:trHeight w:val="728" w:hRule="atLeast"/>
        </w:trPr>
        <w:tc>
          <w:tcPr>
            <w:tcW w:w="188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教育收费收入</w:t>
            </w:r>
          </w:p>
        </w:tc>
        <w:tc>
          <w:tcPr>
            <w:tcW w:w="166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230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人力资源和社会保障管理事务</w:t>
            </w:r>
          </w:p>
        </w:tc>
        <w:tc>
          <w:tcPr>
            <w:tcW w:w="20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189,666,791.96</w:t>
            </w:r>
          </w:p>
        </w:tc>
      </w:tr>
      <w:tr>
        <w:tblPrEx>
          <w:tblCellMar>
            <w:top w:w="0" w:type="dxa"/>
            <w:left w:w="108" w:type="dxa"/>
            <w:bottom w:w="0" w:type="dxa"/>
            <w:right w:w="108" w:type="dxa"/>
          </w:tblCellMar>
        </w:tblPrEx>
        <w:trPr>
          <w:gridBefore w:val="1"/>
          <w:gridAfter w:val="1"/>
          <w:wBefore w:w="199" w:type="dxa"/>
          <w:wAfter w:w="21" w:type="dxa"/>
          <w:trHeight w:val="488" w:hRule="atLeast"/>
        </w:trPr>
        <w:tc>
          <w:tcPr>
            <w:tcW w:w="188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其他财政专户收入</w:t>
            </w:r>
          </w:p>
        </w:tc>
        <w:tc>
          <w:tcPr>
            <w:tcW w:w="166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230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行政事业单位养老支出</w:t>
            </w:r>
          </w:p>
        </w:tc>
        <w:tc>
          <w:tcPr>
            <w:tcW w:w="20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42,063,754.65</w:t>
            </w:r>
          </w:p>
        </w:tc>
      </w:tr>
      <w:tr>
        <w:tblPrEx>
          <w:tblCellMar>
            <w:top w:w="0" w:type="dxa"/>
            <w:left w:w="108" w:type="dxa"/>
            <w:bottom w:w="0" w:type="dxa"/>
            <w:right w:w="108" w:type="dxa"/>
          </w:tblCellMar>
        </w:tblPrEx>
        <w:trPr>
          <w:gridBefore w:val="1"/>
          <w:gridAfter w:val="1"/>
          <w:wBefore w:w="199" w:type="dxa"/>
          <w:wAfter w:w="21" w:type="dxa"/>
          <w:trHeight w:val="488" w:hRule="atLeast"/>
        </w:trPr>
        <w:tc>
          <w:tcPr>
            <w:tcW w:w="188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批准留用</w:t>
            </w:r>
          </w:p>
        </w:tc>
        <w:tc>
          <w:tcPr>
            <w:tcW w:w="166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230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就业补助</w:t>
            </w:r>
          </w:p>
        </w:tc>
        <w:tc>
          <w:tcPr>
            <w:tcW w:w="20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14,669,252.00</w:t>
            </w:r>
          </w:p>
        </w:tc>
      </w:tr>
      <w:tr>
        <w:tblPrEx>
          <w:tblCellMar>
            <w:top w:w="0" w:type="dxa"/>
            <w:left w:w="108" w:type="dxa"/>
            <w:bottom w:w="0" w:type="dxa"/>
            <w:right w:w="108" w:type="dxa"/>
          </w:tblCellMar>
        </w:tblPrEx>
        <w:trPr>
          <w:gridBefore w:val="1"/>
          <w:gridAfter w:val="1"/>
          <w:wBefore w:w="199" w:type="dxa"/>
          <w:wAfter w:w="21" w:type="dxa"/>
          <w:trHeight w:val="488" w:hRule="atLeast"/>
        </w:trPr>
        <w:tc>
          <w:tcPr>
            <w:tcW w:w="188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上级补助收入</w:t>
            </w:r>
          </w:p>
        </w:tc>
        <w:tc>
          <w:tcPr>
            <w:tcW w:w="166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230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社会福利</w:t>
            </w:r>
          </w:p>
        </w:tc>
        <w:tc>
          <w:tcPr>
            <w:tcW w:w="20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83,748,300.00</w:t>
            </w:r>
          </w:p>
        </w:tc>
      </w:tr>
      <w:tr>
        <w:tblPrEx>
          <w:tblCellMar>
            <w:top w:w="0" w:type="dxa"/>
            <w:left w:w="108" w:type="dxa"/>
            <w:bottom w:w="0" w:type="dxa"/>
            <w:right w:w="108" w:type="dxa"/>
          </w:tblCellMar>
        </w:tblPrEx>
        <w:trPr>
          <w:gridBefore w:val="1"/>
          <w:gridAfter w:val="1"/>
          <w:wBefore w:w="199" w:type="dxa"/>
          <w:wAfter w:w="21" w:type="dxa"/>
          <w:trHeight w:val="728" w:hRule="atLeast"/>
        </w:trPr>
        <w:tc>
          <w:tcPr>
            <w:tcW w:w="188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事业收入（不含事业单位预算外资金）</w:t>
            </w:r>
          </w:p>
        </w:tc>
        <w:tc>
          <w:tcPr>
            <w:tcW w:w="166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230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财政对基本养老保险基金的补助</w:t>
            </w:r>
          </w:p>
        </w:tc>
        <w:tc>
          <w:tcPr>
            <w:tcW w:w="20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28,666,800.00</w:t>
            </w:r>
          </w:p>
        </w:tc>
      </w:tr>
      <w:tr>
        <w:tblPrEx>
          <w:tblCellMar>
            <w:top w:w="0" w:type="dxa"/>
            <w:left w:w="108" w:type="dxa"/>
            <w:bottom w:w="0" w:type="dxa"/>
            <w:right w:w="108" w:type="dxa"/>
          </w:tblCellMar>
        </w:tblPrEx>
        <w:trPr>
          <w:gridBefore w:val="1"/>
          <w:gridAfter w:val="1"/>
          <w:wBefore w:w="199" w:type="dxa"/>
          <w:wAfter w:w="21" w:type="dxa"/>
          <w:trHeight w:val="488" w:hRule="atLeast"/>
        </w:trPr>
        <w:tc>
          <w:tcPr>
            <w:tcW w:w="188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经营收入</w:t>
            </w:r>
          </w:p>
        </w:tc>
        <w:tc>
          <w:tcPr>
            <w:tcW w:w="166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230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其他社会保障和就业支出</w:t>
            </w:r>
          </w:p>
        </w:tc>
        <w:tc>
          <w:tcPr>
            <w:tcW w:w="20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2,776,360.34</w:t>
            </w:r>
          </w:p>
        </w:tc>
      </w:tr>
      <w:tr>
        <w:tblPrEx>
          <w:tblCellMar>
            <w:top w:w="0" w:type="dxa"/>
            <w:left w:w="108" w:type="dxa"/>
            <w:bottom w:w="0" w:type="dxa"/>
            <w:right w:w="108" w:type="dxa"/>
          </w:tblCellMar>
        </w:tblPrEx>
        <w:trPr>
          <w:gridBefore w:val="1"/>
          <w:gridAfter w:val="1"/>
          <w:wBefore w:w="199" w:type="dxa"/>
          <w:wAfter w:w="21" w:type="dxa"/>
          <w:trHeight w:val="488" w:hRule="atLeast"/>
        </w:trPr>
        <w:tc>
          <w:tcPr>
            <w:tcW w:w="188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附属单位上缴收入</w:t>
            </w:r>
          </w:p>
        </w:tc>
        <w:tc>
          <w:tcPr>
            <w:tcW w:w="166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230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行政事业单位医疗</w:t>
            </w:r>
          </w:p>
        </w:tc>
        <w:tc>
          <w:tcPr>
            <w:tcW w:w="20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12,376,828.05</w:t>
            </w:r>
          </w:p>
        </w:tc>
      </w:tr>
      <w:tr>
        <w:tblPrEx>
          <w:tblCellMar>
            <w:top w:w="0" w:type="dxa"/>
            <w:left w:w="108" w:type="dxa"/>
            <w:bottom w:w="0" w:type="dxa"/>
            <w:right w:w="108" w:type="dxa"/>
          </w:tblCellMar>
        </w:tblPrEx>
        <w:trPr>
          <w:gridBefore w:val="1"/>
          <w:gridAfter w:val="1"/>
          <w:wBefore w:w="199" w:type="dxa"/>
          <w:wAfter w:w="21" w:type="dxa"/>
          <w:trHeight w:val="488" w:hRule="atLeast"/>
        </w:trPr>
        <w:tc>
          <w:tcPr>
            <w:tcW w:w="188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其他收入</w:t>
            </w:r>
          </w:p>
        </w:tc>
        <w:tc>
          <w:tcPr>
            <w:tcW w:w="166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230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住房改革支出</w:t>
            </w:r>
          </w:p>
        </w:tc>
        <w:tc>
          <w:tcPr>
            <w:tcW w:w="20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28,390,558.20</w:t>
            </w:r>
          </w:p>
        </w:tc>
      </w:tr>
      <w:tr>
        <w:tblPrEx>
          <w:tblCellMar>
            <w:top w:w="0" w:type="dxa"/>
            <w:left w:w="108" w:type="dxa"/>
            <w:bottom w:w="0" w:type="dxa"/>
            <w:right w:w="108" w:type="dxa"/>
          </w:tblCellMar>
        </w:tblPrEx>
        <w:trPr>
          <w:gridBefore w:val="1"/>
          <w:gridAfter w:val="1"/>
          <w:wBefore w:w="199" w:type="dxa"/>
          <w:wAfter w:w="21" w:type="dxa"/>
          <w:trHeight w:val="728" w:hRule="atLeast"/>
        </w:trPr>
        <w:tc>
          <w:tcPr>
            <w:tcW w:w="188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用事业基金弥补收支差额</w:t>
            </w:r>
          </w:p>
        </w:tc>
        <w:tc>
          <w:tcPr>
            <w:tcW w:w="166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230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本年支出合计</w:t>
            </w:r>
          </w:p>
        </w:tc>
        <w:tc>
          <w:tcPr>
            <w:tcW w:w="20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404,652,805.20</w:t>
            </w:r>
          </w:p>
        </w:tc>
      </w:tr>
      <w:tr>
        <w:tblPrEx>
          <w:tblCellMar>
            <w:top w:w="0" w:type="dxa"/>
            <w:left w:w="108" w:type="dxa"/>
            <w:bottom w:w="0" w:type="dxa"/>
            <w:right w:w="108" w:type="dxa"/>
          </w:tblCellMar>
        </w:tblPrEx>
        <w:trPr>
          <w:gridBefore w:val="1"/>
          <w:gridAfter w:val="1"/>
          <w:wBefore w:w="199" w:type="dxa"/>
          <w:wAfter w:w="21" w:type="dxa"/>
          <w:trHeight w:val="488" w:hRule="atLeast"/>
        </w:trPr>
        <w:tc>
          <w:tcPr>
            <w:tcW w:w="188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上年结转</w:t>
            </w:r>
          </w:p>
        </w:tc>
        <w:tc>
          <w:tcPr>
            <w:tcW w:w="166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230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结转下年</w:t>
            </w:r>
          </w:p>
        </w:tc>
        <w:tc>
          <w:tcPr>
            <w:tcW w:w="20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gridBefore w:val="1"/>
          <w:gridAfter w:val="1"/>
          <w:wBefore w:w="199" w:type="dxa"/>
          <w:wAfter w:w="21" w:type="dxa"/>
          <w:trHeight w:val="488" w:hRule="atLeast"/>
        </w:trPr>
        <w:tc>
          <w:tcPr>
            <w:tcW w:w="188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本年收入合计</w:t>
            </w:r>
          </w:p>
        </w:tc>
        <w:tc>
          <w:tcPr>
            <w:tcW w:w="166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404,652,805.20</w:t>
            </w:r>
          </w:p>
        </w:tc>
        <w:tc>
          <w:tcPr>
            <w:tcW w:w="230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支出总计</w:t>
            </w:r>
          </w:p>
        </w:tc>
        <w:tc>
          <w:tcPr>
            <w:tcW w:w="20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404,652,805.20</w:t>
            </w:r>
          </w:p>
        </w:tc>
      </w:tr>
      <w:tr>
        <w:tblPrEx>
          <w:tblCellMar>
            <w:top w:w="0" w:type="dxa"/>
            <w:left w:w="108" w:type="dxa"/>
            <w:bottom w:w="0" w:type="dxa"/>
            <w:right w:w="108" w:type="dxa"/>
          </w:tblCellMar>
        </w:tblPrEx>
        <w:trPr>
          <w:gridBefore w:val="1"/>
          <w:gridAfter w:val="1"/>
          <w:wBefore w:w="199" w:type="dxa"/>
          <w:wAfter w:w="21" w:type="dxa"/>
          <w:trHeight w:val="488" w:hRule="atLeast"/>
        </w:trPr>
        <w:tc>
          <w:tcPr>
            <w:tcW w:w="188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收入总计</w:t>
            </w:r>
          </w:p>
        </w:tc>
        <w:tc>
          <w:tcPr>
            <w:tcW w:w="166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404,652,805.20</w:t>
            </w:r>
          </w:p>
        </w:tc>
        <w:tc>
          <w:tcPr>
            <w:tcW w:w="230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20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bl>
    <w:p>
      <w:pPr>
        <w:rPr>
          <w:rFonts w:cs="Times New Roman"/>
          <w:sz w:val="28"/>
          <w:szCs w:val="28"/>
        </w:rPr>
        <w:sectPr>
          <w:pgSz w:w="11906" w:h="16838"/>
          <w:pgMar w:top="1440" w:right="1800" w:bottom="1440" w:left="1800" w:header="851" w:footer="992" w:gutter="0"/>
          <w:cols w:space="425" w:num="1"/>
          <w:docGrid w:type="lines" w:linePitch="312" w:charSpace="0"/>
        </w:sectPr>
      </w:pPr>
    </w:p>
    <w:p>
      <w:pPr>
        <w:rPr>
          <w:rFonts w:cs="Times New Roman"/>
          <w:sz w:val="28"/>
          <w:szCs w:val="28"/>
        </w:rPr>
      </w:pPr>
      <w:r>
        <w:rPr>
          <w:rFonts w:hint="eastAsia" w:cs="宋体"/>
          <w:sz w:val="28"/>
          <w:szCs w:val="28"/>
        </w:rPr>
        <w:t>表二：</w:t>
      </w:r>
    </w:p>
    <w:p>
      <w:pPr>
        <w:jc w:val="center"/>
        <w:rPr>
          <w:rFonts w:ascii="宋体" w:cs="Times New Roman"/>
          <w:b/>
          <w:bCs/>
          <w:sz w:val="36"/>
          <w:szCs w:val="36"/>
        </w:rPr>
      </w:pPr>
      <w:r>
        <w:rPr>
          <w:rFonts w:ascii="宋体" w:hAnsi="宋体" w:cs="宋体"/>
          <w:b/>
          <w:bCs/>
          <w:sz w:val="36"/>
          <w:szCs w:val="36"/>
        </w:rPr>
        <w:t>2020</w:t>
      </w:r>
      <w:r>
        <w:rPr>
          <w:rFonts w:hint="eastAsia" w:ascii="宋体" w:hAnsi="宋体" w:cs="宋体"/>
          <w:b/>
          <w:bCs/>
          <w:sz w:val="36"/>
          <w:szCs w:val="36"/>
        </w:rPr>
        <w:t>年部门收入总体情况表</w:t>
      </w:r>
    </w:p>
    <w:p>
      <w:pPr>
        <w:widowControl/>
        <w:jc w:val="center"/>
        <w:rPr>
          <w:rFonts w:ascii="宋体" w:hAnsi="宋体" w:cs="宋体"/>
          <w:kern w:val="0"/>
          <w:sz w:val="18"/>
          <w:szCs w:val="18"/>
        </w:rPr>
      </w:pPr>
      <w:r>
        <w:rPr>
          <w:rFonts w:ascii="宋体" w:hAnsi="宋体" w:cs="宋体"/>
          <w:b/>
          <w:bCs/>
          <w:sz w:val="36"/>
          <w:szCs w:val="36"/>
        </w:rPr>
        <w:t xml:space="preserve">                                                             </w:t>
      </w:r>
      <w:r>
        <w:rPr>
          <w:rFonts w:hint="eastAsia" w:ascii="宋体" w:hAnsi="宋体" w:cs="宋体"/>
          <w:kern w:val="0"/>
          <w:sz w:val="18"/>
          <w:szCs w:val="18"/>
        </w:rPr>
        <w:t>单位：元</w:t>
      </w:r>
    </w:p>
    <w:p>
      <w:pPr>
        <w:widowControl/>
        <w:rPr>
          <w:rFonts w:ascii="宋体" w:cs="Times New Roman"/>
          <w:b/>
          <w:bCs/>
          <w:sz w:val="36"/>
          <w:szCs w:val="36"/>
        </w:rPr>
      </w:pPr>
    </w:p>
    <w:tbl>
      <w:tblPr>
        <w:tblStyle w:val="6"/>
        <w:tblW w:w="13860" w:type="dxa"/>
        <w:tblInd w:w="93" w:type="dxa"/>
        <w:tblLayout w:type="autofit"/>
        <w:tblCellMar>
          <w:top w:w="0" w:type="dxa"/>
          <w:left w:w="108" w:type="dxa"/>
          <w:bottom w:w="0" w:type="dxa"/>
          <w:right w:w="108" w:type="dxa"/>
        </w:tblCellMar>
      </w:tblPr>
      <w:tblGrid>
        <w:gridCol w:w="1720"/>
        <w:gridCol w:w="2740"/>
        <w:gridCol w:w="1720"/>
        <w:gridCol w:w="500"/>
        <w:gridCol w:w="1720"/>
        <w:gridCol w:w="1080"/>
        <w:gridCol w:w="640"/>
        <w:gridCol w:w="520"/>
        <w:gridCol w:w="500"/>
        <w:gridCol w:w="1080"/>
        <w:gridCol w:w="560"/>
        <w:gridCol w:w="1080"/>
      </w:tblGrid>
      <w:tr>
        <w:tblPrEx>
          <w:tblCellMar>
            <w:top w:w="0" w:type="dxa"/>
            <w:left w:w="108" w:type="dxa"/>
            <w:bottom w:w="0" w:type="dxa"/>
            <w:right w:w="108" w:type="dxa"/>
          </w:tblCellMar>
        </w:tblPrEx>
        <w:trPr>
          <w:trHeight w:val="780" w:hRule="atLeast"/>
        </w:trPr>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科目编码</w:t>
            </w:r>
          </w:p>
        </w:tc>
        <w:tc>
          <w:tcPr>
            <w:tcW w:w="2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科目名称</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合计</w:t>
            </w:r>
          </w:p>
        </w:tc>
        <w:tc>
          <w:tcPr>
            <w:tcW w:w="5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上年结转</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一般公共预算拨款收入</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政府性基金预算拨款收入</w:t>
            </w:r>
          </w:p>
        </w:tc>
        <w:tc>
          <w:tcPr>
            <w:tcW w:w="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上级补助收入</w:t>
            </w:r>
          </w:p>
        </w:tc>
        <w:tc>
          <w:tcPr>
            <w:tcW w:w="5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事业收入</w:t>
            </w:r>
          </w:p>
        </w:tc>
        <w:tc>
          <w:tcPr>
            <w:tcW w:w="5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经营收入</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附属单位上缴收入</w:t>
            </w:r>
          </w:p>
        </w:tc>
        <w:tc>
          <w:tcPr>
            <w:tcW w:w="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其他收入</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用事业基金弥补收支差额</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总计</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404,652,805.20</w:t>
            </w:r>
          </w:p>
        </w:tc>
        <w:tc>
          <w:tcPr>
            <w:tcW w:w="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404,652,805.20</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201</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一般公共服务支出</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1,592,400.00</w:t>
            </w:r>
          </w:p>
        </w:tc>
        <w:tc>
          <w:tcPr>
            <w:tcW w:w="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1,592,400.00</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20136</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其他共产党事务支出</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1,592,400.00</w:t>
            </w:r>
          </w:p>
        </w:tc>
        <w:tc>
          <w:tcPr>
            <w:tcW w:w="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1,592,400.00</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2013699</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其他共产党事务支出</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1,592,400.00</w:t>
            </w:r>
          </w:p>
        </w:tc>
        <w:tc>
          <w:tcPr>
            <w:tcW w:w="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1,592,400.00</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205</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教育支出</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701,760.00</w:t>
            </w:r>
          </w:p>
        </w:tc>
        <w:tc>
          <w:tcPr>
            <w:tcW w:w="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701,760.00</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20508</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进修及培训</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701,760.00</w:t>
            </w:r>
          </w:p>
        </w:tc>
        <w:tc>
          <w:tcPr>
            <w:tcW w:w="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701,760.00</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2050803</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培训支出</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701,760.00</w:t>
            </w:r>
          </w:p>
        </w:tc>
        <w:tc>
          <w:tcPr>
            <w:tcW w:w="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701,760.00</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208</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社会保障和就业支出</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361,591,258.95</w:t>
            </w:r>
          </w:p>
        </w:tc>
        <w:tc>
          <w:tcPr>
            <w:tcW w:w="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361,591,258.95</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20801</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人力资源和社会保障管理事务</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189,666,791.96</w:t>
            </w:r>
          </w:p>
        </w:tc>
        <w:tc>
          <w:tcPr>
            <w:tcW w:w="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189,666,791.96</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2080101</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行政运行</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137,860,850.43</w:t>
            </w:r>
          </w:p>
        </w:tc>
        <w:tc>
          <w:tcPr>
            <w:tcW w:w="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137,860,850.43</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2080102</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一般行政管理事务</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8,532,228.24</w:t>
            </w:r>
          </w:p>
        </w:tc>
        <w:tc>
          <w:tcPr>
            <w:tcW w:w="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8,532,228.24</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2080103</w:t>
            </w:r>
          </w:p>
        </w:tc>
        <w:tc>
          <w:tcPr>
            <w:tcW w:w="27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机关服务</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4,899,789.60</w:t>
            </w:r>
          </w:p>
        </w:tc>
        <w:tc>
          <w:tcPr>
            <w:tcW w:w="50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4,899,789.60</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0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2080105</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劳动保障监察</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496,000.00</w:t>
            </w:r>
          </w:p>
        </w:tc>
        <w:tc>
          <w:tcPr>
            <w:tcW w:w="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496,000.00</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2080109</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社会保险经办机构</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4,346,478.53</w:t>
            </w:r>
          </w:p>
        </w:tc>
        <w:tc>
          <w:tcPr>
            <w:tcW w:w="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4,346,478.53</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2080110</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劳动关系和维权</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490,000.00</w:t>
            </w:r>
          </w:p>
        </w:tc>
        <w:tc>
          <w:tcPr>
            <w:tcW w:w="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490,000.00</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2080111</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公共就业服务和职业技能鉴定机构</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1,489,311.62</w:t>
            </w:r>
          </w:p>
        </w:tc>
        <w:tc>
          <w:tcPr>
            <w:tcW w:w="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1,489,311.62</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2080112</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劳动人事争议调解仲裁</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1,130,000.00</w:t>
            </w:r>
          </w:p>
        </w:tc>
        <w:tc>
          <w:tcPr>
            <w:tcW w:w="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1,130,000.00</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728"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2080199</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其他人力资源和社会保障管理事务支出</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30,422,133.54</w:t>
            </w:r>
          </w:p>
        </w:tc>
        <w:tc>
          <w:tcPr>
            <w:tcW w:w="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30,422,133.54</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20805</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行政事业单位养老支出</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42,063,754.65</w:t>
            </w:r>
          </w:p>
        </w:tc>
        <w:tc>
          <w:tcPr>
            <w:tcW w:w="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42,063,754.65</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2080501</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行政单位离退休</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3,652,663.25</w:t>
            </w:r>
          </w:p>
        </w:tc>
        <w:tc>
          <w:tcPr>
            <w:tcW w:w="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3,652,663.25</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2080502</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事业单位离退休</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165,954.00</w:t>
            </w:r>
          </w:p>
        </w:tc>
        <w:tc>
          <w:tcPr>
            <w:tcW w:w="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165,954.00</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728"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2080505</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机关事业单位基本养老保险缴费支出</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14,014,557.60</w:t>
            </w:r>
          </w:p>
        </w:tc>
        <w:tc>
          <w:tcPr>
            <w:tcW w:w="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14,014,557.60</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2080506</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机关事业单位职业年金缴费支出</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7,007,278.80</w:t>
            </w:r>
          </w:p>
        </w:tc>
        <w:tc>
          <w:tcPr>
            <w:tcW w:w="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7,007,278.80</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2080599</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其他行政事业单位养老支出</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17,223,301.00</w:t>
            </w:r>
          </w:p>
        </w:tc>
        <w:tc>
          <w:tcPr>
            <w:tcW w:w="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17,223,301.00</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20807</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就业补助</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14,669,252.00</w:t>
            </w:r>
          </w:p>
        </w:tc>
        <w:tc>
          <w:tcPr>
            <w:tcW w:w="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14,669,252.00</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2080701</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就业创业服务补贴</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10,300,000.00</w:t>
            </w:r>
          </w:p>
        </w:tc>
        <w:tc>
          <w:tcPr>
            <w:tcW w:w="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10,300,000.00</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2080702</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职业培训补贴</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4,266,850.00</w:t>
            </w:r>
          </w:p>
        </w:tc>
        <w:tc>
          <w:tcPr>
            <w:tcW w:w="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4,266,850.00</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2080704</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社会保险补贴</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102,402.00</w:t>
            </w:r>
          </w:p>
        </w:tc>
        <w:tc>
          <w:tcPr>
            <w:tcW w:w="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102,402.00</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20810</w:t>
            </w:r>
          </w:p>
        </w:tc>
        <w:tc>
          <w:tcPr>
            <w:tcW w:w="27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社会福利</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83,748,300.00</w:t>
            </w:r>
          </w:p>
        </w:tc>
        <w:tc>
          <w:tcPr>
            <w:tcW w:w="50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83,748,300.00</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0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2081002</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老年福利</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83,748,300.00</w:t>
            </w:r>
          </w:p>
        </w:tc>
        <w:tc>
          <w:tcPr>
            <w:tcW w:w="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83,748,300.00</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20826</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财政对基本养老保险基金的补助</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28,666,800.00</w:t>
            </w:r>
          </w:p>
        </w:tc>
        <w:tc>
          <w:tcPr>
            <w:tcW w:w="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28,666,800.00</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728"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2082602</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财政对城乡居民基本养老保险基金的补助</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28,666,800.00</w:t>
            </w:r>
          </w:p>
        </w:tc>
        <w:tc>
          <w:tcPr>
            <w:tcW w:w="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28,666,800.00</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20899</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其他社会保障和就业支出</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2,776,360.34</w:t>
            </w:r>
          </w:p>
        </w:tc>
        <w:tc>
          <w:tcPr>
            <w:tcW w:w="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2,776,360.34</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2089901</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其他社会保障和就业支出</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2,776,360.34</w:t>
            </w:r>
          </w:p>
        </w:tc>
        <w:tc>
          <w:tcPr>
            <w:tcW w:w="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2,776,360.34</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210</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卫生健康支出</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12,376,828.05</w:t>
            </w:r>
          </w:p>
        </w:tc>
        <w:tc>
          <w:tcPr>
            <w:tcW w:w="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12,376,828.05</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21011</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行政事业单位医疗</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12,376,828.05</w:t>
            </w:r>
          </w:p>
        </w:tc>
        <w:tc>
          <w:tcPr>
            <w:tcW w:w="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12,376,828.05</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2101101</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行政单位医疗</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11,086,572.77</w:t>
            </w:r>
          </w:p>
        </w:tc>
        <w:tc>
          <w:tcPr>
            <w:tcW w:w="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11,086,572.77</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2101102</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事业单位医疗</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300,255.28</w:t>
            </w:r>
          </w:p>
        </w:tc>
        <w:tc>
          <w:tcPr>
            <w:tcW w:w="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300,255.28</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2101199</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其他行政事业单位医疗支出</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990,000.00</w:t>
            </w:r>
          </w:p>
        </w:tc>
        <w:tc>
          <w:tcPr>
            <w:tcW w:w="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990,000.00</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221</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住房保障支出</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28,390,558.20</w:t>
            </w:r>
          </w:p>
        </w:tc>
        <w:tc>
          <w:tcPr>
            <w:tcW w:w="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28,390,558.20</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22102</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住房改革支出</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28,390,558.20</w:t>
            </w:r>
          </w:p>
        </w:tc>
        <w:tc>
          <w:tcPr>
            <w:tcW w:w="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28,390,558.20</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2210201</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住房公积金</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13,765,318.20</w:t>
            </w:r>
          </w:p>
        </w:tc>
        <w:tc>
          <w:tcPr>
            <w:tcW w:w="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13,765,318.20</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2210202</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提租补贴</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31,560.00</w:t>
            </w:r>
          </w:p>
        </w:tc>
        <w:tc>
          <w:tcPr>
            <w:tcW w:w="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31,560.00</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2210203</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购房补贴</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14,593,680.00</w:t>
            </w:r>
          </w:p>
        </w:tc>
        <w:tc>
          <w:tcPr>
            <w:tcW w:w="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14,593,680.00</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bl>
    <w:p>
      <w:pPr>
        <w:rPr>
          <w:rFonts w:ascii="宋体" w:cs="Times New Roman"/>
          <w:b/>
          <w:bCs/>
          <w:sz w:val="36"/>
          <w:szCs w:val="36"/>
        </w:rPr>
        <w:sectPr>
          <w:pgSz w:w="16838" w:h="11906" w:orient="landscape"/>
          <w:pgMar w:top="1797" w:right="1440" w:bottom="1797" w:left="1440" w:header="851" w:footer="992" w:gutter="0"/>
          <w:cols w:space="425" w:num="1"/>
          <w:docGrid w:type="linesAndChars" w:linePitch="312" w:charSpace="0"/>
        </w:sectPr>
      </w:pPr>
    </w:p>
    <w:p>
      <w:pPr>
        <w:rPr>
          <w:rFonts w:ascii="宋体" w:cs="Times New Roman"/>
          <w:b/>
          <w:bCs/>
          <w:sz w:val="36"/>
          <w:szCs w:val="36"/>
        </w:rPr>
      </w:pPr>
      <w:r>
        <w:rPr>
          <w:rFonts w:hint="eastAsia" w:cs="宋体"/>
          <w:sz w:val="28"/>
          <w:szCs w:val="28"/>
        </w:rPr>
        <w:t>表三</w:t>
      </w:r>
      <w:r>
        <w:rPr>
          <w:rFonts w:hint="eastAsia" w:ascii="宋体" w:hAnsi="宋体" w:cs="宋体"/>
          <w:b/>
          <w:bCs/>
          <w:sz w:val="36"/>
          <w:szCs w:val="36"/>
        </w:rPr>
        <w:t>：</w:t>
      </w:r>
    </w:p>
    <w:p>
      <w:pPr>
        <w:jc w:val="center"/>
        <w:rPr>
          <w:rFonts w:ascii="宋体" w:cs="Times New Roman"/>
          <w:b/>
          <w:bCs/>
          <w:sz w:val="32"/>
          <w:szCs w:val="32"/>
        </w:rPr>
      </w:pPr>
      <w:r>
        <w:rPr>
          <w:rFonts w:ascii="宋体" w:hAnsi="宋体" w:cs="宋体"/>
          <w:b/>
          <w:bCs/>
          <w:sz w:val="32"/>
          <w:szCs w:val="32"/>
        </w:rPr>
        <w:t>2020</w:t>
      </w:r>
      <w:r>
        <w:rPr>
          <w:rFonts w:hint="eastAsia" w:ascii="宋体" w:hAnsi="宋体" w:cs="宋体"/>
          <w:b/>
          <w:bCs/>
          <w:sz w:val="32"/>
          <w:szCs w:val="32"/>
        </w:rPr>
        <w:t>年部门支出总体情况表</w:t>
      </w:r>
    </w:p>
    <w:p>
      <w:pPr>
        <w:widowControl/>
        <w:jc w:val="center"/>
        <w:rPr>
          <w:rFonts w:ascii="宋体" w:cs="Times New Roman"/>
          <w:b/>
          <w:bCs/>
          <w:sz w:val="28"/>
          <w:szCs w:val="28"/>
        </w:rPr>
      </w:pPr>
      <w:r>
        <w:rPr>
          <w:rFonts w:ascii="宋体" w:hAnsi="宋体" w:cs="宋体"/>
          <w:b/>
          <w:bCs/>
          <w:sz w:val="36"/>
          <w:szCs w:val="36"/>
        </w:rPr>
        <w:t xml:space="preserve">                                                                    </w:t>
      </w:r>
      <w:r>
        <w:rPr>
          <w:rFonts w:ascii="宋体" w:hAnsi="宋体" w:cs="宋体"/>
          <w:b/>
          <w:bCs/>
          <w:sz w:val="28"/>
          <w:szCs w:val="28"/>
        </w:rPr>
        <w:t xml:space="preserve"> </w:t>
      </w:r>
      <w:r>
        <w:rPr>
          <w:rFonts w:hint="eastAsia" w:ascii="宋体" w:hAnsi="宋体" w:cs="宋体"/>
          <w:kern w:val="0"/>
          <w:sz w:val="28"/>
          <w:szCs w:val="28"/>
        </w:rPr>
        <w:t>单位</w:t>
      </w:r>
      <w:r>
        <w:rPr>
          <w:rFonts w:ascii="宋体" w:hAnsi="宋体" w:cs="宋体"/>
          <w:kern w:val="0"/>
          <w:sz w:val="28"/>
          <w:szCs w:val="28"/>
        </w:rPr>
        <w:t>:</w:t>
      </w:r>
      <w:r>
        <w:rPr>
          <w:rFonts w:hint="eastAsia" w:ascii="宋体" w:hAnsi="宋体" w:cs="宋体"/>
          <w:kern w:val="0"/>
          <w:sz w:val="28"/>
          <w:szCs w:val="28"/>
        </w:rPr>
        <w:t>元</w:t>
      </w:r>
    </w:p>
    <w:p>
      <w:pPr>
        <w:rPr>
          <w:rFonts w:ascii="宋体" w:cs="Times New Roman"/>
          <w:b/>
          <w:bCs/>
          <w:sz w:val="36"/>
          <w:szCs w:val="36"/>
        </w:rPr>
      </w:pPr>
    </w:p>
    <w:tbl>
      <w:tblPr>
        <w:tblStyle w:val="6"/>
        <w:tblW w:w="13320" w:type="dxa"/>
        <w:tblInd w:w="93" w:type="dxa"/>
        <w:tblLayout w:type="autofit"/>
        <w:tblCellMar>
          <w:top w:w="0" w:type="dxa"/>
          <w:left w:w="108" w:type="dxa"/>
          <w:bottom w:w="0" w:type="dxa"/>
          <w:right w:w="108" w:type="dxa"/>
        </w:tblCellMar>
      </w:tblPr>
      <w:tblGrid>
        <w:gridCol w:w="1720"/>
        <w:gridCol w:w="3100"/>
        <w:gridCol w:w="1720"/>
        <w:gridCol w:w="640"/>
        <w:gridCol w:w="1540"/>
        <w:gridCol w:w="1460"/>
        <w:gridCol w:w="880"/>
        <w:gridCol w:w="1080"/>
        <w:gridCol w:w="1180"/>
      </w:tblGrid>
      <w:tr>
        <w:tblPrEx>
          <w:tblCellMar>
            <w:top w:w="0" w:type="dxa"/>
            <w:left w:w="108" w:type="dxa"/>
            <w:bottom w:w="0" w:type="dxa"/>
            <w:right w:w="108" w:type="dxa"/>
          </w:tblCellMar>
        </w:tblPrEx>
        <w:trPr>
          <w:trHeight w:val="780" w:hRule="atLeast"/>
        </w:trPr>
        <w:tc>
          <w:tcPr>
            <w:tcW w:w="172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科目编码</w:t>
            </w:r>
          </w:p>
        </w:tc>
        <w:tc>
          <w:tcPr>
            <w:tcW w:w="3100" w:type="dxa"/>
            <w:tcBorders>
              <w:top w:val="single" w:color="auto" w:sz="8" w:space="0"/>
              <w:left w:val="nil"/>
              <w:bottom w:val="single" w:color="auto" w:sz="8" w:space="0"/>
              <w:right w:val="nil"/>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科目名称</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总计</w:t>
            </w:r>
          </w:p>
        </w:tc>
        <w:tc>
          <w:tcPr>
            <w:tcW w:w="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上年结转</w:t>
            </w:r>
          </w:p>
        </w:tc>
        <w:tc>
          <w:tcPr>
            <w:tcW w:w="1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基本支出</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项目支出</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上缴上级支出</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事业单位经营支出</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对下级单位补助支出</w:t>
            </w:r>
          </w:p>
        </w:tc>
      </w:tr>
      <w:tr>
        <w:tblPrEx>
          <w:tblCellMar>
            <w:top w:w="0" w:type="dxa"/>
            <w:left w:w="108" w:type="dxa"/>
            <w:bottom w:w="0" w:type="dxa"/>
            <w:right w:w="108" w:type="dxa"/>
          </w:tblCellMar>
        </w:tblPrEx>
        <w:trPr>
          <w:trHeight w:val="394" w:hRule="atLeast"/>
        </w:trPr>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w:t>
            </w:r>
          </w:p>
        </w:tc>
        <w:tc>
          <w:tcPr>
            <w:tcW w:w="3100" w:type="dxa"/>
            <w:tcBorders>
              <w:top w:val="single" w:color="000000"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总计</w:t>
            </w:r>
          </w:p>
        </w:tc>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404,652,805.20</w:t>
            </w:r>
          </w:p>
        </w:tc>
        <w:tc>
          <w:tcPr>
            <w:tcW w:w="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209,035,220.83</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195,617,584.37</w:t>
            </w:r>
          </w:p>
        </w:tc>
        <w:tc>
          <w:tcPr>
            <w:tcW w:w="8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201</w:t>
            </w:r>
          </w:p>
        </w:tc>
        <w:tc>
          <w:tcPr>
            <w:tcW w:w="31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一般公共服务支出</w:t>
            </w:r>
          </w:p>
        </w:tc>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1,592,400.00</w:t>
            </w:r>
          </w:p>
        </w:tc>
        <w:tc>
          <w:tcPr>
            <w:tcW w:w="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1,592,400.00</w:t>
            </w:r>
          </w:p>
        </w:tc>
        <w:tc>
          <w:tcPr>
            <w:tcW w:w="8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20136</w:t>
            </w:r>
          </w:p>
        </w:tc>
        <w:tc>
          <w:tcPr>
            <w:tcW w:w="31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其他共产党事务支出</w:t>
            </w:r>
          </w:p>
        </w:tc>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1,592,400.00</w:t>
            </w:r>
          </w:p>
        </w:tc>
        <w:tc>
          <w:tcPr>
            <w:tcW w:w="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1,592,400.00</w:t>
            </w:r>
          </w:p>
        </w:tc>
        <w:tc>
          <w:tcPr>
            <w:tcW w:w="8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2013699</w:t>
            </w:r>
          </w:p>
        </w:tc>
        <w:tc>
          <w:tcPr>
            <w:tcW w:w="31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其他共产党事务支出</w:t>
            </w:r>
          </w:p>
        </w:tc>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1,592,400.00</w:t>
            </w:r>
          </w:p>
        </w:tc>
        <w:tc>
          <w:tcPr>
            <w:tcW w:w="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1,592,400.00</w:t>
            </w:r>
          </w:p>
        </w:tc>
        <w:tc>
          <w:tcPr>
            <w:tcW w:w="8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205</w:t>
            </w:r>
          </w:p>
        </w:tc>
        <w:tc>
          <w:tcPr>
            <w:tcW w:w="31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教育支出</w:t>
            </w:r>
          </w:p>
        </w:tc>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701,760.00</w:t>
            </w:r>
          </w:p>
        </w:tc>
        <w:tc>
          <w:tcPr>
            <w:tcW w:w="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701,760.00</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8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20508</w:t>
            </w:r>
          </w:p>
        </w:tc>
        <w:tc>
          <w:tcPr>
            <w:tcW w:w="31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进修及培训</w:t>
            </w:r>
          </w:p>
        </w:tc>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701,760.00</w:t>
            </w:r>
          </w:p>
        </w:tc>
        <w:tc>
          <w:tcPr>
            <w:tcW w:w="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701,760.00</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8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2050803</w:t>
            </w:r>
          </w:p>
        </w:tc>
        <w:tc>
          <w:tcPr>
            <w:tcW w:w="31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培训支出</w:t>
            </w:r>
          </w:p>
        </w:tc>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701,760.00</w:t>
            </w:r>
          </w:p>
        </w:tc>
        <w:tc>
          <w:tcPr>
            <w:tcW w:w="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701,760.00</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8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208</w:t>
            </w:r>
          </w:p>
        </w:tc>
        <w:tc>
          <w:tcPr>
            <w:tcW w:w="31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社会保障和就业支出</w:t>
            </w:r>
          </w:p>
        </w:tc>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361,591,258.95</w:t>
            </w:r>
          </w:p>
        </w:tc>
        <w:tc>
          <w:tcPr>
            <w:tcW w:w="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167,566,074.58</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194,025,184.37</w:t>
            </w:r>
          </w:p>
        </w:tc>
        <w:tc>
          <w:tcPr>
            <w:tcW w:w="8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20801</w:t>
            </w:r>
          </w:p>
        </w:tc>
        <w:tc>
          <w:tcPr>
            <w:tcW w:w="31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人力资源和社会保障管理事务</w:t>
            </w:r>
          </w:p>
        </w:tc>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189,666,791.96</w:t>
            </w:r>
          </w:p>
        </w:tc>
        <w:tc>
          <w:tcPr>
            <w:tcW w:w="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140,496,800.36</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49,169,991.60</w:t>
            </w:r>
          </w:p>
        </w:tc>
        <w:tc>
          <w:tcPr>
            <w:tcW w:w="8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2080101</w:t>
            </w:r>
          </w:p>
        </w:tc>
        <w:tc>
          <w:tcPr>
            <w:tcW w:w="31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行政运行</w:t>
            </w:r>
          </w:p>
        </w:tc>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137,860,850.43</w:t>
            </w:r>
          </w:p>
        </w:tc>
        <w:tc>
          <w:tcPr>
            <w:tcW w:w="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137,860,850.43</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8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2080102</w:t>
            </w:r>
          </w:p>
        </w:tc>
        <w:tc>
          <w:tcPr>
            <w:tcW w:w="31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一般行政管理事务</w:t>
            </w:r>
          </w:p>
        </w:tc>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8,532,228.24</w:t>
            </w:r>
          </w:p>
        </w:tc>
        <w:tc>
          <w:tcPr>
            <w:tcW w:w="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8,532,228.24</w:t>
            </w:r>
          </w:p>
        </w:tc>
        <w:tc>
          <w:tcPr>
            <w:tcW w:w="8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2080103</w:t>
            </w:r>
          </w:p>
        </w:tc>
        <w:tc>
          <w:tcPr>
            <w:tcW w:w="3100" w:type="dxa"/>
            <w:tcBorders>
              <w:top w:val="single" w:color="auto"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机关服务</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4,899,789.60</w:t>
            </w:r>
          </w:p>
        </w:tc>
        <w:tc>
          <w:tcPr>
            <w:tcW w:w="64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4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4,899,789.60</w:t>
            </w:r>
          </w:p>
        </w:tc>
        <w:tc>
          <w:tcPr>
            <w:tcW w:w="88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2080105</w:t>
            </w:r>
          </w:p>
        </w:tc>
        <w:tc>
          <w:tcPr>
            <w:tcW w:w="31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劳动保障监察</w:t>
            </w:r>
          </w:p>
        </w:tc>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496,000.00</w:t>
            </w:r>
          </w:p>
        </w:tc>
        <w:tc>
          <w:tcPr>
            <w:tcW w:w="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496,000.00</w:t>
            </w:r>
          </w:p>
        </w:tc>
        <w:tc>
          <w:tcPr>
            <w:tcW w:w="8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2080109</w:t>
            </w:r>
          </w:p>
        </w:tc>
        <w:tc>
          <w:tcPr>
            <w:tcW w:w="31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社会保险经办机构</w:t>
            </w:r>
          </w:p>
        </w:tc>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4,346,478.53</w:t>
            </w:r>
          </w:p>
        </w:tc>
        <w:tc>
          <w:tcPr>
            <w:tcW w:w="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4,346,478.53</w:t>
            </w:r>
          </w:p>
        </w:tc>
        <w:tc>
          <w:tcPr>
            <w:tcW w:w="8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2080110</w:t>
            </w:r>
          </w:p>
        </w:tc>
        <w:tc>
          <w:tcPr>
            <w:tcW w:w="31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劳动关系和维权</w:t>
            </w:r>
          </w:p>
        </w:tc>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490,000.00</w:t>
            </w:r>
          </w:p>
        </w:tc>
        <w:tc>
          <w:tcPr>
            <w:tcW w:w="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490,000.00</w:t>
            </w:r>
          </w:p>
        </w:tc>
        <w:tc>
          <w:tcPr>
            <w:tcW w:w="8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2080111</w:t>
            </w:r>
          </w:p>
        </w:tc>
        <w:tc>
          <w:tcPr>
            <w:tcW w:w="31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公共就业服务和职业技能鉴定机构</w:t>
            </w:r>
          </w:p>
        </w:tc>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1,489,311.62</w:t>
            </w:r>
          </w:p>
        </w:tc>
        <w:tc>
          <w:tcPr>
            <w:tcW w:w="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1,392,756.27</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96,555.35</w:t>
            </w:r>
          </w:p>
        </w:tc>
        <w:tc>
          <w:tcPr>
            <w:tcW w:w="8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2080112</w:t>
            </w:r>
          </w:p>
        </w:tc>
        <w:tc>
          <w:tcPr>
            <w:tcW w:w="31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劳动人事争议调解仲裁</w:t>
            </w:r>
          </w:p>
        </w:tc>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1,130,000.00</w:t>
            </w:r>
          </w:p>
        </w:tc>
        <w:tc>
          <w:tcPr>
            <w:tcW w:w="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1,130,000.00</w:t>
            </w:r>
          </w:p>
        </w:tc>
        <w:tc>
          <w:tcPr>
            <w:tcW w:w="8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728" w:hRule="atLeast"/>
        </w:trPr>
        <w:tc>
          <w:tcPr>
            <w:tcW w:w="17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2080199</w:t>
            </w:r>
          </w:p>
        </w:tc>
        <w:tc>
          <w:tcPr>
            <w:tcW w:w="31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其他人力资源和社会保障管理事务支出</w:t>
            </w:r>
          </w:p>
        </w:tc>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30,422,133.54</w:t>
            </w:r>
          </w:p>
        </w:tc>
        <w:tc>
          <w:tcPr>
            <w:tcW w:w="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1,243,193.66</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29,178,939.88</w:t>
            </w:r>
          </w:p>
        </w:tc>
        <w:tc>
          <w:tcPr>
            <w:tcW w:w="8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20805</w:t>
            </w:r>
          </w:p>
        </w:tc>
        <w:tc>
          <w:tcPr>
            <w:tcW w:w="31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行政事业单位养老支出</w:t>
            </w:r>
          </w:p>
        </w:tc>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42,063,754.65</w:t>
            </w:r>
          </w:p>
        </w:tc>
        <w:tc>
          <w:tcPr>
            <w:tcW w:w="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24,840,453.65</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17,223,301.00</w:t>
            </w:r>
          </w:p>
        </w:tc>
        <w:tc>
          <w:tcPr>
            <w:tcW w:w="8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2080501</w:t>
            </w:r>
          </w:p>
        </w:tc>
        <w:tc>
          <w:tcPr>
            <w:tcW w:w="31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行政单位离退休</w:t>
            </w:r>
          </w:p>
        </w:tc>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3,652,663.25</w:t>
            </w:r>
          </w:p>
        </w:tc>
        <w:tc>
          <w:tcPr>
            <w:tcW w:w="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3,652,663.25</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8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2080502</w:t>
            </w:r>
          </w:p>
        </w:tc>
        <w:tc>
          <w:tcPr>
            <w:tcW w:w="31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事业单位离退休</w:t>
            </w:r>
          </w:p>
        </w:tc>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165,954.00</w:t>
            </w:r>
          </w:p>
        </w:tc>
        <w:tc>
          <w:tcPr>
            <w:tcW w:w="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165,954.00</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8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728" w:hRule="atLeast"/>
        </w:trPr>
        <w:tc>
          <w:tcPr>
            <w:tcW w:w="17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2080505</w:t>
            </w:r>
          </w:p>
        </w:tc>
        <w:tc>
          <w:tcPr>
            <w:tcW w:w="31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机关事业单位基本养老保险缴费支出</w:t>
            </w:r>
          </w:p>
        </w:tc>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14,014,557.60</w:t>
            </w:r>
          </w:p>
        </w:tc>
        <w:tc>
          <w:tcPr>
            <w:tcW w:w="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14,014,557.60</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8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2080506</w:t>
            </w:r>
          </w:p>
        </w:tc>
        <w:tc>
          <w:tcPr>
            <w:tcW w:w="31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机关事业单位职业年金缴费支出</w:t>
            </w:r>
          </w:p>
        </w:tc>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7,007,278.80</w:t>
            </w:r>
          </w:p>
        </w:tc>
        <w:tc>
          <w:tcPr>
            <w:tcW w:w="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7,007,278.80</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8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2080599</w:t>
            </w:r>
          </w:p>
        </w:tc>
        <w:tc>
          <w:tcPr>
            <w:tcW w:w="31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其他行政事业单位养老支出</w:t>
            </w:r>
          </w:p>
        </w:tc>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17,223,301.00</w:t>
            </w:r>
          </w:p>
        </w:tc>
        <w:tc>
          <w:tcPr>
            <w:tcW w:w="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17,223,301.00</w:t>
            </w:r>
          </w:p>
        </w:tc>
        <w:tc>
          <w:tcPr>
            <w:tcW w:w="8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20807</w:t>
            </w:r>
          </w:p>
        </w:tc>
        <w:tc>
          <w:tcPr>
            <w:tcW w:w="31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就业补助</w:t>
            </w:r>
          </w:p>
        </w:tc>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14,669,252.00</w:t>
            </w:r>
          </w:p>
        </w:tc>
        <w:tc>
          <w:tcPr>
            <w:tcW w:w="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14,669,252.00</w:t>
            </w:r>
          </w:p>
        </w:tc>
        <w:tc>
          <w:tcPr>
            <w:tcW w:w="8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2080701</w:t>
            </w:r>
          </w:p>
        </w:tc>
        <w:tc>
          <w:tcPr>
            <w:tcW w:w="31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就业创业服务补贴</w:t>
            </w:r>
          </w:p>
        </w:tc>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10,300,000.00</w:t>
            </w:r>
          </w:p>
        </w:tc>
        <w:tc>
          <w:tcPr>
            <w:tcW w:w="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10,300,000.00</w:t>
            </w:r>
          </w:p>
        </w:tc>
        <w:tc>
          <w:tcPr>
            <w:tcW w:w="8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2080702</w:t>
            </w:r>
          </w:p>
        </w:tc>
        <w:tc>
          <w:tcPr>
            <w:tcW w:w="31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职业培训补贴</w:t>
            </w:r>
          </w:p>
        </w:tc>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4,266,850.00</w:t>
            </w:r>
          </w:p>
        </w:tc>
        <w:tc>
          <w:tcPr>
            <w:tcW w:w="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4,266,850.00</w:t>
            </w:r>
          </w:p>
        </w:tc>
        <w:tc>
          <w:tcPr>
            <w:tcW w:w="8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2080704</w:t>
            </w:r>
          </w:p>
        </w:tc>
        <w:tc>
          <w:tcPr>
            <w:tcW w:w="31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社会保险补贴</w:t>
            </w:r>
          </w:p>
        </w:tc>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102,402.00</w:t>
            </w:r>
          </w:p>
        </w:tc>
        <w:tc>
          <w:tcPr>
            <w:tcW w:w="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102,402.00</w:t>
            </w:r>
          </w:p>
        </w:tc>
        <w:tc>
          <w:tcPr>
            <w:tcW w:w="8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20810</w:t>
            </w:r>
          </w:p>
        </w:tc>
        <w:tc>
          <w:tcPr>
            <w:tcW w:w="3100" w:type="dxa"/>
            <w:tcBorders>
              <w:top w:val="single" w:color="auto"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社会福利</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83,748,300.00</w:t>
            </w:r>
          </w:p>
        </w:tc>
        <w:tc>
          <w:tcPr>
            <w:tcW w:w="64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4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83,748,300.00</w:t>
            </w:r>
          </w:p>
        </w:tc>
        <w:tc>
          <w:tcPr>
            <w:tcW w:w="88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8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2081002</w:t>
            </w:r>
          </w:p>
        </w:tc>
        <w:tc>
          <w:tcPr>
            <w:tcW w:w="31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老年福利</w:t>
            </w:r>
          </w:p>
        </w:tc>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83,748,300.00</w:t>
            </w:r>
          </w:p>
        </w:tc>
        <w:tc>
          <w:tcPr>
            <w:tcW w:w="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83,748,300.00</w:t>
            </w:r>
          </w:p>
        </w:tc>
        <w:tc>
          <w:tcPr>
            <w:tcW w:w="8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20826</w:t>
            </w:r>
          </w:p>
        </w:tc>
        <w:tc>
          <w:tcPr>
            <w:tcW w:w="31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财政对基本养老保险基金的补助</w:t>
            </w:r>
          </w:p>
        </w:tc>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28,666,800.00</w:t>
            </w:r>
          </w:p>
        </w:tc>
        <w:tc>
          <w:tcPr>
            <w:tcW w:w="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28,666,800.00</w:t>
            </w:r>
          </w:p>
        </w:tc>
        <w:tc>
          <w:tcPr>
            <w:tcW w:w="8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728" w:hRule="atLeast"/>
        </w:trPr>
        <w:tc>
          <w:tcPr>
            <w:tcW w:w="17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2082602</w:t>
            </w:r>
          </w:p>
        </w:tc>
        <w:tc>
          <w:tcPr>
            <w:tcW w:w="31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财政对城乡居民基本养老保险基金的补助</w:t>
            </w:r>
          </w:p>
        </w:tc>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28,666,800.00</w:t>
            </w:r>
          </w:p>
        </w:tc>
        <w:tc>
          <w:tcPr>
            <w:tcW w:w="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28,666,800.00</w:t>
            </w:r>
          </w:p>
        </w:tc>
        <w:tc>
          <w:tcPr>
            <w:tcW w:w="8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20899</w:t>
            </w:r>
          </w:p>
        </w:tc>
        <w:tc>
          <w:tcPr>
            <w:tcW w:w="31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其他社会保障和就业支出</w:t>
            </w:r>
          </w:p>
        </w:tc>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2,776,360.34</w:t>
            </w:r>
          </w:p>
        </w:tc>
        <w:tc>
          <w:tcPr>
            <w:tcW w:w="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2,228,820.57</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547,539.77</w:t>
            </w:r>
          </w:p>
        </w:tc>
        <w:tc>
          <w:tcPr>
            <w:tcW w:w="8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2089901</w:t>
            </w:r>
          </w:p>
        </w:tc>
        <w:tc>
          <w:tcPr>
            <w:tcW w:w="31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其他社会保障和就业支出</w:t>
            </w:r>
          </w:p>
        </w:tc>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2,776,360.34</w:t>
            </w:r>
          </w:p>
        </w:tc>
        <w:tc>
          <w:tcPr>
            <w:tcW w:w="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2,228,820.57</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547,539.77</w:t>
            </w:r>
          </w:p>
        </w:tc>
        <w:tc>
          <w:tcPr>
            <w:tcW w:w="8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210</w:t>
            </w:r>
          </w:p>
        </w:tc>
        <w:tc>
          <w:tcPr>
            <w:tcW w:w="31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卫生健康支出</w:t>
            </w:r>
          </w:p>
        </w:tc>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12,376,828.05</w:t>
            </w:r>
          </w:p>
        </w:tc>
        <w:tc>
          <w:tcPr>
            <w:tcW w:w="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12,376,828.05</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8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21011</w:t>
            </w:r>
          </w:p>
        </w:tc>
        <w:tc>
          <w:tcPr>
            <w:tcW w:w="31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行政事业单位医疗</w:t>
            </w:r>
          </w:p>
        </w:tc>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12,376,828.05</w:t>
            </w:r>
          </w:p>
        </w:tc>
        <w:tc>
          <w:tcPr>
            <w:tcW w:w="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12,376,828.05</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8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2101101</w:t>
            </w:r>
          </w:p>
        </w:tc>
        <w:tc>
          <w:tcPr>
            <w:tcW w:w="31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行政单位医疗</w:t>
            </w:r>
          </w:p>
        </w:tc>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11,086,572.77</w:t>
            </w:r>
          </w:p>
        </w:tc>
        <w:tc>
          <w:tcPr>
            <w:tcW w:w="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11,086,572.77</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8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2101102</w:t>
            </w:r>
          </w:p>
        </w:tc>
        <w:tc>
          <w:tcPr>
            <w:tcW w:w="31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事业单位医疗</w:t>
            </w:r>
          </w:p>
        </w:tc>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300,255.28</w:t>
            </w:r>
          </w:p>
        </w:tc>
        <w:tc>
          <w:tcPr>
            <w:tcW w:w="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300,255.28</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8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2101199</w:t>
            </w:r>
          </w:p>
        </w:tc>
        <w:tc>
          <w:tcPr>
            <w:tcW w:w="31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其他行政事业单位医疗支出</w:t>
            </w:r>
          </w:p>
        </w:tc>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990,000.00</w:t>
            </w:r>
          </w:p>
        </w:tc>
        <w:tc>
          <w:tcPr>
            <w:tcW w:w="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990,000.00</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8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221</w:t>
            </w:r>
          </w:p>
        </w:tc>
        <w:tc>
          <w:tcPr>
            <w:tcW w:w="31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住房保障支出</w:t>
            </w:r>
          </w:p>
        </w:tc>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28,390,558.20</w:t>
            </w:r>
          </w:p>
        </w:tc>
        <w:tc>
          <w:tcPr>
            <w:tcW w:w="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28,390,558.20</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8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22102</w:t>
            </w:r>
          </w:p>
        </w:tc>
        <w:tc>
          <w:tcPr>
            <w:tcW w:w="31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住房改革支出</w:t>
            </w:r>
          </w:p>
        </w:tc>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28,390,558.20</w:t>
            </w:r>
          </w:p>
        </w:tc>
        <w:tc>
          <w:tcPr>
            <w:tcW w:w="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28,390,558.20</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8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2210201</w:t>
            </w:r>
          </w:p>
        </w:tc>
        <w:tc>
          <w:tcPr>
            <w:tcW w:w="31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住房公积金</w:t>
            </w:r>
          </w:p>
        </w:tc>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13,765,318.20</w:t>
            </w:r>
          </w:p>
        </w:tc>
        <w:tc>
          <w:tcPr>
            <w:tcW w:w="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13,765,318.20</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8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2210202</w:t>
            </w:r>
          </w:p>
        </w:tc>
        <w:tc>
          <w:tcPr>
            <w:tcW w:w="31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提租补贴</w:t>
            </w:r>
          </w:p>
        </w:tc>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31,560.00</w:t>
            </w:r>
          </w:p>
        </w:tc>
        <w:tc>
          <w:tcPr>
            <w:tcW w:w="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31,560.00</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8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2210203</w:t>
            </w:r>
          </w:p>
        </w:tc>
        <w:tc>
          <w:tcPr>
            <w:tcW w:w="31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购房补贴</w:t>
            </w:r>
          </w:p>
        </w:tc>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14,593,680.00</w:t>
            </w:r>
          </w:p>
        </w:tc>
        <w:tc>
          <w:tcPr>
            <w:tcW w:w="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14,593,680.00</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8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bl>
    <w:p>
      <w:pPr>
        <w:rPr>
          <w:rFonts w:ascii="宋体" w:cs="Times New Roman"/>
          <w:b/>
          <w:bCs/>
          <w:sz w:val="36"/>
          <w:szCs w:val="36"/>
        </w:rPr>
        <w:sectPr>
          <w:pgSz w:w="16838" w:h="11906" w:orient="landscape"/>
          <w:pgMar w:top="1797" w:right="1440" w:bottom="1797" w:left="1440" w:header="851" w:footer="992" w:gutter="0"/>
          <w:cols w:space="425" w:num="1"/>
          <w:docGrid w:type="linesAndChars" w:linePitch="312" w:charSpace="0"/>
        </w:sectPr>
      </w:pPr>
    </w:p>
    <w:p>
      <w:pPr>
        <w:rPr>
          <w:rFonts w:ascii="宋体" w:cs="Times New Roman"/>
          <w:b/>
          <w:bCs/>
          <w:sz w:val="36"/>
          <w:szCs w:val="36"/>
        </w:rPr>
      </w:pPr>
      <w:r>
        <w:rPr>
          <w:rFonts w:hint="eastAsia" w:cs="宋体"/>
          <w:sz w:val="28"/>
          <w:szCs w:val="28"/>
        </w:rPr>
        <w:t>表四</w:t>
      </w:r>
      <w:r>
        <w:rPr>
          <w:rFonts w:hint="eastAsia" w:ascii="宋体" w:hAnsi="宋体" w:cs="宋体"/>
          <w:b/>
          <w:bCs/>
          <w:sz w:val="36"/>
          <w:szCs w:val="36"/>
        </w:rPr>
        <w:t>：</w:t>
      </w:r>
    </w:p>
    <w:p>
      <w:pPr>
        <w:jc w:val="center"/>
        <w:rPr>
          <w:rFonts w:ascii="宋体" w:hAnsi="宋体" w:cs="宋体"/>
          <w:b/>
          <w:bCs/>
          <w:sz w:val="36"/>
          <w:szCs w:val="36"/>
        </w:rPr>
      </w:pPr>
      <w:r>
        <w:rPr>
          <w:rFonts w:ascii="宋体" w:hAnsi="宋体" w:cs="宋体"/>
          <w:b/>
          <w:bCs/>
          <w:sz w:val="36"/>
          <w:szCs w:val="36"/>
        </w:rPr>
        <w:t>2020</w:t>
      </w:r>
      <w:r>
        <w:rPr>
          <w:rFonts w:hint="eastAsia" w:ascii="宋体" w:hAnsi="宋体" w:cs="宋体"/>
          <w:b/>
          <w:bCs/>
          <w:sz w:val="36"/>
          <w:szCs w:val="36"/>
        </w:rPr>
        <w:t>年财政拨款收支总体情况表</w:t>
      </w:r>
    </w:p>
    <w:p>
      <w:pPr>
        <w:jc w:val="center"/>
        <w:rPr>
          <w:rFonts w:ascii="宋体" w:hAnsi="宋体" w:cs="Arial"/>
          <w:color w:val="000000"/>
          <w:kern w:val="0"/>
          <w:sz w:val="18"/>
          <w:szCs w:val="18"/>
        </w:rPr>
      </w:pPr>
      <w:r>
        <w:rPr>
          <w:rFonts w:hint="eastAsia" w:ascii="宋体" w:hAnsi="宋体" w:cs="宋体"/>
          <w:b/>
          <w:bCs/>
          <w:sz w:val="36"/>
          <w:szCs w:val="36"/>
        </w:rPr>
        <w:t xml:space="preserve">                                         </w:t>
      </w:r>
      <w:r>
        <w:rPr>
          <w:rFonts w:hint="eastAsia" w:ascii="宋体" w:hAnsi="宋体" w:cs="Arial"/>
          <w:color w:val="000000"/>
          <w:kern w:val="0"/>
          <w:sz w:val="18"/>
          <w:szCs w:val="18"/>
        </w:rPr>
        <w:t>单位：元</w:t>
      </w:r>
    </w:p>
    <w:p>
      <w:pPr>
        <w:rPr>
          <w:rFonts w:ascii="宋体" w:cs="Times New Roman"/>
          <w:b/>
          <w:bCs/>
          <w:sz w:val="36"/>
          <w:szCs w:val="36"/>
        </w:rPr>
      </w:pPr>
    </w:p>
    <w:tbl>
      <w:tblPr>
        <w:tblStyle w:val="6"/>
        <w:tblW w:w="9020" w:type="dxa"/>
        <w:tblInd w:w="93" w:type="dxa"/>
        <w:tblLayout w:type="autofit"/>
        <w:tblCellMar>
          <w:top w:w="0" w:type="dxa"/>
          <w:left w:w="108" w:type="dxa"/>
          <w:bottom w:w="0" w:type="dxa"/>
          <w:right w:w="108" w:type="dxa"/>
        </w:tblCellMar>
      </w:tblPr>
      <w:tblGrid>
        <w:gridCol w:w="2620"/>
        <w:gridCol w:w="1820"/>
        <w:gridCol w:w="2860"/>
        <w:gridCol w:w="1720"/>
      </w:tblGrid>
      <w:tr>
        <w:tblPrEx>
          <w:tblCellMar>
            <w:top w:w="0" w:type="dxa"/>
            <w:left w:w="108" w:type="dxa"/>
            <w:bottom w:w="0" w:type="dxa"/>
            <w:right w:w="108" w:type="dxa"/>
          </w:tblCellMar>
        </w:tblPrEx>
        <w:trPr>
          <w:trHeight w:val="600" w:hRule="atLeast"/>
        </w:trPr>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收入项目类别</w:t>
            </w:r>
          </w:p>
        </w:tc>
        <w:tc>
          <w:tcPr>
            <w:tcW w:w="18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收入预算金额</w:t>
            </w:r>
          </w:p>
        </w:tc>
        <w:tc>
          <w:tcPr>
            <w:tcW w:w="28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支出项目类别</w:t>
            </w:r>
          </w:p>
        </w:tc>
        <w:tc>
          <w:tcPr>
            <w:tcW w:w="17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支出预算金额</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预算内资金</w:t>
            </w:r>
          </w:p>
        </w:tc>
        <w:tc>
          <w:tcPr>
            <w:tcW w:w="1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404,652,805.20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一般公共预算支出</w:t>
            </w:r>
          </w:p>
        </w:tc>
        <w:tc>
          <w:tcPr>
            <w:tcW w:w="17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404,652,805.20</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财政专户管理</w:t>
            </w:r>
          </w:p>
        </w:tc>
        <w:tc>
          <w:tcPr>
            <w:tcW w:w="1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其他共产党事务支出</w:t>
            </w:r>
          </w:p>
        </w:tc>
        <w:tc>
          <w:tcPr>
            <w:tcW w:w="17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1,592,400.00</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财政专户资金</w:t>
            </w:r>
          </w:p>
        </w:tc>
        <w:tc>
          <w:tcPr>
            <w:tcW w:w="1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进修及培训</w:t>
            </w:r>
          </w:p>
        </w:tc>
        <w:tc>
          <w:tcPr>
            <w:tcW w:w="17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701,760.00</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教育收费收入</w:t>
            </w:r>
          </w:p>
        </w:tc>
        <w:tc>
          <w:tcPr>
            <w:tcW w:w="1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人力资源和社会保障管理事务</w:t>
            </w:r>
          </w:p>
        </w:tc>
        <w:tc>
          <w:tcPr>
            <w:tcW w:w="17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189,666,791.96</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其他财政专户收入</w:t>
            </w:r>
          </w:p>
        </w:tc>
        <w:tc>
          <w:tcPr>
            <w:tcW w:w="1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行政事业单位养老支出</w:t>
            </w:r>
          </w:p>
        </w:tc>
        <w:tc>
          <w:tcPr>
            <w:tcW w:w="17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42,063,754.65</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批准留用</w:t>
            </w:r>
          </w:p>
        </w:tc>
        <w:tc>
          <w:tcPr>
            <w:tcW w:w="1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就业补助</w:t>
            </w:r>
          </w:p>
        </w:tc>
        <w:tc>
          <w:tcPr>
            <w:tcW w:w="17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14,669,252.00</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上级补助收入</w:t>
            </w:r>
          </w:p>
        </w:tc>
        <w:tc>
          <w:tcPr>
            <w:tcW w:w="1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社会福利</w:t>
            </w:r>
          </w:p>
        </w:tc>
        <w:tc>
          <w:tcPr>
            <w:tcW w:w="17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83,748,300.00</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事业收入（不含事业单位预算外资金）</w:t>
            </w:r>
          </w:p>
        </w:tc>
        <w:tc>
          <w:tcPr>
            <w:tcW w:w="1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财政对基本养老保险基金的补助</w:t>
            </w:r>
          </w:p>
        </w:tc>
        <w:tc>
          <w:tcPr>
            <w:tcW w:w="17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28,666,800.00</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经营收入</w:t>
            </w:r>
          </w:p>
        </w:tc>
        <w:tc>
          <w:tcPr>
            <w:tcW w:w="1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17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2,776,360.34</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附属单位上缴收入</w:t>
            </w:r>
          </w:p>
        </w:tc>
        <w:tc>
          <w:tcPr>
            <w:tcW w:w="1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行政事业单位医疗</w:t>
            </w:r>
          </w:p>
        </w:tc>
        <w:tc>
          <w:tcPr>
            <w:tcW w:w="17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12,376,828.05</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其他收入</w:t>
            </w:r>
          </w:p>
        </w:tc>
        <w:tc>
          <w:tcPr>
            <w:tcW w:w="1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住房改革支出</w:t>
            </w:r>
          </w:p>
        </w:tc>
        <w:tc>
          <w:tcPr>
            <w:tcW w:w="17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28,390,558.20</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本年收入合计</w:t>
            </w:r>
          </w:p>
        </w:tc>
        <w:tc>
          <w:tcPr>
            <w:tcW w:w="1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404,652,805.20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本年支出合计</w:t>
            </w:r>
          </w:p>
        </w:tc>
        <w:tc>
          <w:tcPr>
            <w:tcW w:w="17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404,652,805.20</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用事业基金弥补收支差额</w:t>
            </w:r>
          </w:p>
        </w:tc>
        <w:tc>
          <w:tcPr>
            <w:tcW w:w="1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结转下年</w:t>
            </w:r>
          </w:p>
        </w:tc>
        <w:tc>
          <w:tcPr>
            <w:tcW w:w="17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上年结转</w:t>
            </w:r>
          </w:p>
        </w:tc>
        <w:tc>
          <w:tcPr>
            <w:tcW w:w="1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支出总计</w:t>
            </w:r>
          </w:p>
        </w:tc>
        <w:tc>
          <w:tcPr>
            <w:tcW w:w="17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404,652,805.20</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收入总计</w:t>
            </w:r>
          </w:p>
        </w:tc>
        <w:tc>
          <w:tcPr>
            <w:tcW w:w="1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404,652,805.20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7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bl>
    <w:p>
      <w:pPr>
        <w:jc w:val="center"/>
        <w:rPr>
          <w:rFonts w:ascii="宋体" w:cs="Times New Roman"/>
          <w:b/>
          <w:bCs/>
          <w:sz w:val="36"/>
          <w:szCs w:val="36"/>
        </w:rPr>
      </w:pPr>
    </w:p>
    <w:p>
      <w:pPr>
        <w:jc w:val="center"/>
        <w:rPr>
          <w:rFonts w:ascii="宋体" w:cs="Times New Roman"/>
          <w:b/>
          <w:bCs/>
          <w:sz w:val="36"/>
          <w:szCs w:val="36"/>
        </w:rPr>
      </w:pPr>
    </w:p>
    <w:p>
      <w:pPr>
        <w:jc w:val="center"/>
        <w:rPr>
          <w:rFonts w:ascii="宋体" w:cs="Times New Roman"/>
          <w:b/>
          <w:bCs/>
          <w:sz w:val="36"/>
          <w:szCs w:val="36"/>
        </w:rPr>
      </w:pPr>
    </w:p>
    <w:p>
      <w:pPr>
        <w:widowControl/>
        <w:jc w:val="left"/>
        <w:rPr>
          <w:rFonts w:ascii="宋体" w:cs="Times New Roman"/>
          <w:kern w:val="0"/>
          <w:sz w:val="24"/>
          <w:szCs w:val="24"/>
        </w:rPr>
      </w:pPr>
      <w:r>
        <w:rPr>
          <w:rFonts w:hint="eastAsia" w:ascii="宋体" w:hAnsi="宋体" w:cs="宋体"/>
          <w:kern w:val="0"/>
          <w:sz w:val="24"/>
          <w:szCs w:val="24"/>
        </w:rPr>
        <w:t>表五：</w:t>
      </w:r>
    </w:p>
    <w:p>
      <w:pPr>
        <w:jc w:val="center"/>
        <w:rPr>
          <w:rFonts w:ascii="宋体" w:cs="Times New Roman"/>
          <w:b/>
          <w:bCs/>
          <w:sz w:val="36"/>
          <w:szCs w:val="36"/>
        </w:rPr>
      </w:pPr>
      <w:r>
        <w:rPr>
          <w:rFonts w:ascii="宋体" w:hAnsi="宋体" w:cs="宋体"/>
          <w:b/>
          <w:bCs/>
          <w:sz w:val="36"/>
          <w:szCs w:val="36"/>
        </w:rPr>
        <w:t>2020</w:t>
      </w:r>
      <w:r>
        <w:rPr>
          <w:rFonts w:hint="eastAsia" w:ascii="宋体" w:hAnsi="宋体" w:cs="宋体"/>
          <w:b/>
          <w:bCs/>
          <w:sz w:val="36"/>
          <w:szCs w:val="36"/>
        </w:rPr>
        <w:t>年一般公共预算支出情况表</w:t>
      </w:r>
    </w:p>
    <w:p>
      <w:pPr>
        <w:jc w:val="center"/>
        <w:rPr>
          <w:rFonts w:ascii="宋体" w:cs="Times New Roman"/>
          <w:b/>
          <w:bCs/>
          <w:sz w:val="36"/>
          <w:szCs w:val="36"/>
        </w:rPr>
      </w:pPr>
      <w:r>
        <w:t xml:space="preserve">                                                                         </w:t>
      </w:r>
      <w:r>
        <w:rPr>
          <w:rFonts w:hint="eastAsia" w:ascii="宋体" w:hAnsi="宋体" w:cs="宋体"/>
          <w:kern w:val="0"/>
          <w:sz w:val="18"/>
          <w:szCs w:val="18"/>
        </w:rPr>
        <w:t>单位：元</w:t>
      </w:r>
    </w:p>
    <w:p>
      <w:pPr>
        <w:rPr>
          <w:rFonts w:ascii="宋体" w:cs="Times New Roman"/>
          <w:kern w:val="0"/>
          <w:sz w:val="24"/>
          <w:szCs w:val="24"/>
        </w:rPr>
      </w:pPr>
    </w:p>
    <w:tbl>
      <w:tblPr>
        <w:tblStyle w:val="6"/>
        <w:tblW w:w="9140" w:type="dxa"/>
        <w:tblInd w:w="93" w:type="dxa"/>
        <w:tblLayout w:type="autofit"/>
        <w:tblCellMar>
          <w:top w:w="0" w:type="dxa"/>
          <w:left w:w="108" w:type="dxa"/>
          <w:bottom w:w="0" w:type="dxa"/>
          <w:right w:w="108" w:type="dxa"/>
        </w:tblCellMar>
      </w:tblPr>
      <w:tblGrid>
        <w:gridCol w:w="1720"/>
        <w:gridCol w:w="2260"/>
        <w:gridCol w:w="1720"/>
        <w:gridCol w:w="1720"/>
        <w:gridCol w:w="1720"/>
      </w:tblGrid>
      <w:tr>
        <w:tblPrEx>
          <w:tblCellMar>
            <w:top w:w="0" w:type="dxa"/>
            <w:left w:w="108" w:type="dxa"/>
            <w:bottom w:w="0" w:type="dxa"/>
            <w:right w:w="108" w:type="dxa"/>
          </w:tblCellMar>
        </w:tblPrEx>
        <w:trPr>
          <w:trHeight w:val="608" w:hRule="atLeast"/>
        </w:trPr>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科目编码</w:t>
            </w:r>
          </w:p>
        </w:tc>
        <w:tc>
          <w:tcPr>
            <w:tcW w:w="2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科目名称</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合计</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基本支出</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项目支出</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总计</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404,652,805.20</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209,035,220.83</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195,617,584.37</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201</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一般公共服务支出</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1,592,400.00</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1,592,400.00</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20136</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其他共产党事务支出</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1,592,400.00</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1,592,400.00</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2013699</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其他共产党事务支出</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1,592,400.00</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1,592,400.00</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205</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教育支出</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701,760.00</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701,760.00</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20508</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进修及培训</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701,760.00</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701,760.00</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2050803</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培训支出</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701,760.00</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701,760.00</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208</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社会保障和就业支出</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361,591,258.95</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167,566,074.58</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194,025,184.37</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20801</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人力资源和社会保障管理事务</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189,666,791.96</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140,496,800.36</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49,169,991.60</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2080101</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行政运行</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137,860,850.43</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137,860,850.43</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2080102</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一般行政管理事务</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8,532,228.24</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8,532,228.24</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2080103</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机关服务</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4,899,789.60</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4,899,789.60</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2080105</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劳动保障监察</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496,000.00</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496,000.00</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2080109</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社会保险经办机构</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4,346,478.53</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4,346,478.53</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2080110</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劳动关系和维权</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490,000.00</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490,000.00</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2080111</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公共就业服务和职业技能鉴定机构</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1,489,311.62</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1,392,756.27</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96,555.35</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2080112</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劳动人事争议调解仲裁</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1,130,000.00</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1,130,000.00</w:t>
            </w:r>
          </w:p>
        </w:tc>
      </w:tr>
      <w:tr>
        <w:tblPrEx>
          <w:tblCellMar>
            <w:top w:w="0" w:type="dxa"/>
            <w:left w:w="108" w:type="dxa"/>
            <w:bottom w:w="0" w:type="dxa"/>
            <w:right w:w="108" w:type="dxa"/>
          </w:tblCellMar>
        </w:tblPrEx>
        <w:trPr>
          <w:trHeight w:val="728"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2080199</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其他人力资源和社会保障管理事务支出</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30,422,133.54</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1,243,193.66</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29,178,939.88</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20805</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行政事业单位养老支出</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42,063,754.65</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24,840,453.65</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17,223,301.00</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2080501</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行政单位离退休</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3,652,663.25</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3,652,663.25</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2080502</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事业单位离退休</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165,954.00</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165,954.00</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728"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2080505</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机关事业单位基本养老保险缴费支出</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14,014,557.60</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14,014,557.60</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2080506</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机关事业单位职业年金缴费支出</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7,007,278.80</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7,007,278.80</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2080599</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其他行政事业单位养老支出</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17,223,301.00</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17,223,301.00</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20807</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就业补助</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14,669,252.00</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14,669,252.00</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2080701</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就业创业服务补贴</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10,300,000.00</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10,300,000.00</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2080702</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职业培训补贴</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4,266,850.00</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4,266,850.00</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2080704</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社会保险补贴</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102,402.00</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102,402.00</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20810</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社会福利</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83,748,300.00</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83,748,300.00</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2081002</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老年福利</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83,748,300.00</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83,748,300.00</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20826</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财政对基本养老保险基金的补助</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28,666,800.00</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28,666,800.00</w:t>
            </w:r>
          </w:p>
        </w:tc>
      </w:tr>
      <w:tr>
        <w:tblPrEx>
          <w:tblCellMar>
            <w:top w:w="0" w:type="dxa"/>
            <w:left w:w="108" w:type="dxa"/>
            <w:bottom w:w="0" w:type="dxa"/>
            <w:right w:w="108" w:type="dxa"/>
          </w:tblCellMar>
        </w:tblPrEx>
        <w:trPr>
          <w:trHeight w:val="728"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2082602</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财政对城乡居民基本养老保险基金的补助</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28,666,800.00</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28,666,800.00</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20899</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其他社会保障和就业支出</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2,776,360.34</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2,228,820.57</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547,539.77</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2089901</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其他社会保障和就业支出</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2,776,360.34</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2,228,820.57</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547,539.77</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210</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卫生健康支出</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12,376,828.05</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12,376,828.05</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21011</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行政事业单位医疗</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12,376,828.05</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12,376,828.05</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2101101</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行政单位医疗</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11,086,572.77</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11,086,572.77</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2101102</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事业单位医疗</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300,255.28</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300,255.28</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2101199</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其他行政事业单位医疗支出</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990,000.00</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990,000.00</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221</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住房保障支出</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28,390,558.20</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28,390,558.20</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22102</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住房改革支出</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28,390,558.20</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28,390,558.20</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2210201</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住房公积金</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13,765,318.20</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13,765,318.20</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2210202</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提租补贴</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31,560.00</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31,560.00</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394"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2210203</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购房补贴</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14,593,680.00</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14,593,680.00</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bl>
    <w:p>
      <w:pPr>
        <w:rPr>
          <w:rFonts w:ascii="宋体" w:cs="Times New Roman"/>
          <w:kern w:val="0"/>
          <w:sz w:val="24"/>
          <w:szCs w:val="24"/>
        </w:rPr>
        <w:sectPr>
          <w:pgSz w:w="11906" w:h="16838"/>
          <w:pgMar w:top="1440" w:right="1800" w:bottom="1440" w:left="1800" w:header="851" w:footer="992" w:gutter="0"/>
          <w:cols w:space="425" w:num="1"/>
          <w:docGrid w:type="lines" w:linePitch="312" w:charSpace="0"/>
        </w:sectPr>
      </w:pPr>
    </w:p>
    <w:p>
      <w:pPr>
        <w:rPr>
          <w:rFonts w:cs="Times New Roman"/>
        </w:rPr>
      </w:pPr>
      <w:r>
        <w:rPr>
          <w:rFonts w:hint="eastAsia" w:ascii="宋体" w:hAnsi="宋体" w:cs="宋体"/>
          <w:kern w:val="0"/>
          <w:sz w:val="24"/>
          <w:szCs w:val="24"/>
        </w:rPr>
        <w:t>表六</w:t>
      </w:r>
      <w:r>
        <w:rPr>
          <w:rFonts w:hint="eastAsia" w:cs="宋体"/>
        </w:rPr>
        <w:t>：</w:t>
      </w:r>
    </w:p>
    <w:p>
      <w:pPr>
        <w:jc w:val="center"/>
        <w:rPr>
          <w:rFonts w:ascii="宋体" w:cs="Times New Roman"/>
          <w:b/>
          <w:bCs/>
          <w:sz w:val="36"/>
          <w:szCs w:val="36"/>
        </w:rPr>
      </w:pPr>
      <w:r>
        <w:rPr>
          <w:rFonts w:ascii="宋体" w:hAnsi="宋体" w:cs="宋体"/>
          <w:b/>
          <w:bCs/>
          <w:sz w:val="36"/>
          <w:szCs w:val="36"/>
        </w:rPr>
        <w:t>2020</w:t>
      </w:r>
      <w:r>
        <w:rPr>
          <w:rFonts w:hint="eastAsia" w:ascii="宋体" w:hAnsi="宋体" w:cs="宋体"/>
          <w:b/>
          <w:bCs/>
          <w:sz w:val="36"/>
          <w:szCs w:val="36"/>
        </w:rPr>
        <w:t>年一般公共预算基本支出情况表</w:t>
      </w:r>
    </w:p>
    <w:p>
      <w:pPr>
        <w:jc w:val="center"/>
        <w:rPr>
          <w:rFonts w:ascii="宋体" w:cs="Times New Roman"/>
          <w:b/>
          <w:bCs/>
          <w:sz w:val="36"/>
          <w:szCs w:val="36"/>
        </w:rPr>
      </w:pPr>
      <w:r>
        <w:rPr>
          <w:rFonts w:ascii="宋体" w:hAnsi="宋体" w:cs="宋体"/>
          <w:b/>
          <w:bCs/>
          <w:sz w:val="36"/>
          <w:szCs w:val="36"/>
        </w:rPr>
        <w:t xml:space="preserve">                                         </w:t>
      </w:r>
      <w:r>
        <w:rPr>
          <w:rFonts w:hint="eastAsia" w:ascii="宋体" w:hAnsi="宋体" w:cs="宋体"/>
          <w:kern w:val="0"/>
          <w:sz w:val="18"/>
          <w:szCs w:val="18"/>
        </w:rPr>
        <w:t>单位：元</w:t>
      </w:r>
      <w:r>
        <w:rPr>
          <w:rFonts w:ascii="宋体" w:hAnsi="宋体" w:cs="宋体"/>
          <w:b/>
          <w:bCs/>
          <w:sz w:val="36"/>
          <w:szCs w:val="36"/>
        </w:rPr>
        <w:t xml:space="preserve">   </w:t>
      </w:r>
    </w:p>
    <w:tbl>
      <w:tblPr>
        <w:tblStyle w:val="6"/>
        <w:tblW w:w="13320" w:type="dxa"/>
        <w:tblInd w:w="93" w:type="dxa"/>
        <w:tblLayout w:type="autofit"/>
        <w:tblCellMar>
          <w:top w:w="0" w:type="dxa"/>
          <w:left w:w="108" w:type="dxa"/>
          <w:bottom w:w="0" w:type="dxa"/>
          <w:right w:w="108" w:type="dxa"/>
        </w:tblCellMar>
      </w:tblPr>
      <w:tblGrid>
        <w:gridCol w:w="1640"/>
        <w:gridCol w:w="2260"/>
        <w:gridCol w:w="1740"/>
        <w:gridCol w:w="2380"/>
        <w:gridCol w:w="1900"/>
        <w:gridCol w:w="1760"/>
        <w:gridCol w:w="1640"/>
      </w:tblGrid>
      <w:tr>
        <w:tblPrEx>
          <w:tblCellMar>
            <w:top w:w="0" w:type="dxa"/>
            <w:left w:w="108" w:type="dxa"/>
            <w:bottom w:w="0" w:type="dxa"/>
            <w:right w:w="108" w:type="dxa"/>
          </w:tblCellMar>
        </w:tblPrEx>
        <w:trPr>
          <w:trHeight w:val="777" w:hRule="atLeast"/>
        </w:trPr>
        <w:tc>
          <w:tcPr>
            <w:tcW w:w="16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部门经济分类代码</w:t>
            </w:r>
          </w:p>
        </w:tc>
        <w:tc>
          <w:tcPr>
            <w:tcW w:w="22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部门经济分类名称</w:t>
            </w:r>
          </w:p>
        </w:tc>
        <w:tc>
          <w:tcPr>
            <w:tcW w:w="17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政府经济分类代码</w:t>
            </w:r>
          </w:p>
        </w:tc>
        <w:tc>
          <w:tcPr>
            <w:tcW w:w="23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政府经济分类名称</w:t>
            </w:r>
          </w:p>
        </w:tc>
        <w:tc>
          <w:tcPr>
            <w:tcW w:w="19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17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人员经费</w:t>
            </w:r>
          </w:p>
        </w:tc>
        <w:tc>
          <w:tcPr>
            <w:tcW w:w="16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公用经费</w:t>
            </w:r>
          </w:p>
        </w:tc>
      </w:tr>
      <w:tr>
        <w:tblPrEx>
          <w:tblCellMar>
            <w:top w:w="0" w:type="dxa"/>
            <w:left w:w="108" w:type="dxa"/>
            <w:bottom w:w="0" w:type="dxa"/>
            <w:right w:w="108" w:type="dxa"/>
          </w:tblCellMar>
        </w:tblPrEx>
        <w:trPr>
          <w:trHeight w:val="765"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30101</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基本工资</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5,145,804.00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5,145,804.00</w:t>
            </w:r>
          </w:p>
        </w:tc>
        <w:tc>
          <w:tcPr>
            <w:tcW w:w="1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89"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30101</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基本工资</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50101</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工资奖金津补贴</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17,686,788.00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17,686,788.00</w:t>
            </w:r>
          </w:p>
        </w:tc>
        <w:tc>
          <w:tcPr>
            <w:tcW w:w="1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698"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30101</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基本工资</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240,084.00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240,084.00</w:t>
            </w:r>
          </w:p>
        </w:tc>
        <w:tc>
          <w:tcPr>
            <w:tcW w:w="1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30101</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基本工资</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50101</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工资奖金津补贴</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245,184.00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245,184.00</w:t>
            </w:r>
          </w:p>
        </w:tc>
        <w:tc>
          <w:tcPr>
            <w:tcW w:w="1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30101</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基本工资</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410,256.00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410,256.00</w:t>
            </w:r>
          </w:p>
        </w:tc>
        <w:tc>
          <w:tcPr>
            <w:tcW w:w="1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30102</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津贴补贴</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50101</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工资奖金津补贴</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2,046,540.00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2,046,540.00</w:t>
            </w:r>
          </w:p>
        </w:tc>
        <w:tc>
          <w:tcPr>
            <w:tcW w:w="1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30102</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津贴补贴</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16,385,976.00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16,385,976.00</w:t>
            </w:r>
          </w:p>
        </w:tc>
        <w:tc>
          <w:tcPr>
            <w:tcW w:w="1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792"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30102</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津贴补贴</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623,250.00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623,250.00</w:t>
            </w:r>
          </w:p>
        </w:tc>
        <w:tc>
          <w:tcPr>
            <w:tcW w:w="1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30102</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津贴补贴</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50101</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工资奖金津补贴</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52,448,124.00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52,448,124.00</w:t>
            </w:r>
          </w:p>
        </w:tc>
        <w:tc>
          <w:tcPr>
            <w:tcW w:w="1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30102</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津贴补贴</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27,860.00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27,860.00</w:t>
            </w:r>
          </w:p>
        </w:tc>
        <w:tc>
          <w:tcPr>
            <w:tcW w:w="1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30102</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津贴补贴</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713,700.00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713,700.00</w:t>
            </w:r>
          </w:p>
        </w:tc>
        <w:tc>
          <w:tcPr>
            <w:tcW w:w="1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30102</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津贴补贴</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50101</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工资奖金津补贴</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283,488.00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283,488.00</w:t>
            </w:r>
          </w:p>
        </w:tc>
        <w:tc>
          <w:tcPr>
            <w:tcW w:w="1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30102</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津贴补贴</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50101</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工资奖金津补贴</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31,630.00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31,630.00</w:t>
            </w:r>
          </w:p>
        </w:tc>
        <w:tc>
          <w:tcPr>
            <w:tcW w:w="1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30102</w:t>
            </w:r>
          </w:p>
        </w:tc>
        <w:tc>
          <w:tcPr>
            <w:tcW w:w="22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津贴补贴</w:t>
            </w:r>
          </w:p>
        </w:tc>
        <w:tc>
          <w:tcPr>
            <w:tcW w:w="17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23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190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44,900.00</w:t>
            </w:r>
          </w:p>
        </w:tc>
        <w:tc>
          <w:tcPr>
            <w:tcW w:w="17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44,900.00</w:t>
            </w:r>
          </w:p>
        </w:tc>
        <w:tc>
          <w:tcPr>
            <w:tcW w:w="164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30102</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津贴补贴</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396,504.00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396,504.00</w:t>
            </w:r>
          </w:p>
        </w:tc>
        <w:tc>
          <w:tcPr>
            <w:tcW w:w="1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30102</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津贴补贴</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9,960.00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9,960.00</w:t>
            </w:r>
          </w:p>
        </w:tc>
        <w:tc>
          <w:tcPr>
            <w:tcW w:w="1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30102</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津贴补贴</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50101</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工资奖金津补贴</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6,960.00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6,960.00</w:t>
            </w:r>
          </w:p>
        </w:tc>
        <w:tc>
          <w:tcPr>
            <w:tcW w:w="1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30102</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津贴补贴</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50101</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工资奖金津补贴</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11,273,412.00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11,273,412.00</w:t>
            </w:r>
          </w:p>
        </w:tc>
        <w:tc>
          <w:tcPr>
            <w:tcW w:w="1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30102</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津贴补贴</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3,320,268.00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3,320,268.00</w:t>
            </w:r>
          </w:p>
        </w:tc>
        <w:tc>
          <w:tcPr>
            <w:tcW w:w="1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30103</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奖金</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2,355,000.00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2,355,000.00</w:t>
            </w:r>
          </w:p>
        </w:tc>
        <w:tc>
          <w:tcPr>
            <w:tcW w:w="1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30103</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奖金</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50101</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工资奖金津补贴</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7,606,500.00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7,606,500.00</w:t>
            </w:r>
          </w:p>
        </w:tc>
        <w:tc>
          <w:tcPr>
            <w:tcW w:w="1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30103</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奖金</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109,500.00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109,500.00</w:t>
            </w:r>
          </w:p>
        </w:tc>
        <w:tc>
          <w:tcPr>
            <w:tcW w:w="1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30107</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绩效工资</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50101</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工资奖金津补贴</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442,004.00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442,004.00</w:t>
            </w:r>
          </w:p>
        </w:tc>
        <w:tc>
          <w:tcPr>
            <w:tcW w:w="1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30107</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绩效工资</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880,070.00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880,070.00</w:t>
            </w:r>
          </w:p>
        </w:tc>
        <w:tc>
          <w:tcPr>
            <w:tcW w:w="1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30108</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机关事业单位基本养老保险缴费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3,464,802.88</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3,464,802.88</w:t>
            </w:r>
          </w:p>
        </w:tc>
        <w:tc>
          <w:tcPr>
            <w:tcW w:w="1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30108</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机关事业单位基本养老保险缴费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50102</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社会保障缴费</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10,549,754.72</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10,549,754.72</w:t>
            </w:r>
          </w:p>
        </w:tc>
        <w:tc>
          <w:tcPr>
            <w:tcW w:w="1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30109</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职业年金缴费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50102</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社会保障缴费</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5,274,877.36</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5,274,877.36</w:t>
            </w:r>
          </w:p>
        </w:tc>
        <w:tc>
          <w:tcPr>
            <w:tcW w:w="1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30109</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职业年金缴费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1,732,401.44</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1,732,401.44</w:t>
            </w:r>
          </w:p>
        </w:tc>
        <w:tc>
          <w:tcPr>
            <w:tcW w:w="1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30112</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其他社会保障缴费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242,954.77</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242,954.77</w:t>
            </w:r>
          </w:p>
        </w:tc>
        <w:tc>
          <w:tcPr>
            <w:tcW w:w="1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30112</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其他社会保障缴费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50102</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社会保障缴费</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651,042.41</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651,042.41</w:t>
            </w:r>
          </w:p>
        </w:tc>
        <w:tc>
          <w:tcPr>
            <w:tcW w:w="1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30112</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其他社会保障缴费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8,816.11</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8,816.11</w:t>
            </w:r>
          </w:p>
        </w:tc>
        <w:tc>
          <w:tcPr>
            <w:tcW w:w="1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30112</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其他社会保障缴费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50102</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社会保障缴费</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16,634.52</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16,634.52</w:t>
            </w:r>
          </w:p>
        </w:tc>
        <w:tc>
          <w:tcPr>
            <w:tcW w:w="1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30112</w:t>
            </w:r>
          </w:p>
        </w:tc>
        <w:tc>
          <w:tcPr>
            <w:tcW w:w="22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其他社会保障缴费</w:t>
            </w:r>
          </w:p>
        </w:tc>
        <w:tc>
          <w:tcPr>
            <w:tcW w:w="17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23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190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29,558.60</w:t>
            </w:r>
          </w:p>
        </w:tc>
        <w:tc>
          <w:tcPr>
            <w:tcW w:w="17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29,558.60</w:t>
            </w:r>
          </w:p>
        </w:tc>
        <w:tc>
          <w:tcPr>
            <w:tcW w:w="164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30112</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其他社会保障缴费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50102</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社会保障缴费</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8,463,551.33</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8,463,551.33</w:t>
            </w:r>
          </w:p>
        </w:tc>
        <w:tc>
          <w:tcPr>
            <w:tcW w:w="1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30112</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其他社会保障缴费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2,623,021.44</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2,623,021.44</w:t>
            </w:r>
          </w:p>
        </w:tc>
        <w:tc>
          <w:tcPr>
            <w:tcW w:w="1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30112</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其他社会保障缴费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192,130.90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192,130.90</w:t>
            </w:r>
          </w:p>
        </w:tc>
        <w:tc>
          <w:tcPr>
            <w:tcW w:w="1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30112</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其他社会保障缴费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50102</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社会保障缴费</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108,124.38</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108,124.38</w:t>
            </w:r>
          </w:p>
        </w:tc>
        <w:tc>
          <w:tcPr>
            <w:tcW w:w="1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30112</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其他社会保障缴费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50102</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社会保障缴费</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990,000.00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990,000.00</w:t>
            </w:r>
          </w:p>
        </w:tc>
        <w:tc>
          <w:tcPr>
            <w:tcW w:w="1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30113</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住房公积金</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50103</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住房公积金</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10,326,716.04</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10,326,716.04</w:t>
            </w:r>
          </w:p>
        </w:tc>
        <w:tc>
          <w:tcPr>
            <w:tcW w:w="1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30113</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住房公积金</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3,438,602.16</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3,438,602.16</w:t>
            </w:r>
          </w:p>
        </w:tc>
        <w:tc>
          <w:tcPr>
            <w:tcW w:w="1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30199</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其他工资福利支出</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50199</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其他工资福利支出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1,473,149.00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1,473,149.00</w:t>
            </w:r>
          </w:p>
        </w:tc>
        <w:tc>
          <w:tcPr>
            <w:tcW w:w="1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30199</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其他工资福利支出</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50199</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其他工资福利支出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5,382,000.00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5,382,000.00</w:t>
            </w:r>
          </w:p>
        </w:tc>
        <w:tc>
          <w:tcPr>
            <w:tcW w:w="1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30199</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其他工资福利支出</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530,247.00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530,247.00</w:t>
            </w:r>
          </w:p>
        </w:tc>
        <w:tc>
          <w:tcPr>
            <w:tcW w:w="1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30199</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其他工资福利支出</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20,007.00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20,007.00</w:t>
            </w:r>
          </w:p>
        </w:tc>
        <w:tc>
          <w:tcPr>
            <w:tcW w:w="1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30199</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其他工资福利支出</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50199</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其他工资福利支出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110,400.00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110,400.00</w:t>
            </w:r>
          </w:p>
        </w:tc>
        <w:tc>
          <w:tcPr>
            <w:tcW w:w="1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30199</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其他工资福利支出</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132,000.00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132,000.00</w:t>
            </w:r>
          </w:p>
        </w:tc>
        <w:tc>
          <w:tcPr>
            <w:tcW w:w="1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30201</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办公费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314,000.00</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314,000.00</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30201</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办公费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50201</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办公经费</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1,098,400.00</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1,098,400.00</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30201</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办公费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14,000.00</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14,000.00</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30201</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办公费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50201</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办公经费</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19,200.00</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19,200.00</w:t>
            </w:r>
          </w:p>
        </w:tc>
      </w:tr>
      <w:tr>
        <w:tblPrEx>
          <w:tblCellMar>
            <w:top w:w="0" w:type="dxa"/>
            <w:left w:w="108" w:type="dxa"/>
            <w:bottom w:w="0" w:type="dxa"/>
            <w:right w:w="108" w:type="dxa"/>
          </w:tblCellMar>
        </w:tblPrEx>
        <w:trPr>
          <w:trHeight w:val="792"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30201</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办公费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22,000.00</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22,000.00</w:t>
            </w:r>
          </w:p>
        </w:tc>
      </w:tr>
      <w:tr>
        <w:tblPrEx>
          <w:tblCellMar>
            <w:top w:w="0" w:type="dxa"/>
            <w:left w:w="108" w:type="dxa"/>
            <w:bottom w:w="0" w:type="dxa"/>
            <w:right w:w="108" w:type="dxa"/>
          </w:tblCellMar>
        </w:tblPrEx>
        <w:trPr>
          <w:trHeight w:val="792" w:hRule="atLeast"/>
        </w:trPr>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30205</w:t>
            </w:r>
          </w:p>
        </w:tc>
        <w:tc>
          <w:tcPr>
            <w:tcW w:w="22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水费</w:t>
            </w:r>
          </w:p>
        </w:tc>
        <w:tc>
          <w:tcPr>
            <w:tcW w:w="17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23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190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62,800.00</w:t>
            </w:r>
          </w:p>
        </w:tc>
        <w:tc>
          <w:tcPr>
            <w:tcW w:w="176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62,800.00</w:t>
            </w:r>
          </w:p>
        </w:tc>
      </w:tr>
      <w:tr>
        <w:tblPrEx>
          <w:tblCellMar>
            <w:top w:w="0" w:type="dxa"/>
            <w:left w:w="108" w:type="dxa"/>
            <w:bottom w:w="0" w:type="dxa"/>
            <w:right w:w="108" w:type="dxa"/>
          </w:tblCellMar>
        </w:tblPrEx>
        <w:trPr>
          <w:trHeight w:val="792"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30205</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水费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50201</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办公经费</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202,000.00</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202,000.00</w:t>
            </w:r>
          </w:p>
        </w:tc>
      </w:tr>
      <w:tr>
        <w:tblPrEx>
          <w:tblCellMar>
            <w:top w:w="0" w:type="dxa"/>
            <w:left w:w="108" w:type="dxa"/>
            <w:bottom w:w="0" w:type="dxa"/>
            <w:right w:w="108" w:type="dxa"/>
          </w:tblCellMar>
        </w:tblPrEx>
        <w:trPr>
          <w:trHeight w:val="792"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30205</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水费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2,800.00</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2,800.00</w:t>
            </w:r>
          </w:p>
        </w:tc>
      </w:tr>
      <w:tr>
        <w:tblPrEx>
          <w:tblCellMar>
            <w:top w:w="0" w:type="dxa"/>
            <w:left w:w="108" w:type="dxa"/>
            <w:bottom w:w="0" w:type="dxa"/>
            <w:right w:w="108" w:type="dxa"/>
          </w:tblCellMar>
        </w:tblPrEx>
        <w:trPr>
          <w:trHeight w:val="792"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30205</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水费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50201</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办公经费</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3,200.00</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3,200.00</w:t>
            </w:r>
          </w:p>
        </w:tc>
      </w:tr>
      <w:tr>
        <w:tblPrEx>
          <w:tblCellMar>
            <w:top w:w="0" w:type="dxa"/>
            <w:left w:w="108" w:type="dxa"/>
            <w:bottom w:w="0" w:type="dxa"/>
            <w:right w:w="108" w:type="dxa"/>
          </w:tblCellMar>
        </w:tblPrEx>
        <w:trPr>
          <w:trHeight w:val="792"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30205</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水费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4,400.00</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4,400.00</w:t>
            </w:r>
          </w:p>
        </w:tc>
      </w:tr>
      <w:tr>
        <w:tblPrEx>
          <w:tblCellMar>
            <w:top w:w="0" w:type="dxa"/>
            <w:left w:w="108" w:type="dxa"/>
            <w:bottom w:w="0" w:type="dxa"/>
            <w:right w:w="108" w:type="dxa"/>
          </w:tblCellMar>
        </w:tblPrEx>
        <w:trPr>
          <w:trHeight w:val="792"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30206</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电费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50201</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办公经费</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1,363,500.00</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1,363,500.00</w:t>
            </w:r>
          </w:p>
        </w:tc>
      </w:tr>
      <w:tr>
        <w:tblPrEx>
          <w:tblCellMar>
            <w:top w:w="0" w:type="dxa"/>
            <w:left w:w="108" w:type="dxa"/>
            <w:bottom w:w="0" w:type="dxa"/>
            <w:right w:w="108" w:type="dxa"/>
          </w:tblCellMar>
        </w:tblPrEx>
        <w:trPr>
          <w:trHeight w:val="792"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30206</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电费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423,900.00</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423,900.00</w:t>
            </w:r>
          </w:p>
        </w:tc>
      </w:tr>
      <w:tr>
        <w:tblPrEx>
          <w:tblCellMar>
            <w:top w:w="0" w:type="dxa"/>
            <w:left w:w="108" w:type="dxa"/>
            <w:bottom w:w="0" w:type="dxa"/>
            <w:right w:w="108" w:type="dxa"/>
          </w:tblCellMar>
        </w:tblPrEx>
        <w:trPr>
          <w:trHeight w:val="792"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30206</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电费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18,900.00</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18,900.00</w:t>
            </w:r>
          </w:p>
        </w:tc>
      </w:tr>
      <w:tr>
        <w:tblPrEx>
          <w:tblCellMar>
            <w:top w:w="0" w:type="dxa"/>
            <w:left w:w="108" w:type="dxa"/>
            <w:bottom w:w="0" w:type="dxa"/>
            <w:right w:w="108" w:type="dxa"/>
          </w:tblCellMar>
        </w:tblPrEx>
        <w:trPr>
          <w:trHeight w:val="792"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30206</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电费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50201</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办公经费</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21,600.00</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21,600.00</w:t>
            </w:r>
          </w:p>
        </w:tc>
      </w:tr>
      <w:tr>
        <w:tblPrEx>
          <w:tblCellMar>
            <w:top w:w="0" w:type="dxa"/>
            <w:left w:w="108" w:type="dxa"/>
            <w:bottom w:w="0" w:type="dxa"/>
            <w:right w:w="108" w:type="dxa"/>
          </w:tblCellMar>
        </w:tblPrEx>
        <w:trPr>
          <w:trHeight w:val="792"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30206</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电费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29,700.00</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29,700.00</w:t>
            </w:r>
          </w:p>
        </w:tc>
      </w:tr>
      <w:tr>
        <w:tblPrEx>
          <w:tblCellMar>
            <w:top w:w="0" w:type="dxa"/>
            <w:left w:w="108" w:type="dxa"/>
            <w:bottom w:w="0" w:type="dxa"/>
            <w:right w:w="108" w:type="dxa"/>
          </w:tblCellMar>
        </w:tblPrEx>
        <w:trPr>
          <w:trHeight w:val="792" w:hRule="atLeast"/>
        </w:trPr>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30207</w:t>
            </w:r>
          </w:p>
        </w:tc>
        <w:tc>
          <w:tcPr>
            <w:tcW w:w="22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邮电费</w:t>
            </w:r>
          </w:p>
        </w:tc>
        <w:tc>
          <w:tcPr>
            <w:tcW w:w="17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50201</w:t>
            </w:r>
          </w:p>
        </w:tc>
        <w:tc>
          <w:tcPr>
            <w:tcW w:w="23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办公经费</w:t>
            </w:r>
          </w:p>
        </w:tc>
        <w:tc>
          <w:tcPr>
            <w:tcW w:w="190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509,000.00</w:t>
            </w:r>
          </w:p>
        </w:tc>
        <w:tc>
          <w:tcPr>
            <w:tcW w:w="176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509,000.00</w:t>
            </w:r>
          </w:p>
        </w:tc>
      </w:tr>
      <w:tr>
        <w:tblPrEx>
          <w:tblCellMar>
            <w:top w:w="0" w:type="dxa"/>
            <w:left w:w="108" w:type="dxa"/>
            <w:bottom w:w="0" w:type="dxa"/>
            <w:right w:w="108" w:type="dxa"/>
          </w:tblCellMar>
        </w:tblPrEx>
        <w:trPr>
          <w:trHeight w:val="792"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30207</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邮电费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159,000.00</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159,000.00</w:t>
            </w:r>
          </w:p>
        </w:tc>
      </w:tr>
      <w:tr>
        <w:tblPrEx>
          <w:tblCellMar>
            <w:top w:w="0" w:type="dxa"/>
            <w:left w:w="108" w:type="dxa"/>
            <w:bottom w:w="0" w:type="dxa"/>
            <w:right w:w="108" w:type="dxa"/>
          </w:tblCellMar>
        </w:tblPrEx>
        <w:trPr>
          <w:trHeight w:val="792"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30207</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邮电费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8,000.00</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8,000.00</w:t>
            </w:r>
          </w:p>
        </w:tc>
      </w:tr>
      <w:tr>
        <w:tblPrEx>
          <w:tblCellMar>
            <w:top w:w="0" w:type="dxa"/>
            <w:left w:w="108" w:type="dxa"/>
            <w:bottom w:w="0" w:type="dxa"/>
            <w:right w:w="108" w:type="dxa"/>
          </w:tblCellMar>
        </w:tblPrEx>
        <w:trPr>
          <w:trHeight w:val="792"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30207</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邮电费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50201</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办公经费</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9,000.00</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9,000.00</w:t>
            </w:r>
          </w:p>
        </w:tc>
      </w:tr>
      <w:tr>
        <w:tblPrEx>
          <w:tblCellMar>
            <w:top w:w="0" w:type="dxa"/>
            <w:left w:w="108" w:type="dxa"/>
            <w:bottom w:w="0" w:type="dxa"/>
            <w:right w:w="108" w:type="dxa"/>
          </w:tblCellMar>
        </w:tblPrEx>
        <w:trPr>
          <w:trHeight w:val="792"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30207</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邮电费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12,000.00</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12,000.00</w:t>
            </w:r>
          </w:p>
        </w:tc>
      </w:tr>
      <w:tr>
        <w:tblPrEx>
          <w:tblCellMar>
            <w:top w:w="0" w:type="dxa"/>
            <w:left w:w="108" w:type="dxa"/>
            <w:bottom w:w="0" w:type="dxa"/>
            <w:right w:w="108" w:type="dxa"/>
          </w:tblCellMar>
        </w:tblPrEx>
        <w:trPr>
          <w:trHeight w:val="792"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30208</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取暖费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50201</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办公经费</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1,011,139.88</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1,011,139.88</w:t>
            </w:r>
          </w:p>
        </w:tc>
      </w:tr>
      <w:tr>
        <w:tblPrEx>
          <w:tblCellMar>
            <w:top w:w="0" w:type="dxa"/>
            <w:left w:w="108" w:type="dxa"/>
            <w:bottom w:w="0" w:type="dxa"/>
            <w:right w:w="108" w:type="dxa"/>
          </w:tblCellMar>
        </w:tblPrEx>
        <w:trPr>
          <w:trHeight w:val="792"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30208</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取暖费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350,000.00</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350,000.00</w:t>
            </w:r>
          </w:p>
        </w:tc>
      </w:tr>
      <w:tr>
        <w:tblPrEx>
          <w:tblCellMar>
            <w:top w:w="0" w:type="dxa"/>
            <w:left w:w="108" w:type="dxa"/>
            <w:bottom w:w="0" w:type="dxa"/>
            <w:right w:w="108" w:type="dxa"/>
          </w:tblCellMar>
        </w:tblPrEx>
        <w:trPr>
          <w:trHeight w:val="792"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30211</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差旅费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119,320.00</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119,320.00</w:t>
            </w:r>
          </w:p>
        </w:tc>
      </w:tr>
      <w:tr>
        <w:tblPrEx>
          <w:tblCellMar>
            <w:top w:w="0" w:type="dxa"/>
            <w:left w:w="108" w:type="dxa"/>
            <w:bottom w:w="0" w:type="dxa"/>
            <w:right w:w="108" w:type="dxa"/>
          </w:tblCellMar>
        </w:tblPrEx>
        <w:trPr>
          <w:trHeight w:val="792"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30211</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差旅费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50201</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办公经费</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383,800.00</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383,800.00</w:t>
            </w:r>
          </w:p>
        </w:tc>
      </w:tr>
      <w:tr>
        <w:tblPrEx>
          <w:tblCellMar>
            <w:top w:w="0" w:type="dxa"/>
            <w:left w:w="108" w:type="dxa"/>
            <w:bottom w:w="0" w:type="dxa"/>
            <w:right w:w="108" w:type="dxa"/>
          </w:tblCellMar>
        </w:tblPrEx>
        <w:trPr>
          <w:trHeight w:val="792"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30211</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差旅费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5,320.00</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5,320.00</w:t>
            </w:r>
          </w:p>
        </w:tc>
      </w:tr>
      <w:tr>
        <w:tblPrEx>
          <w:tblCellMar>
            <w:top w:w="0" w:type="dxa"/>
            <w:left w:w="108" w:type="dxa"/>
            <w:bottom w:w="0" w:type="dxa"/>
            <w:right w:w="108" w:type="dxa"/>
          </w:tblCellMar>
        </w:tblPrEx>
        <w:trPr>
          <w:trHeight w:val="792" w:hRule="atLeast"/>
        </w:trPr>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30211</w:t>
            </w:r>
          </w:p>
        </w:tc>
        <w:tc>
          <w:tcPr>
            <w:tcW w:w="22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差旅费</w:t>
            </w:r>
          </w:p>
        </w:tc>
        <w:tc>
          <w:tcPr>
            <w:tcW w:w="17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50201</w:t>
            </w:r>
          </w:p>
        </w:tc>
        <w:tc>
          <w:tcPr>
            <w:tcW w:w="23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办公经费</w:t>
            </w:r>
          </w:p>
        </w:tc>
        <w:tc>
          <w:tcPr>
            <w:tcW w:w="190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6,080.00</w:t>
            </w:r>
          </w:p>
        </w:tc>
        <w:tc>
          <w:tcPr>
            <w:tcW w:w="176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6,080.00</w:t>
            </w:r>
          </w:p>
        </w:tc>
      </w:tr>
      <w:tr>
        <w:tblPrEx>
          <w:tblCellMar>
            <w:top w:w="0" w:type="dxa"/>
            <w:left w:w="108" w:type="dxa"/>
            <w:bottom w:w="0" w:type="dxa"/>
            <w:right w:w="108" w:type="dxa"/>
          </w:tblCellMar>
        </w:tblPrEx>
        <w:trPr>
          <w:trHeight w:val="792"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30211</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差旅费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8,360.00</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8,360.00</w:t>
            </w:r>
          </w:p>
        </w:tc>
      </w:tr>
      <w:tr>
        <w:tblPrEx>
          <w:tblCellMar>
            <w:top w:w="0" w:type="dxa"/>
            <w:left w:w="108" w:type="dxa"/>
            <w:bottom w:w="0" w:type="dxa"/>
            <w:right w:w="108" w:type="dxa"/>
          </w:tblCellMar>
        </w:tblPrEx>
        <w:trPr>
          <w:trHeight w:val="792"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30213</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维修（护）费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217,400.00</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217,400.00</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30213</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维修（护）费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50209</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维修（护）费</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842,022.00</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842,022.00</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30213</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维修（护）费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1,400.00</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1,400.00</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30213</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维修（护）费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2,200.00</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2,200.00</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30215</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会议费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50202</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会议费</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151,500.00</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151,500.00</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30215</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会议费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47,100.00</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47,100.00</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30215</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会议费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2,100.00</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2,100.00</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30215</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会议费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50202</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会议费</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2,400.00</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2,400.00</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30215</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会议费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3,300.00</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3,300.00</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30216</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培训费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178,500.00</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178,500.00</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30216</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培训费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50203</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培训费</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523,260.00</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523,260.00</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30217</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公务接待费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1,830.84</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1,830.84</w:t>
            </w:r>
          </w:p>
        </w:tc>
      </w:tr>
      <w:tr>
        <w:tblPrEx>
          <w:tblCellMar>
            <w:top w:w="0" w:type="dxa"/>
            <w:left w:w="108" w:type="dxa"/>
            <w:bottom w:w="0" w:type="dxa"/>
            <w:right w:w="108" w:type="dxa"/>
          </w:tblCellMar>
        </w:tblPrEx>
        <w:trPr>
          <w:trHeight w:val="792"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30217</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公务接待费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50206</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公务接待费</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42,920.31</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42,920.31</w:t>
            </w:r>
          </w:p>
        </w:tc>
      </w:tr>
      <w:tr>
        <w:tblPrEx>
          <w:tblCellMar>
            <w:top w:w="0" w:type="dxa"/>
            <w:left w:w="108" w:type="dxa"/>
            <w:bottom w:w="0" w:type="dxa"/>
            <w:right w:w="108" w:type="dxa"/>
          </w:tblCellMar>
        </w:tblPrEx>
        <w:trPr>
          <w:trHeight w:val="792" w:hRule="atLeast"/>
        </w:trPr>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30217</w:t>
            </w:r>
          </w:p>
        </w:tc>
        <w:tc>
          <w:tcPr>
            <w:tcW w:w="22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公务接待费</w:t>
            </w:r>
          </w:p>
        </w:tc>
        <w:tc>
          <w:tcPr>
            <w:tcW w:w="17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23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190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1,218.72</w:t>
            </w:r>
          </w:p>
        </w:tc>
        <w:tc>
          <w:tcPr>
            <w:tcW w:w="176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1,218.72</w:t>
            </w:r>
          </w:p>
        </w:tc>
      </w:tr>
      <w:tr>
        <w:tblPrEx>
          <w:tblCellMar>
            <w:top w:w="0" w:type="dxa"/>
            <w:left w:w="108" w:type="dxa"/>
            <w:bottom w:w="0" w:type="dxa"/>
            <w:right w:w="108" w:type="dxa"/>
          </w:tblCellMar>
        </w:tblPrEx>
        <w:trPr>
          <w:trHeight w:val="792"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30217</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公务接待费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50206</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公务接待费</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1,249.56</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1,249.56</w:t>
            </w:r>
          </w:p>
        </w:tc>
      </w:tr>
      <w:tr>
        <w:tblPrEx>
          <w:tblCellMar>
            <w:top w:w="0" w:type="dxa"/>
            <w:left w:w="108" w:type="dxa"/>
            <w:bottom w:w="0" w:type="dxa"/>
            <w:right w:w="108" w:type="dxa"/>
          </w:tblCellMar>
        </w:tblPrEx>
        <w:trPr>
          <w:trHeight w:val="792"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30217</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公务接待费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1,906.56</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1,906.56</w:t>
            </w:r>
          </w:p>
        </w:tc>
      </w:tr>
      <w:tr>
        <w:tblPrEx>
          <w:tblCellMar>
            <w:top w:w="0" w:type="dxa"/>
            <w:left w:w="108" w:type="dxa"/>
            <w:bottom w:w="0" w:type="dxa"/>
            <w:right w:w="108" w:type="dxa"/>
          </w:tblCellMar>
        </w:tblPrEx>
        <w:trPr>
          <w:trHeight w:val="792"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30228</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工会经费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50201</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办公经费</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1,402,698.24</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1,402,698.24</w:t>
            </w:r>
          </w:p>
        </w:tc>
      </w:tr>
      <w:tr>
        <w:tblPrEx>
          <w:tblCellMar>
            <w:top w:w="0" w:type="dxa"/>
            <w:left w:w="108" w:type="dxa"/>
            <w:bottom w:w="0" w:type="dxa"/>
            <w:right w:w="108" w:type="dxa"/>
          </w:tblCellMar>
        </w:tblPrEx>
        <w:trPr>
          <w:trHeight w:val="792"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30228</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工会经费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430,635.60</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430,635.60</w:t>
            </w:r>
          </w:p>
        </w:tc>
      </w:tr>
      <w:tr>
        <w:tblPrEx>
          <w:tblCellMar>
            <w:top w:w="0" w:type="dxa"/>
            <w:left w:w="108" w:type="dxa"/>
            <w:bottom w:w="0" w:type="dxa"/>
            <w:right w:w="108" w:type="dxa"/>
          </w:tblCellMar>
        </w:tblPrEx>
        <w:trPr>
          <w:trHeight w:val="792"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30228</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工会经费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19,075.68</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19,075.68</w:t>
            </w:r>
          </w:p>
        </w:tc>
      </w:tr>
      <w:tr>
        <w:tblPrEx>
          <w:tblCellMar>
            <w:top w:w="0" w:type="dxa"/>
            <w:left w:w="108" w:type="dxa"/>
            <w:bottom w:w="0" w:type="dxa"/>
            <w:right w:w="108" w:type="dxa"/>
          </w:tblCellMar>
        </w:tblPrEx>
        <w:trPr>
          <w:trHeight w:val="792"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30228</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工会经费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50201</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办公经费</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13,743.76</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13,743.76</w:t>
            </w:r>
          </w:p>
        </w:tc>
      </w:tr>
      <w:tr>
        <w:tblPrEx>
          <w:tblCellMar>
            <w:top w:w="0" w:type="dxa"/>
            <w:left w:w="108" w:type="dxa"/>
            <w:bottom w:w="0" w:type="dxa"/>
            <w:right w:w="108" w:type="dxa"/>
          </w:tblCellMar>
        </w:tblPrEx>
        <w:trPr>
          <w:trHeight w:val="792"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30228</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工会经费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25,806.52</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25,806.52</w:t>
            </w:r>
          </w:p>
        </w:tc>
      </w:tr>
      <w:tr>
        <w:tblPrEx>
          <w:tblCellMar>
            <w:top w:w="0" w:type="dxa"/>
            <w:left w:w="108" w:type="dxa"/>
            <w:bottom w:w="0" w:type="dxa"/>
            <w:right w:w="108" w:type="dxa"/>
          </w:tblCellMar>
        </w:tblPrEx>
        <w:trPr>
          <w:trHeight w:val="792"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30229</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福利费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50201</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办公经费</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1,708,920.00</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1,708,920.00</w:t>
            </w:r>
          </w:p>
        </w:tc>
      </w:tr>
      <w:tr>
        <w:tblPrEx>
          <w:tblCellMar>
            <w:top w:w="0" w:type="dxa"/>
            <w:left w:w="108" w:type="dxa"/>
            <w:bottom w:w="0" w:type="dxa"/>
            <w:right w:w="108" w:type="dxa"/>
          </w:tblCellMar>
        </w:tblPrEx>
        <w:trPr>
          <w:trHeight w:val="792"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30229</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福利费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531,288.00</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531,288.00</w:t>
            </w:r>
          </w:p>
        </w:tc>
      </w:tr>
      <w:tr>
        <w:tblPrEx>
          <w:tblCellMar>
            <w:top w:w="0" w:type="dxa"/>
            <w:left w:w="108" w:type="dxa"/>
            <w:bottom w:w="0" w:type="dxa"/>
            <w:right w:w="108" w:type="dxa"/>
          </w:tblCellMar>
        </w:tblPrEx>
        <w:trPr>
          <w:trHeight w:val="792" w:hRule="atLeast"/>
        </w:trPr>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30229</w:t>
            </w:r>
          </w:p>
        </w:tc>
        <w:tc>
          <w:tcPr>
            <w:tcW w:w="22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福利费</w:t>
            </w:r>
          </w:p>
        </w:tc>
        <w:tc>
          <w:tcPr>
            <w:tcW w:w="17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23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190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23,688.00</w:t>
            </w:r>
          </w:p>
        </w:tc>
        <w:tc>
          <w:tcPr>
            <w:tcW w:w="176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23,688.00</w:t>
            </w:r>
          </w:p>
        </w:tc>
      </w:tr>
      <w:tr>
        <w:tblPrEx>
          <w:tblCellMar>
            <w:top w:w="0" w:type="dxa"/>
            <w:left w:w="108" w:type="dxa"/>
            <w:bottom w:w="0" w:type="dxa"/>
            <w:right w:w="108" w:type="dxa"/>
          </w:tblCellMar>
        </w:tblPrEx>
        <w:trPr>
          <w:trHeight w:val="792"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30229</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福利费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50201</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办公经费</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27,072.00</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27,072.00</w:t>
            </w:r>
          </w:p>
        </w:tc>
      </w:tr>
      <w:tr>
        <w:tblPrEx>
          <w:tblCellMar>
            <w:top w:w="0" w:type="dxa"/>
            <w:left w:w="108" w:type="dxa"/>
            <w:bottom w:w="0" w:type="dxa"/>
            <w:right w:w="108" w:type="dxa"/>
          </w:tblCellMar>
        </w:tblPrEx>
        <w:trPr>
          <w:trHeight w:val="792"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30229</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福利费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37,224.00</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37,224.00</w:t>
            </w:r>
          </w:p>
        </w:tc>
      </w:tr>
      <w:tr>
        <w:tblPrEx>
          <w:tblCellMar>
            <w:top w:w="0" w:type="dxa"/>
            <w:left w:w="108" w:type="dxa"/>
            <w:bottom w:w="0" w:type="dxa"/>
            <w:right w:w="108" w:type="dxa"/>
          </w:tblCellMar>
        </w:tblPrEx>
        <w:trPr>
          <w:trHeight w:val="792"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30231</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公务用车运行维护费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46,000.00</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46,000.00</w:t>
            </w:r>
          </w:p>
        </w:tc>
      </w:tr>
      <w:tr>
        <w:tblPrEx>
          <w:tblCellMar>
            <w:top w:w="0" w:type="dxa"/>
            <w:left w:w="108" w:type="dxa"/>
            <w:bottom w:w="0" w:type="dxa"/>
            <w:right w:w="108" w:type="dxa"/>
          </w:tblCellMar>
        </w:tblPrEx>
        <w:trPr>
          <w:trHeight w:val="792"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30239</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其他交通费用</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1,134,720.00</w:t>
            </w:r>
          </w:p>
        </w:tc>
        <w:tc>
          <w:tcPr>
            <w:tcW w:w="17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1,134,720.00</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p>
        </w:tc>
      </w:tr>
      <w:tr>
        <w:tblPrEx>
          <w:tblCellMar>
            <w:top w:w="0" w:type="dxa"/>
            <w:left w:w="108" w:type="dxa"/>
            <w:bottom w:w="0" w:type="dxa"/>
            <w:right w:w="108" w:type="dxa"/>
          </w:tblCellMar>
        </w:tblPrEx>
        <w:trPr>
          <w:trHeight w:val="792"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30239</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其他交通费用</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50201</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办公经费</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3,636,000.00</w:t>
            </w:r>
          </w:p>
        </w:tc>
        <w:tc>
          <w:tcPr>
            <w:tcW w:w="1760" w:type="dxa"/>
            <w:tcBorders>
              <w:top w:val="nil"/>
              <w:left w:val="nil"/>
              <w:bottom w:val="single" w:color="auto" w:sz="4" w:space="0"/>
              <w:right w:val="single" w:color="auto" w:sz="4" w:space="0"/>
            </w:tcBorders>
            <w:shd w:val="clear" w:color="auto" w:fill="auto"/>
            <w:noWrap/>
            <w:vAlign w:val="center"/>
          </w:tcPr>
          <w:p>
            <w:pPr>
              <w:widowControl/>
              <w:jc w:val="right"/>
              <w:rPr>
                <w:rFonts w:ascii="Arial" w:hAnsi="Arial" w:cs="Arial"/>
                <w:kern w:val="0"/>
                <w:sz w:val="20"/>
                <w:szCs w:val="20"/>
              </w:rPr>
            </w:pPr>
            <w:r>
              <w:rPr>
                <w:rFonts w:ascii="Arial" w:hAnsi="Arial" w:cs="Arial"/>
                <w:kern w:val="0"/>
                <w:sz w:val="20"/>
                <w:szCs w:val="20"/>
              </w:rPr>
              <w:t>　</w:t>
            </w:r>
            <w:r>
              <w:rPr>
                <w:rFonts w:hint="eastAsia" w:ascii="宋体" w:hAnsi="宋体" w:cs="Arial"/>
                <w:color w:val="000000"/>
                <w:kern w:val="0"/>
                <w:sz w:val="20"/>
                <w:szCs w:val="20"/>
              </w:rPr>
              <w:t>3,636,000.00</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p>
        </w:tc>
      </w:tr>
      <w:tr>
        <w:tblPrEx>
          <w:tblCellMar>
            <w:top w:w="0" w:type="dxa"/>
            <w:left w:w="108" w:type="dxa"/>
            <w:bottom w:w="0" w:type="dxa"/>
            <w:right w:w="108" w:type="dxa"/>
          </w:tblCellMar>
        </w:tblPrEx>
        <w:trPr>
          <w:trHeight w:val="792"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30239</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其他交通费用</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50,400.00</w:t>
            </w:r>
          </w:p>
        </w:tc>
        <w:tc>
          <w:tcPr>
            <w:tcW w:w="1760" w:type="dxa"/>
            <w:tcBorders>
              <w:top w:val="nil"/>
              <w:left w:val="nil"/>
              <w:bottom w:val="single" w:color="auto" w:sz="4" w:space="0"/>
              <w:right w:val="single" w:color="auto" w:sz="4" w:space="0"/>
            </w:tcBorders>
            <w:shd w:val="clear" w:color="auto" w:fill="auto"/>
            <w:noWrap/>
            <w:vAlign w:val="center"/>
          </w:tcPr>
          <w:p>
            <w:pPr>
              <w:widowControl/>
              <w:jc w:val="right"/>
              <w:rPr>
                <w:rFonts w:ascii="Arial" w:hAnsi="Arial" w:cs="Arial"/>
                <w:kern w:val="0"/>
                <w:sz w:val="20"/>
                <w:szCs w:val="20"/>
              </w:rPr>
            </w:pPr>
            <w:r>
              <w:rPr>
                <w:rFonts w:ascii="Arial" w:hAnsi="Arial" w:cs="Arial"/>
                <w:kern w:val="0"/>
                <w:sz w:val="20"/>
                <w:szCs w:val="20"/>
              </w:rPr>
              <w:t>　</w:t>
            </w:r>
            <w:r>
              <w:rPr>
                <w:rFonts w:hint="eastAsia" w:ascii="宋体" w:hAnsi="宋体" w:cs="Arial"/>
                <w:color w:val="000000"/>
                <w:kern w:val="0"/>
                <w:sz w:val="20"/>
                <w:szCs w:val="20"/>
              </w:rPr>
              <w:t>50,400.00</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p>
        </w:tc>
      </w:tr>
      <w:tr>
        <w:tblPrEx>
          <w:tblCellMar>
            <w:top w:w="0" w:type="dxa"/>
            <w:left w:w="108" w:type="dxa"/>
            <w:bottom w:w="0" w:type="dxa"/>
            <w:right w:w="108" w:type="dxa"/>
          </w:tblCellMar>
        </w:tblPrEx>
        <w:trPr>
          <w:trHeight w:val="792"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30299</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1,187,056.70</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1,187,056.70</w:t>
            </w:r>
          </w:p>
        </w:tc>
      </w:tr>
      <w:tr>
        <w:tblPrEx>
          <w:tblCellMar>
            <w:top w:w="0" w:type="dxa"/>
            <w:left w:w="108" w:type="dxa"/>
            <w:bottom w:w="0" w:type="dxa"/>
            <w:right w:w="108" w:type="dxa"/>
          </w:tblCellMar>
        </w:tblPrEx>
        <w:trPr>
          <w:trHeight w:val="792"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30299</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50299</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3,927,543.68</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3,927,543.68</w:t>
            </w:r>
          </w:p>
        </w:tc>
      </w:tr>
      <w:tr>
        <w:tblPrEx>
          <w:tblCellMar>
            <w:top w:w="0" w:type="dxa"/>
            <w:left w:w="108" w:type="dxa"/>
            <w:bottom w:w="0" w:type="dxa"/>
            <w:right w:w="108" w:type="dxa"/>
          </w:tblCellMar>
        </w:tblPrEx>
        <w:trPr>
          <w:trHeight w:val="792"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30299</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70,386.76</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70,386.76</w:t>
            </w:r>
          </w:p>
        </w:tc>
      </w:tr>
      <w:tr>
        <w:tblPrEx>
          <w:tblCellMar>
            <w:top w:w="0" w:type="dxa"/>
            <w:left w:w="108" w:type="dxa"/>
            <w:bottom w:w="0" w:type="dxa"/>
            <w:right w:w="108" w:type="dxa"/>
          </w:tblCellMar>
        </w:tblPrEx>
        <w:trPr>
          <w:trHeight w:val="792" w:hRule="atLeast"/>
        </w:trPr>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30299</w:t>
            </w:r>
          </w:p>
        </w:tc>
        <w:tc>
          <w:tcPr>
            <w:tcW w:w="22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17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50299</w:t>
            </w:r>
          </w:p>
        </w:tc>
        <w:tc>
          <w:tcPr>
            <w:tcW w:w="23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190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10,307.82</w:t>
            </w:r>
          </w:p>
        </w:tc>
        <w:tc>
          <w:tcPr>
            <w:tcW w:w="176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10,307.82</w:t>
            </w:r>
          </w:p>
        </w:tc>
      </w:tr>
      <w:tr>
        <w:tblPrEx>
          <w:tblCellMar>
            <w:top w:w="0" w:type="dxa"/>
            <w:left w:w="108" w:type="dxa"/>
            <w:bottom w:w="0" w:type="dxa"/>
            <w:right w:w="108" w:type="dxa"/>
          </w:tblCellMar>
        </w:tblPrEx>
        <w:trPr>
          <w:trHeight w:val="792"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30299</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50299</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156,610.00</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156,610.00</w:t>
            </w:r>
          </w:p>
        </w:tc>
      </w:tr>
      <w:tr>
        <w:tblPrEx>
          <w:tblCellMar>
            <w:top w:w="0" w:type="dxa"/>
            <w:left w:w="108" w:type="dxa"/>
            <w:bottom w:w="0" w:type="dxa"/>
            <w:right w:w="108" w:type="dxa"/>
          </w:tblCellMar>
        </w:tblPrEx>
        <w:trPr>
          <w:trHeight w:val="792"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30299</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10,200.00</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10,200.00</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30299</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50299</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1,120.00</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1,120.00</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30299</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6,630.00</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6,630.00</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30299</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98,394.89</w:t>
            </w:r>
          </w:p>
        </w:tc>
        <w:tc>
          <w:tcPr>
            <w:tcW w:w="17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98,394.89</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30301</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离休费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50905</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离退休费</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2,215,523.25</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2,215,523.25</w:t>
            </w:r>
          </w:p>
        </w:tc>
        <w:tc>
          <w:tcPr>
            <w:tcW w:w="1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30302</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退休费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50905</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离退休费</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1,161,730.00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1,161,730.00</w:t>
            </w:r>
          </w:p>
        </w:tc>
        <w:tc>
          <w:tcPr>
            <w:tcW w:w="1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30302</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退休费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50905</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离退休费</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65,150.00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65,150.00</w:t>
            </w:r>
          </w:p>
        </w:tc>
        <w:tc>
          <w:tcPr>
            <w:tcW w:w="1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30302</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退休费</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50905</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离退休费</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14,640.00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14,640.00</w:t>
            </w:r>
          </w:p>
        </w:tc>
        <w:tc>
          <w:tcPr>
            <w:tcW w:w="1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30305</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生活补助</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50901</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社会福利和救助</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20,160.00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20,160.00</w:t>
            </w:r>
          </w:p>
        </w:tc>
        <w:tc>
          <w:tcPr>
            <w:tcW w:w="1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792"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30309</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奖励金</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50901</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社会福利和救助</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18,000.00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18,000.00</w:t>
            </w:r>
          </w:p>
        </w:tc>
        <w:tc>
          <w:tcPr>
            <w:tcW w:w="1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30399</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其他对个人和家庭的补助</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50999</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其他对个人和家庭的补助</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4,024,980.00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4,024,980.00</w:t>
            </w:r>
          </w:p>
        </w:tc>
        <w:tc>
          <w:tcPr>
            <w:tcW w:w="1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30399</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其他对个人和家庭的补助</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50999</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其他对个人和家庭的补助</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55,500.00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55,500.00</w:t>
            </w:r>
          </w:p>
        </w:tc>
        <w:tc>
          <w:tcPr>
            <w:tcW w:w="1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30399</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其他对个人和家庭的补助</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50999</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其他对个人和家庭的补助</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57,960.00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57,960.00</w:t>
            </w:r>
          </w:p>
        </w:tc>
        <w:tc>
          <w:tcPr>
            <w:tcW w:w="1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30399</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其他对个人和家庭的补助</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50999</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其他对个人和家庭的补助</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12,480.00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12,480.00</w:t>
            </w:r>
          </w:p>
        </w:tc>
        <w:tc>
          <w:tcPr>
            <w:tcW w:w="1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30399</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其他对个人和家庭的补助</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50999</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其他对个人和家庭的补助</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93,054.00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93,054.00</w:t>
            </w:r>
          </w:p>
        </w:tc>
        <w:tc>
          <w:tcPr>
            <w:tcW w:w="1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30399</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其他对个人和家庭的补助</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50999</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其他对个人和家庭的补助</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44,240.00</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44,240.00</w:t>
            </w:r>
          </w:p>
        </w:tc>
        <w:tc>
          <w:tcPr>
            <w:tcW w:w="1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4" w:hRule="atLeast"/>
        </w:trPr>
        <w:tc>
          <w:tcPr>
            <w:tcW w:w="8020"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总计</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209,035,220.83</w:t>
            </w:r>
          </w:p>
        </w:tc>
        <w:tc>
          <w:tcPr>
            <w:tcW w:w="17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191,099,091.31</w:t>
            </w:r>
          </w:p>
        </w:tc>
        <w:tc>
          <w:tcPr>
            <w:tcW w:w="1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17,936,129.52</w:t>
            </w:r>
          </w:p>
        </w:tc>
      </w:tr>
    </w:tbl>
    <w:p>
      <w:pPr>
        <w:widowControl/>
        <w:jc w:val="left"/>
        <w:rPr>
          <w:rFonts w:ascii="宋体" w:cs="Times New Roman"/>
          <w:b/>
          <w:bCs/>
          <w:sz w:val="36"/>
          <w:szCs w:val="36"/>
        </w:rPr>
        <w:sectPr>
          <w:pgSz w:w="16838" w:h="11906" w:orient="landscape"/>
          <w:pgMar w:top="1797" w:right="1440" w:bottom="1797" w:left="1440" w:header="851" w:footer="992" w:gutter="0"/>
          <w:cols w:space="425" w:num="1"/>
          <w:docGrid w:type="linesAndChars" w:linePitch="312" w:charSpace="0"/>
        </w:sectPr>
      </w:pPr>
    </w:p>
    <w:p>
      <w:pPr>
        <w:widowControl/>
        <w:jc w:val="left"/>
        <w:rPr>
          <w:rFonts w:ascii="宋体" w:cs="Times New Roman"/>
          <w:kern w:val="0"/>
          <w:sz w:val="24"/>
          <w:szCs w:val="24"/>
        </w:rPr>
      </w:pPr>
      <w:r>
        <w:rPr>
          <w:rFonts w:hint="eastAsia" w:ascii="宋体" w:hAnsi="宋体" w:cs="宋体"/>
          <w:kern w:val="0"/>
          <w:sz w:val="24"/>
          <w:szCs w:val="24"/>
        </w:rPr>
        <w:t>表七：</w:t>
      </w:r>
    </w:p>
    <w:p>
      <w:pPr>
        <w:jc w:val="center"/>
        <w:rPr>
          <w:rFonts w:ascii="楷体_GB2312" w:hAnsi="宋体" w:eastAsia="楷体_GB2312" w:cs="Times New Roman"/>
          <w:b/>
          <w:bCs/>
          <w:sz w:val="36"/>
          <w:szCs w:val="36"/>
        </w:rPr>
      </w:pPr>
    </w:p>
    <w:p>
      <w:pPr>
        <w:jc w:val="center"/>
        <w:rPr>
          <w:rFonts w:ascii="宋体" w:cs="Times New Roman"/>
          <w:b/>
          <w:bCs/>
          <w:sz w:val="36"/>
          <w:szCs w:val="36"/>
        </w:rPr>
      </w:pPr>
      <w:r>
        <w:rPr>
          <w:rFonts w:ascii="宋体" w:hAnsi="宋体" w:cs="宋体"/>
          <w:b/>
          <w:bCs/>
          <w:sz w:val="36"/>
          <w:szCs w:val="36"/>
        </w:rPr>
        <w:t>2020</w:t>
      </w:r>
      <w:r>
        <w:rPr>
          <w:rFonts w:hint="eastAsia" w:ascii="宋体" w:hAnsi="宋体" w:cs="宋体"/>
          <w:b/>
          <w:bCs/>
          <w:sz w:val="36"/>
          <w:szCs w:val="36"/>
        </w:rPr>
        <w:t>年一般公共预算</w:t>
      </w:r>
      <w:r>
        <w:rPr>
          <w:rFonts w:ascii="宋体" w:hAnsi="宋体" w:cs="宋体"/>
          <w:b/>
          <w:bCs/>
          <w:sz w:val="36"/>
          <w:szCs w:val="36"/>
        </w:rPr>
        <w:t xml:space="preserve"> </w:t>
      </w:r>
      <w:r>
        <w:rPr>
          <w:rFonts w:hint="eastAsia" w:ascii="宋体" w:hAnsi="宋体" w:cs="宋体"/>
          <w:b/>
          <w:bCs/>
          <w:sz w:val="36"/>
          <w:szCs w:val="36"/>
        </w:rPr>
        <w:t>“三公”经费预算支出情况表</w:t>
      </w:r>
    </w:p>
    <w:tbl>
      <w:tblPr>
        <w:tblStyle w:val="6"/>
        <w:tblW w:w="8340" w:type="dxa"/>
        <w:tblInd w:w="2" w:type="dxa"/>
        <w:tblLayout w:type="autofit"/>
        <w:tblCellMar>
          <w:top w:w="0" w:type="dxa"/>
          <w:left w:w="108" w:type="dxa"/>
          <w:bottom w:w="0" w:type="dxa"/>
          <w:right w:w="108" w:type="dxa"/>
        </w:tblCellMar>
      </w:tblPr>
      <w:tblGrid>
        <w:gridCol w:w="5500"/>
        <w:gridCol w:w="2840"/>
      </w:tblGrid>
      <w:tr>
        <w:tblPrEx>
          <w:tblCellMar>
            <w:top w:w="0" w:type="dxa"/>
            <w:left w:w="108" w:type="dxa"/>
            <w:bottom w:w="0" w:type="dxa"/>
            <w:right w:w="108" w:type="dxa"/>
          </w:tblCellMar>
        </w:tblPrEx>
        <w:trPr>
          <w:trHeight w:val="702" w:hRule="atLeast"/>
        </w:trPr>
        <w:tc>
          <w:tcPr>
            <w:tcW w:w="5500" w:type="dxa"/>
            <w:tcBorders>
              <w:top w:val="nil"/>
              <w:left w:val="nil"/>
              <w:bottom w:val="single" w:color="000000" w:sz="4" w:space="0"/>
              <w:right w:val="nil"/>
            </w:tcBorders>
            <w:vAlign w:val="center"/>
          </w:tcPr>
          <w:p>
            <w:pPr>
              <w:widowControl/>
              <w:jc w:val="left"/>
              <w:rPr>
                <w:rFonts w:ascii="宋体" w:cs="Times New Roman"/>
                <w:kern w:val="0"/>
                <w:sz w:val="18"/>
                <w:szCs w:val="18"/>
              </w:rPr>
            </w:pPr>
          </w:p>
        </w:tc>
        <w:tc>
          <w:tcPr>
            <w:tcW w:w="2840" w:type="dxa"/>
            <w:tcBorders>
              <w:top w:val="nil"/>
              <w:left w:val="nil"/>
              <w:bottom w:val="single" w:color="000000" w:sz="4" w:space="0"/>
              <w:right w:val="nil"/>
            </w:tcBorders>
            <w:vAlign w:val="center"/>
          </w:tcPr>
          <w:p>
            <w:pPr>
              <w:widowControl/>
              <w:jc w:val="right"/>
              <w:rPr>
                <w:rFonts w:ascii="宋体" w:cs="Times New Roman"/>
                <w:kern w:val="0"/>
                <w:sz w:val="18"/>
                <w:szCs w:val="18"/>
              </w:rPr>
            </w:pPr>
            <w:r>
              <w:rPr>
                <w:rFonts w:hint="eastAsia" w:ascii="宋体" w:hAnsi="宋体" w:cs="宋体"/>
                <w:kern w:val="0"/>
                <w:sz w:val="18"/>
                <w:szCs w:val="18"/>
              </w:rPr>
              <w:t>单位</w:t>
            </w:r>
            <w:r>
              <w:rPr>
                <w:rFonts w:ascii="宋体" w:hAnsi="宋体" w:cs="宋体"/>
                <w:kern w:val="0"/>
                <w:sz w:val="18"/>
                <w:szCs w:val="18"/>
              </w:rPr>
              <w:t>:</w:t>
            </w:r>
            <w:r>
              <w:rPr>
                <w:rFonts w:hint="eastAsia" w:ascii="宋体" w:hAnsi="宋体" w:cs="宋体"/>
                <w:kern w:val="0"/>
                <w:sz w:val="18"/>
                <w:szCs w:val="18"/>
              </w:rPr>
              <w:t>元</w:t>
            </w:r>
          </w:p>
        </w:tc>
      </w:tr>
      <w:tr>
        <w:tblPrEx>
          <w:tblCellMar>
            <w:top w:w="0" w:type="dxa"/>
            <w:left w:w="108" w:type="dxa"/>
            <w:bottom w:w="0" w:type="dxa"/>
            <w:right w:w="108" w:type="dxa"/>
          </w:tblCellMar>
        </w:tblPrEx>
        <w:trPr>
          <w:trHeight w:val="702" w:hRule="atLeast"/>
        </w:trPr>
        <w:tc>
          <w:tcPr>
            <w:tcW w:w="5500" w:type="dxa"/>
            <w:tcBorders>
              <w:top w:val="single" w:color="000000" w:sz="4" w:space="0"/>
              <w:left w:val="single" w:color="000000" w:sz="4" w:space="0"/>
              <w:bottom w:val="single" w:color="000000" w:sz="4" w:space="0"/>
              <w:right w:val="single" w:color="000000" w:sz="4" w:space="0"/>
            </w:tcBorders>
            <w:shd w:val="clear" w:color="99CCFF" w:fill="FFFFFF"/>
            <w:vAlign w:val="center"/>
          </w:tcPr>
          <w:p>
            <w:pPr>
              <w:widowControl/>
              <w:jc w:val="center"/>
              <w:rPr>
                <w:rFonts w:ascii="宋体" w:cs="Times New Roman"/>
                <w:b/>
                <w:bCs/>
                <w:kern w:val="0"/>
                <w:sz w:val="18"/>
                <w:szCs w:val="18"/>
              </w:rPr>
            </w:pPr>
            <w:r>
              <w:rPr>
                <w:rFonts w:hint="eastAsia" w:ascii="宋体" w:hAnsi="宋体" w:cs="宋体"/>
                <w:b/>
                <w:bCs/>
                <w:kern w:val="0"/>
                <w:sz w:val="18"/>
                <w:szCs w:val="18"/>
              </w:rPr>
              <w:t>项目</w:t>
            </w:r>
          </w:p>
        </w:tc>
        <w:tc>
          <w:tcPr>
            <w:tcW w:w="2840" w:type="dxa"/>
            <w:tcBorders>
              <w:top w:val="single" w:color="000000" w:sz="4" w:space="0"/>
              <w:left w:val="nil"/>
              <w:bottom w:val="single" w:color="000000" w:sz="4" w:space="0"/>
              <w:right w:val="single" w:color="000000" w:sz="4" w:space="0"/>
            </w:tcBorders>
            <w:shd w:val="clear" w:color="99CCFF" w:fill="FFFFFF"/>
            <w:vAlign w:val="center"/>
          </w:tcPr>
          <w:p>
            <w:pPr>
              <w:widowControl/>
              <w:jc w:val="center"/>
              <w:rPr>
                <w:rFonts w:ascii="宋体" w:cs="Times New Roman"/>
                <w:b/>
                <w:bCs/>
                <w:kern w:val="0"/>
                <w:sz w:val="18"/>
                <w:szCs w:val="18"/>
              </w:rPr>
            </w:pPr>
            <w:r>
              <w:rPr>
                <w:rFonts w:hint="eastAsia" w:ascii="宋体" w:hAnsi="宋体" w:cs="宋体"/>
                <w:b/>
                <w:bCs/>
                <w:kern w:val="0"/>
                <w:sz w:val="18"/>
                <w:szCs w:val="18"/>
              </w:rPr>
              <w:t>本年度预算</w:t>
            </w:r>
          </w:p>
        </w:tc>
      </w:tr>
      <w:tr>
        <w:tblPrEx>
          <w:tblCellMar>
            <w:top w:w="0" w:type="dxa"/>
            <w:left w:w="108" w:type="dxa"/>
            <w:bottom w:w="0" w:type="dxa"/>
            <w:right w:w="108" w:type="dxa"/>
          </w:tblCellMar>
        </w:tblPrEx>
        <w:trPr>
          <w:trHeight w:val="702" w:hRule="atLeast"/>
        </w:trPr>
        <w:tc>
          <w:tcPr>
            <w:tcW w:w="5500"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kern w:val="0"/>
                <w:sz w:val="24"/>
                <w:szCs w:val="24"/>
              </w:rPr>
            </w:pPr>
            <w:r>
              <w:rPr>
                <w:rFonts w:ascii="宋体" w:hAnsi="宋体" w:cs="宋体"/>
                <w:kern w:val="0"/>
                <w:sz w:val="24"/>
                <w:szCs w:val="24"/>
              </w:rPr>
              <w:t>1</w:t>
            </w:r>
            <w:r>
              <w:rPr>
                <w:rFonts w:hint="eastAsia" w:ascii="宋体" w:hAnsi="宋体" w:cs="宋体"/>
                <w:kern w:val="0"/>
                <w:sz w:val="24"/>
                <w:szCs w:val="24"/>
              </w:rPr>
              <w:t>、因公出国（境）费</w:t>
            </w:r>
          </w:p>
        </w:tc>
        <w:tc>
          <w:tcPr>
            <w:tcW w:w="2840" w:type="dxa"/>
            <w:tcBorders>
              <w:top w:val="nil"/>
              <w:left w:val="nil"/>
              <w:bottom w:val="single" w:color="000000" w:sz="4" w:space="0"/>
              <w:right w:val="single" w:color="000000" w:sz="4" w:space="0"/>
            </w:tcBorders>
            <w:vAlign w:val="center"/>
          </w:tcPr>
          <w:p>
            <w:pPr>
              <w:widowControl/>
              <w:jc w:val="right"/>
              <w:rPr>
                <w:rFonts w:ascii="宋体" w:cs="Times New Roman"/>
                <w:kern w:val="0"/>
                <w:sz w:val="24"/>
                <w:szCs w:val="24"/>
              </w:rPr>
            </w:pPr>
            <w:r>
              <w:rPr>
                <w:rFonts w:hint="eastAsia" w:ascii="宋体" w:hAnsi="宋体" w:cs="宋体"/>
                <w:kern w:val="0"/>
                <w:sz w:val="24"/>
                <w:szCs w:val="24"/>
              </w:rPr>
              <w:t>０　</w:t>
            </w:r>
          </w:p>
        </w:tc>
      </w:tr>
      <w:tr>
        <w:tblPrEx>
          <w:tblCellMar>
            <w:top w:w="0" w:type="dxa"/>
            <w:left w:w="108" w:type="dxa"/>
            <w:bottom w:w="0" w:type="dxa"/>
            <w:right w:w="108" w:type="dxa"/>
          </w:tblCellMar>
        </w:tblPrEx>
        <w:trPr>
          <w:trHeight w:val="702" w:hRule="atLeast"/>
        </w:trPr>
        <w:tc>
          <w:tcPr>
            <w:tcW w:w="5500"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kern w:val="0"/>
                <w:sz w:val="24"/>
                <w:szCs w:val="24"/>
              </w:rPr>
            </w:pPr>
            <w:r>
              <w:rPr>
                <w:rFonts w:ascii="宋体" w:hAnsi="宋体" w:cs="宋体"/>
                <w:kern w:val="0"/>
                <w:sz w:val="24"/>
                <w:szCs w:val="24"/>
              </w:rPr>
              <w:t>2</w:t>
            </w:r>
            <w:r>
              <w:rPr>
                <w:rFonts w:hint="eastAsia" w:ascii="宋体" w:hAnsi="宋体" w:cs="宋体"/>
                <w:kern w:val="0"/>
                <w:sz w:val="24"/>
                <w:szCs w:val="24"/>
              </w:rPr>
              <w:t>、公务接待费</w:t>
            </w:r>
          </w:p>
        </w:tc>
        <w:tc>
          <w:tcPr>
            <w:tcW w:w="2840" w:type="dxa"/>
            <w:tcBorders>
              <w:top w:val="nil"/>
              <w:left w:val="nil"/>
              <w:bottom w:val="single" w:color="000000" w:sz="4" w:space="0"/>
              <w:right w:val="single" w:color="000000" w:sz="4" w:space="0"/>
            </w:tcBorders>
            <w:vAlign w:val="center"/>
          </w:tcPr>
          <w:p>
            <w:pPr>
              <w:jc w:val="right"/>
              <w:rPr>
                <w:rFonts w:ascii="宋体" w:cs="Times New Roman"/>
                <w:kern w:val="0"/>
                <w:sz w:val="24"/>
                <w:szCs w:val="24"/>
              </w:rPr>
            </w:pPr>
            <w:r>
              <w:rPr>
                <w:rFonts w:ascii="宋体" w:cs="Times New Roman"/>
                <w:kern w:val="0"/>
                <w:sz w:val="24"/>
                <w:szCs w:val="24"/>
              </w:rPr>
              <w:t>49,125.99</w:t>
            </w:r>
          </w:p>
        </w:tc>
      </w:tr>
      <w:tr>
        <w:tblPrEx>
          <w:tblCellMar>
            <w:top w:w="0" w:type="dxa"/>
            <w:left w:w="108" w:type="dxa"/>
            <w:bottom w:w="0" w:type="dxa"/>
            <w:right w:w="108" w:type="dxa"/>
          </w:tblCellMar>
        </w:tblPrEx>
        <w:trPr>
          <w:trHeight w:val="702" w:hRule="atLeast"/>
        </w:trPr>
        <w:tc>
          <w:tcPr>
            <w:tcW w:w="5500"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kern w:val="0"/>
                <w:sz w:val="24"/>
                <w:szCs w:val="24"/>
              </w:rPr>
            </w:pPr>
            <w:r>
              <w:rPr>
                <w:rFonts w:ascii="宋体" w:hAnsi="宋体" w:cs="宋体"/>
                <w:kern w:val="0"/>
                <w:sz w:val="24"/>
                <w:szCs w:val="24"/>
              </w:rPr>
              <w:t>3</w:t>
            </w:r>
            <w:r>
              <w:rPr>
                <w:rFonts w:hint="eastAsia" w:ascii="宋体" w:hAnsi="宋体" w:cs="宋体"/>
                <w:kern w:val="0"/>
                <w:sz w:val="24"/>
                <w:szCs w:val="24"/>
              </w:rPr>
              <w:t>、公务用车购置及运行维护费</w:t>
            </w:r>
          </w:p>
        </w:tc>
        <w:tc>
          <w:tcPr>
            <w:tcW w:w="2840" w:type="dxa"/>
            <w:tcBorders>
              <w:top w:val="nil"/>
              <w:left w:val="nil"/>
              <w:bottom w:val="single" w:color="000000" w:sz="4" w:space="0"/>
              <w:right w:val="single" w:color="000000" w:sz="4" w:space="0"/>
            </w:tcBorders>
            <w:vAlign w:val="center"/>
          </w:tcPr>
          <w:p>
            <w:pPr>
              <w:widowControl/>
              <w:jc w:val="right"/>
              <w:rPr>
                <w:rFonts w:ascii="宋体" w:cs="Times New Roman"/>
                <w:kern w:val="0"/>
                <w:sz w:val="24"/>
                <w:szCs w:val="24"/>
              </w:rPr>
            </w:pPr>
          </w:p>
        </w:tc>
      </w:tr>
      <w:tr>
        <w:tblPrEx>
          <w:tblCellMar>
            <w:top w:w="0" w:type="dxa"/>
            <w:left w:w="108" w:type="dxa"/>
            <w:bottom w:w="0" w:type="dxa"/>
            <w:right w:w="108" w:type="dxa"/>
          </w:tblCellMar>
        </w:tblPrEx>
        <w:trPr>
          <w:trHeight w:val="702" w:hRule="atLeast"/>
        </w:trPr>
        <w:tc>
          <w:tcPr>
            <w:tcW w:w="5500"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kern w:val="0"/>
                <w:sz w:val="24"/>
                <w:szCs w:val="24"/>
              </w:rPr>
            </w:pPr>
            <w:r>
              <w:rPr>
                <w:rFonts w:ascii="宋体" w:hAnsi="宋体" w:cs="宋体"/>
                <w:kern w:val="0"/>
                <w:sz w:val="24"/>
                <w:szCs w:val="24"/>
              </w:rPr>
              <w:t xml:space="preserve">   </w:t>
            </w:r>
            <w:r>
              <w:rPr>
                <w:rFonts w:hint="eastAsia" w:ascii="宋体" w:hAnsi="宋体" w:cs="宋体"/>
                <w:kern w:val="0"/>
                <w:sz w:val="24"/>
                <w:szCs w:val="24"/>
              </w:rPr>
              <w:t>其中：公务用车购置费</w:t>
            </w:r>
          </w:p>
        </w:tc>
        <w:tc>
          <w:tcPr>
            <w:tcW w:w="2840" w:type="dxa"/>
            <w:tcBorders>
              <w:top w:val="nil"/>
              <w:left w:val="nil"/>
              <w:bottom w:val="single" w:color="000000" w:sz="4" w:space="0"/>
              <w:right w:val="single" w:color="000000" w:sz="4" w:space="0"/>
            </w:tcBorders>
            <w:vAlign w:val="center"/>
          </w:tcPr>
          <w:p>
            <w:pPr>
              <w:widowControl/>
              <w:jc w:val="right"/>
              <w:rPr>
                <w:rFonts w:ascii="宋体" w:cs="Times New Roman"/>
                <w:kern w:val="0"/>
                <w:sz w:val="24"/>
                <w:szCs w:val="24"/>
              </w:rPr>
            </w:pPr>
            <w:r>
              <w:rPr>
                <w:rFonts w:hint="eastAsia" w:ascii="宋体" w:hAnsi="宋体" w:cs="宋体"/>
                <w:kern w:val="0"/>
                <w:sz w:val="24"/>
                <w:szCs w:val="24"/>
              </w:rPr>
              <w:t>０　</w:t>
            </w:r>
          </w:p>
        </w:tc>
      </w:tr>
      <w:tr>
        <w:tblPrEx>
          <w:tblCellMar>
            <w:top w:w="0" w:type="dxa"/>
            <w:left w:w="108" w:type="dxa"/>
            <w:bottom w:w="0" w:type="dxa"/>
            <w:right w:w="108" w:type="dxa"/>
          </w:tblCellMar>
        </w:tblPrEx>
        <w:trPr>
          <w:trHeight w:val="702" w:hRule="atLeast"/>
        </w:trPr>
        <w:tc>
          <w:tcPr>
            <w:tcW w:w="5500"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kern w:val="0"/>
                <w:sz w:val="24"/>
                <w:szCs w:val="24"/>
              </w:rPr>
            </w:pPr>
            <w:r>
              <w:rPr>
                <w:rFonts w:ascii="宋体" w:hAnsi="宋体" w:cs="宋体"/>
                <w:kern w:val="0"/>
                <w:sz w:val="24"/>
                <w:szCs w:val="24"/>
              </w:rPr>
              <w:t xml:space="preserve">         </w:t>
            </w:r>
            <w:r>
              <w:rPr>
                <w:rFonts w:hint="eastAsia" w:ascii="宋体" w:hAnsi="宋体" w:cs="宋体"/>
                <w:kern w:val="0"/>
                <w:sz w:val="24"/>
                <w:szCs w:val="24"/>
              </w:rPr>
              <w:t>公务用车运行维护费</w:t>
            </w:r>
          </w:p>
        </w:tc>
        <w:tc>
          <w:tcPr>
            <w:tcW w:w="2840" w:type="dxa"/>
            <w:tcBorders>
              <w:top w:val="nil"/>
              <w:left w:val="nil"/>
              <w:bottom w:val="single" w:color="000000" w:sz="4" w:space="0"/>
              <w:right w:val="single" w:color="000000" w:sz="4" w:space="0"/>
            </w:tcBorders>
            <w:vAlign w:val="center"/>
          </w:tcPr>
          <w:p>
            <w:pPr>
              <w:jc w:val="right"/>
              <w:rPr>
                <w:rFonts w:ascii="宋体" w:cs="Times New Roman"/>
                <w:color w:val="000000"/>
                <w:sz w:val="18"/>
                <w:szCs w:val="18"/>
              </w:rPr>
            </w:pPr>
            <w:r>
              <w:rPr>
                <w:rFonts w:ascii="宋体" w:hAnsi="宋体" w:cs="宋体"/>
                <w:color w:val="000000"/>
                <w:sz w:val="18"/>
                <w:szCs w:val="18"/>
              </w:rPr>
              <w:t xml:space="preserve">                    </w:t>
            </w:r>
            <w:r>
              <w:rPr>
                <w:rFonts w:ascii="宋体" w:hAnsi="宋体" w:cs="宋体"/>
                <w:kern w:val="0"/>
                <w:sz w:val="24"/>
                <w:szCs w:val="24"/>
              </w:rPr>
              <w:t>46,000.00</w:t>
            </w:r>
          </w:p>
        </w:tc>
      </w:tr>
      <w:tr>
        <w:tblPrEx>
          <w:tblCellMar>
            <w:top w:w="0" w:type="dxa"/>
            <w:left w:w="108" w:type="dxa"/>
            <w:bottom w:w="0" w:type="dxa"/>
            <w:right w:w="108" w:type="dxa"/>
          </w:tblCellMar>
        </w:tblPrEx>
        <w:trPr>
          <w:trHeight w:val="702" w:hRule="atLeast"/>
        </w:trPr>
        <w:tc>
          <w:tcPr>
            <w:tcW w:w="5500"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总计</w:t>
            </w:r>
          </w:p>
        </w:tc>
        <w:tc>
          <w:tcPr>
            <w:tcW w:w="2840" w:type="dxa"/>
            <w:tcBorders>
              <w:top w:val="nil"/>
              <w:left w:val="nil"/>
              <w:bottom w:val="single" w:color="000000" w:sz="4" w:space="0"/>
              <w:right w:val="single" w:color="000000" w:sz="4" w:space="0"/>
            </w:tcBorders>
            <w:vAlign w:val="center"/>
          </w:tcPr>
          <w:p>
            <w:pPr>
              <w:jc w:val="right"/>
              <w:rPr>
                <w:rFonts w:ascii="宋体" w:cs="Times New Roman"/>
                <w:kern w:val="0"/>
                <w:sz w:val="24"/>
                <w:szCs w:val="24"/>
              </w:rPr>
            </w:pPr>
            <w:r>
              <w:rPr>
                <w:rFonts w:ascii="宋体" w:cs="Times New Roman"/>
                <w:kern w:val="0"/>
                <w:sz w:val="24"/>
                <w:szCs w:val="24"/>
              </w:rPr>
              <w:t>95,125.99</w:t>
            </w:r>
          </w:p>
        </w:tc>
      </w:tr>
    </w:tbl>
    <w:p>
      <w:pPr>
        <w:rPr>
          <w:rFonts w:ascii="宋体" w:cs="Times New Roman"/>
          <w:b/>
          <w:bCs/>
          <w:sz w:val="36"/>
          <w:szCs w:val="36"/>
        </w:rPr>
        <w:sectPr>
          <w:pgSz w:w="11906" w:h="16838"/>
          <w:pgMar w:top="1440" w:right="1797" w:bottom="1440" w:left="1797" w:header="851" w:footer="992" w:gutter="0"/>
          <w:cols w:space="425" w:num="1"/>
          <w:docGrid w:type="lines" w:linePitch="312" w:charSpace="0"/>
        </w:sectPr>
      </w:pPr>
    </w:p>
    <w:p>
      <w:pPr>
        <w:rPr>
          <w:rFonts w:cs="Times New Roman"/>
          <w:sz w:val="28"/>
          <w:szCs w:val="28"/>
        </w:rPr>
      </w:pPr>
      <w:r>
        <w:rPr>
          <w:rFonts w:hint="eastAsia" w:cs="宋体"/>
          <w:sz w:val="28"/>
          <w:szCs w:val="28"/>
        </w:rPr>
        <w:t>表八：</w:t>
      </w:r>
    </w:p>
    <w:p>
      <w:pPr>
        <w:jc w:val="center"/>
        <w:rPr>
          <w:rFonts w:ascii="宋体" w:cs="Times New Roman"/>
          <w:b/>
          <w:bCs/>
          <w:sz w:val="36"/>
          <w:szCs w:val="36"/>
        </w:rPr>
      </w:pPr>
      <w:r>
        <w:rPr>
          <w:rFonts w:ascii="宋体" w:hAnsi="宋体" w:cs="宋体"/>
          <w:b/>
          <w:bCs/>
          <w:sz w:val="36"/>
          <w:szCs w:val="36"/>
        </w:rPr>
        <w:t>2020</w:t>
      </w:r>
      <w:r>
        <w:rPr>
          <w:rFonts w:hint="eastAsia" w:ascii="宋体" w:hAnsi="宋体" w:cs="宋体"/>
          <w:b/>
          <w:bCs/>
          <w:sz w:val="36"/>
          <w:szCs w:val="36"/>
        </w:rPr>
        <w:t>年政府性基金预算支出情况表</w:t>
      </w:r>
    </w:p>
    <w:p>
      <w:pPr>
        <w:jc w:val="center"/>
        <w:rPr>
          <w:rFonts w:ascii="楷体_GB2312" w:hAnsi="宋体" w:eastAsia="楷体_GB2312" w:cs="Times New Roman"/>
          <w:b/>
          <w:bCs/>
          <w:sz w:val="36"/>
          <w:szCs w:val="36"/>
        </w:rPr>
      </w:pPr>
    </w:p>
    <w:p>
      <w:pPr>
        <w:wordWrap w:val="0"/>
        <w:jc w:val="right"/>
        <w:rPr>
          <w:rFonts w:ascii="楷体_GB2312" w:hAnsi="宋体" w:eastAsia="楷体_GB2312" w:cs="Times New Roman"/>
          <w:sz w:val="28"/>
          <w:szCs w:val="28"/>
        </w:rPr>
      </w:pPr>
      <w:r>
        <w:rPr>
          <w:rFonts w:hint="eastAsia" w:ascii="楷体_GB2312" w:hAnsi="宋体" w:eastAsia="楷体_GB2312" w:cs="楷体_GB2312"/>
          <w:sz w:val="28"/>
          <w:szCs w:val="28"/>
        </w:rPr>
        <w:t>单位：元</w:t>
      </w:r>
    </w:p>
    <w:tbl>
      <w:tblPr>
        <w:tblStyle w:val="6"/>
        <w:tblW w:w="0" w:type="auto"/>
        <w:tblInd w:w="2" w:type="dxa"/>
        <w:tblLayout w:type="fixed"/>
        <w:tblCellMar>
          <w:top w:w="0" w:type="dxa"/>
          <w:left w:w="108" w:type="dxa"/>
          <w:bottom w:w="0" w:type="dxa"/>
          <w:right w:w="108" w:type="dxa"/>
        </w:tblCellMar>
      </w:tblPr>
      <w:tblGrid>
        <w:gridCol w:w="1548"/>
        <w:gridCol w:w="3525"/>
        <w:gridCol w:w="1365"/>
        <w:gridCol w:w="1462"/>
        <w:gridCol w:w="1688"/>
      </w:tblGrid>
      <w:tr>
        <w:tblPrEx>
          <w:tblCellMar>
            <w:top w:w="0" w:type="dxa"/>
            <w:left w:w="108" w:type="dxa"/>
            <w:bottom w:w="0" w:type="dxa"/>
            <w:right w:w="108" w:type="dxa"/>
          </w:tblCellMar>
        </w:tblPrEx>
        <w:trPr>
          <w:trHeight w:val="690" w:hRule="atLeast"/>
        </w:trPr>
        <w:tc>
          <w:tcPr>
            <w:tcW w:w="15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kern w:val="0"/>
                <w:sz w:val="20"/>
                <w:szCs w:val="20"/>
              </w:rPr>
            </w:pPr>
            <w:r>
              <w:rPr>
                <w:rFonts w:hint="eastAsia" w:ascii="宋体" w:hAnsi="宋体" w:cs="宋体"/>
                <w:b/>
                <w:bCs/>
                <w:kern w:val="0"/>
                <w:sz w:val="24"/>
                <w:szCs w:val="24"/>
              </w:rPr>
              <w:t>科目编码</w:t>
            </w:r>
          </w:p>
        </w:tc>
        <w:tc>
          <w:tcPr>
            <w:tcW w:w="352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kern w:val="0"/>
                <w:sz w:val="20"/>
                <w:szCs w:val="20"/>
              </w:rPr>
            </w:pPr>
            <w:r>
              <w:rPr>
                <w:rFonts w:hint="eastAsia" w:ascii="宋体" w:hAnsi="宋体" w:cs="宋体"/>
                <w:b/>
                <w:bCs/>
                <w:kern w:val="0"/>
                <w:sz w:val="24"/>
                <w:szCs w:val="24"/>
              </w:rPr>
              <w:t>科目名称（项级）</w:t>
            </w:r>
          </w:p>
        </w:tc>
        <w:tc>
          <w:tcPr>
            <w:tcW w:w="136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kern w:val="0"/>
                <w:sz w:val="20"/>
                <w:szCs w:val="20"/>
              </w:rPr>
            </w:pPr>
            <w:r>
              <w:rPr>
                <w:rFonts w:hint="eastAsia" w:ascii="宋体" w:hAnsi="宋体" w:cs="宋体"/>
                <w:b/>
                <w:bCs/>
                <w:kern w:val="0"/>
                <w:sz w:val="24"/>
                <w:szCs w:val="24"/>
              </w:rPr>
              <w:t>总计</w:t>
            </w:r>
          </w:p>
        </w:tc>
        <w:tc>
          <w:tcPr>
            <w:tcW w:w="1462"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kern w:val="0"/>
                <w:sz w:val="20"/>
                <w:szCs w:val="20"/>
              </w:rPr>
            </w:pPr>
            <w:r>
              <w:rPr>
                <w:rFonts w:hint="eastAsia" w:ascii="宋体" w:hAnsi="宋体" w:cs="宋体"/>
                <w:b/>
                <w:bCs/>
                <w:kern w:val="0"/>
                <w:sz w:val="24"/>
                <w:szCs w:val="24"/>
              </w:rPr>
              <w:t>基本支出</w:t>
            </w:r>
          </w:p>
        </w:tc>
        <w:tc>
          <w:tcPr>
            <w:tcW w:w="1688"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kern w:val="0"/>
                <w:sz w:val="20"/>
                <w:szCs w:val="20"/>
              </w:rPr>
            </w:pPr>
            <w:r>
              <w:rPr>
                <w:rFonts w:hint="eastAsia" w:ascii="宋体" w:hAnsi="宋体" w:cs="宋体"/>
                <w:b/>
                <w:bCs/>
                <w:kern w:val="0"/>
                <w:sz w:val="24"/>
                <w:szCs w:val="24"/>
              </w:rPr>
              <w:t>项目支出</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3525"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p>
        </w:tc>
        <w:tc>
          <w:tcPr>
            <w:tcW w:w="1365"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cs="宋体"/>
                <w:kern w:val="0"/>
                <w:sz w:val="18"/>
                <w:szCs w:val="18"/>
              </w:rPr>
              <w:t>0</w:t>
            </w:r>
          </w:p>
        </w:tc>
        <w:tc>
          <w:tcPr>
            <w:tcW w:w="1462"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cs="宋体"/>
                <w:kern w:val="0"/>
                <w:sz w:val="18"/>
                <w:szCs w:val="18"/>
              </w:rPr>
              <w:t>0</w:t>
            </w:r>
          </w:p>
        </w:tc>
        <w:tc>
          <w:tcPr>
            <w:tcW w:w="1688"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cs="宋体"/>
                <w:kern w:val="0"/>
                <w:sz w:val="18"/>
                <w:szCs w:val="18"/>
              </w:rPr>
              <w:t>0</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18"/>
                <w:szCs w:val="18"/>
              </w:rPr>
            </w:pPr>
          </w:p>
        </w:tc>
        <w:tc>
          <w:tcPr>
            <w:tcW w:w="3525"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p>
        </w:tc>
        <w:tc>
          <w:tcPr>
            <w:tcW w:w="1365"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０</w:t>
            </w:r>
          </w:p>
        </w:tc>
        <w:tc>
          <w:tcPr>
            <w:tcW w:w="1462"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０</w:t>
            </w:r>
          </w:p>
        </w:tc>
        <w:tc>
          <w:tcPr>
            <w:tcW w:w="1688"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０</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3525"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1365"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０</w:t>
            </w:r>
          </w:p>
        </w:tc>
        <w:tc>
          <w:tcPr>
            <w:tcW w:w="1462"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０</w:t>
            </w:r>
          </w:p>
        </w:tc>
        <w:tc>
          <w:tcPr>
            <w:tcW w:w="1688"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０</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18"/>
                <w:szCs w:val="18"/>
              </w:rPr>
            </w:pPr>
          </w:p>
        </w:tc>
        <w:tc>
          <w:tcPr>
            <w:tcW w:w="3525"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p>
        </w:tc>
        <w:tc>
          <w:tcPr>
            <w:tcW w:w="1365"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０</w:t>
            </w:r>
          </w:p>
        </w:tc>
        <w:tc>
          <w:tcPr>
            <w:tcW w:w="1462"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０</w:t>
            </w:r>
          </w:p>
        </w:tc>
        <w:tc>
          <w:tcPr>
            <w:tcW w:w="1688"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０</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vAlign w:val="center"/>
          </w:tcPr>
          <w:p>
            <w:pPr>
              <w:widowControl/>
              <w:rPr>
                <w:rFonts w:ascii="宋体" w:cs="Times New Roman"/>
                <w:kern w:val="0"/>
                <w:sz w:val="24"/>
                <w:szCs w:val="24"/>
              </w:rPr>
            </w:pPr>
          </w:p>
        </w:tc>
        <w:tc>
          <w:tcPr>
            <w:tcW w:w="3525" w:type="dxa"/>
            <w:tcBorders>
              <w:top w:val="nil"/>
              <w:left w:val="nil"/>
              <w:bottom w:val="single" w:color="auto" w:sz="4" w:space="0"/>
              <w:right w:val="single" w:color="auto" w:sz="4" w:space="0"/>
            </w:tcBorders>
            <w:vAlign w:val="center"/>
          </w:tcPr>
          <w:p>
            <w:pPr>
              <w:widowControl/>
              <w:rPr>
                <w:rFonts w:ascii="宋体" w:cs="Times New Roman"/>
                <w:kern w:val="0"/>
                <w:sz w:val="24"/>
                <w:szCs w:val="24"/>
              </w:rPr>
            </w:pPr>
          </w:p>
        </w:tc>
        <w:tc>
          <w:tcPr>
            <w:tcW w:w="1365" w:type="dxa"/>
            <w:tcBorders>
              <w:top w:val="nil"/>
              <w:left w:val="nil"/>
              <w:bottom w:val="single" w:color="auto" w:sz="4" w:space="0"/>
              <w:right w:val="single" w:color="auto" w:sz="4" w:space="0"/>
            </w:tcBorders>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1462" w:type="dxa"/>
            <w:tcBorders>
              <w:top w:val="nil"/>
              <w:left w:val="nil"/>
              <w:bottom w:val="single" w:color="auto" w:sz="4" w:space="0"/>
              <w:right w:val="single" w:color="auto" w:sz="4" w:space="0"/>
            </w:tcBorders>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1688" w:type="dxa"/>
            <w:tcBorders>
              <w:top w:val="nil"/>
              <w:left w:val="nil"/>
              <w:bottom w:val="single" w:color="auto" w:sz="4" w:space="0"/>
              <w:right w:val="single" w:color="auto" w:sz="4" w:space="0"/>
            </w:tcBorders>
            <w:vAlign w:val="center"/>
          </w:tcPr>
          <w:p>
            <w:pPr>
              <w:widowControl/>
              <w:jc w:val="right"/>
              <w:rPr>
                <w:rFonts w:ascii="宋体" w:cs="Times New Roman"/>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3525"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p>
        </w:tc>
        <w:tc>
          <w:tcPr>
            <w:tcW w:w="1365"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462"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688"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vAlign w:val="center"/>
          </w:tcPr>
          <w:p>
            <w:pPr>
              <w:widowControl/>
              <w:rPr>
                <w:rFonts w:ascii="宋体" w:cs="Times New Roman"/>
                <w:kern w:val="0"/>
                <w:sz w:val="24"/>
                <w:szCs w:val="24"/>
              </w:rPr>
            </w:pPr>
          </w:p>
        </w:tc>
        <w:tc>
          <w:tcPr>
            <w:tcW w:w="3525" w:type="dxa"/>
            <w:tcBorders>
              <w:top w:val="nil"/>
              <w:left w:val="nil"/>
              <w:bottom w:val="single" w:color="auto" w:sz="4" w:space="0"/>
              <w:right w:val="single" w:color="auto" w:sz="4" w:space="0"/>
            </w:tcBorders>
            <w:vAlign w:val="center"/>
          </w:tcPr>
          <w:p>
            <w:pPr>
              <w:widowControl/>
              <w:rPr>
                <w:rFonts w:ascii="宋体" w:cs="Times New Roman"/>
                <w:kern w:val="0"/>
                <w:sz w:val="24"/>
                <w:szCs w:val="24"/>
              </w:rPr>
            </w:pPr>
          </w:p>
        </w:tc>
        <w:tc>
          <w:tcPr>
            <w:tcW w:w="1365"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462"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688"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3525"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365"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462"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688"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3525"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365"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462"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688"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3525"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365"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462"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688"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3525"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365"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462"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688"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3525"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365"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462"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688"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r>
    </w:tbl>
    <w:p>
      <w:pPr>
        <w:rPr>
          <w:rFonts w:cs="Times New Roman"/>
        </w:rPr>
        <w:sectPr>
          <w:pgSz w:w="11906" w:h="16838"/>
          <w:pgMar w:top="1440" w:right="1797" w:bottom="1440" w:left="1797" w:header="851" w:footer="992" w:gutter="0"/>
          <w:cols w:space="425" w:num="1"/>
          <w:docGrid w:type="linesAndChars" w:linePitch="312" w:charSpace="0"/>
        </w:sectPr>
      </w:pPr>
    </w:p>
    <w:p>
      <w:pPr>
        <w:rPr>
          <w:rFonts w:cs="Times New Roman"/>
          <w:sz w:val="28"/>
          <w:szCs w:val="28"/>
        </w:rPr>
      </w:pPr>
      <w:r>
        <w:rPr>
          <w:rFonts w:hint="eastAsia" w:cs="宋体"/>
          <w:sz w:val="28"/>
          <w:szCs w:val="28"/>
        </w:rPr>
        <w:t>表九：</w:t>
      </w:r>
    </w:p>
    <w:p>
      <w:pPr>
        <w:jc w:val="center"/>
        <w:rPr>
          <w:rFonts w:ascii="宋体" w:cs="Times New Roman"/>
          <w:b/>
          <w:bCs/>
          <w:sz w:val="36"/>
          <w:szCs w:val="36"/>
        </w:rPr>
      </w:pPr>
      <w:r>
        <w:rPr>
          <w:rFonts w:ascii="宋体" w:hAnsi="宋体" w:cs="宋体"/>
          <w:b/>
          <w:bCs/>
          <w:sz w:val="36"/>
          <w:szCs w:val="36"/>
        </w:rPr>
        <w:t>2020</w:t>
      </w:r>
      <w:r>
        <w:rPr>
          <w:rFonts w:hint="eastAsia" w:ascii="宋体" w:hAnsi="宋体" w:cs="宋体"/>
          <w:b/>
          <w:bCs/>
          <w:sz w:val="36"/>
          <w:szCs w:val="36"/>
        </w:rPr>
        <w:t>年部门预算明细表</w:t>
      </w:r>
    </w:p>
    <w:p>
      <w:pPr>
        <w:wordWrap w:val="0"/>
        <w:jc w:val="right"/>
        <w:rPr>
          <w:rFonts w:ascii="宋体" w:cs="宋体"/>
          <w:sz w:val="24"/>
          <w:szCs w:val="24"/>
        </w:rPr>
      </w:pPr>
      <w:r>
        <w:rPr>
          <w:rFonts w:ascii="宋体" w:hAnsi="宋体" w:cs="宋体"/>
          <w:b/>
          <w:bCs/>
          <w:sz w:val="36"/>
          <w:szCs w:val="36"/>
        </w:rPr>
        <w:t xml:space="preserve">                                                                </w:t>
      </w:r>
      <w:r>
        <w:rPr>
          <w:rFonts w:ascii="宋体" w:hAnsi="宋体" w:cs="宋体"/>
          <w:b/>
          <w:bCs/>
          <w:sz w:val="24"/>
          <w:szCs w:val="24"/>
        </w:rPr>
        <w:t xml:space="preserve"> </w:t>
      </w:r>
      <w:r>
        <w:rPr>
          <w:rFonts w:ascii="宋体" w:hAnsi="宋体" w:cs="宋体"/>
          <w:sz w:val="24"/>
          <w:szCs w:val="24"/>
        </w:rPr>
        <w:t xml:space="preserve"> </w:t>
      </w:r>
      <w:r>
        <w:rPr>
          <w:rFonts w:hint="eastAsia" w:ascii="宋体" w:hAnsi="宋体" w:cs="宋体"/>
          <w:sz w:val="24"/>
          <w:szCs w:val="24"/>
        </w:rPr>
        <w:t>单位：元</w:t>
      </w:r>
    </w:p>
    <w:p>
      <w:pPr>
        <w:rPr>
          <w:rFonts w:ascii="宋体" w:cs="Times New Roman"/>
          <w:kern w:val="0"/>
          <w:sz w:val="24"/>
          <w:szCs w:val="24"/>
        </w:rPr>
      </w:pPr>
    </w:p>
    <w:tbl>
      <w:tblPr>
        <w:tblStyle w:val="6"/>
        <w:tblW w:w="14020" w:type="dxa"/>
        <w:tblInd w:w="93" w:type="dxa"/>
        <w:tblLayout w:type="autofit"/>
        <w:tblCellMar>
          <w:top w:w="0" w:type="dxa"/>
          <w:left w:w="108" w:type="dxa"/>
          <w:bottom w:w="0" w:type="dxa"/>
          <w:right w:w="108" w:type="dxa"/>
        </w:tblCellMar>
      </w:tblPr>
      <w:tblGrid>
        <w:gridCol w:w="940"/>
        <w:gridCol w:w="2900"/>
        <w:gridCol w:w="860"/>
        <w:gridCol w:w="1780"/>
        <w:gridCol w:w="880"/>
        <w:gridCol w:w="1600"/>
        <w:gridCol w:w="3160"/>
        <w:gridCol w:w="1900"/>
      </w:tblGrid>
      <w:tr>
        <w:tblPrEx>
          <w:tblCellMar>
            <w:top w:w="0" w:type="dxa"/>
            <w:left w:w="108" w:type="dxa"/>
            <w:bottom w:w="0" w:type="dxa"/>
            <w:right w:w="108" w:type="dxa"/>
          </w:tblCellMar>
        </w:tblPrEx>
        <w:trPr>
          <w:trHeight w:val="698"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功能分类代码</w:t>
            </w:r>
          </w:p>
        </w:tc>
        <w:tc>
          <w:tcPr>
            <w:tcW w:w="290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功能分类名称</w:t>
            </w:r>
          </w:p>
        </w:tc>
        <w:tc>
          <w:tcPr>
            <w:tcW w:w="8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政府经济分类代码</w:t>
            </w:r>
          </w:p>
        </w:tc>
        <w:tc>
          <w:tcPr>
            <w:tcW w:w="17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政府经济分类名称</w:t>
            </w:r>
          </w:p>
        </w:tc>
        <w:tc>
          <w:tcPr>
            <w:tcW w:w="8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部门经济分类代码</w:t>
            </w:r>
          </w:p>
        </w:tc>
        <w:tc>
          <w:tcPr>
            <w:tcW w:w="160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部门经济分类名称</w:t>
            </w:r>
          </w:p>
        </w:tc>
        <w:tc>
          <w:tcPr>
            <w:tcW w:w="31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项目名称</w:t>
            </w:r>
          </w:p>
        </w:tc>
        <w:tc>
          <w:tcPr>
            <w:tcW w:w="190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预算金额</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合计</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404,652,805.20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预算内</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404,652,805.20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其他共产党事务支出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1,592,400.00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2013699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其他共产党事务支出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30299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党建工作经费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600,000.00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2013699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其他共产党事务支出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50999</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其他对个人和家庭的补助</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30399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其他对个人和家庭的补助</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党建工作经费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992,400.00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进修及培训</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701,760.00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2050803</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培训支出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30216</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培训费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日常公用支出（在职人员）_培训费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178,500.00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2050803</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培训支出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50203</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培训费</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30216</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培训费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日常公用支出（在职人员）_培训费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523,260.00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人力资源和社会保障管理事务</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189,666,791.96</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30101</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基本工资</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人员支出（在职统发）_基本工资</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5,145,804.00</w:t>
            </w:r>
          </w:p>
        </w:tc>
      </w:tr>
      <w:tr>
        <w:tblPrEx>
          <w:tblCellMar>
            <w:top w:w="0" w:type="dxa"/>
            <w:left w:w="108" w:type="dxa"/>
            <w:bottom w:w="0" w:type="dxa"/>
            <w:right w:w="108" w:type="dxa"/>
          </w:tblCellMar>
        </w:tblPrEx>
        <w:trPr>
          <w:trHeight w:val="394" w:hRule="atLeast"/>
        </w:trPr>
        <w:tc>
          <w:tcPr>
            <w:tcW w:w="9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00" w:type="dxa"/>
            <w:tcBorders>
              <w:top w:val="single" w:color="auto"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6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50101</w:t>
            </w:r>
          </w:p>
        </w:tc>
        <w:tc>
          <w:tcPr>
            <w:tcW w:w="178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工资奖金津补贴</w:t>
            </w:r>
          </w:p>
        </w:tc>
        <w:tc>
          <w:tcPr>
            <w:tcW w:w="88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30101</w:t>
            </w:r>
          </w:p>
        </w:tc>
        <w:tc>
          <w:tcPr>
            <w:tcW w:w="16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基本工资</w:t>
            </w:r>
          </w:p>
        </w:tc>
        <w:tc>
          <w:tcPr>
            <w:tcW w:w="316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人员支出（在职统发）_基本工资</w:t>
            </w:r>
          </w:p>
        </w:tc>
        <w:tc>
          <w:tcPr>
            <w:tcW w:w="1900"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17,686,788.00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50101</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工资奖金津补贴</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30102</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津贴补贴</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对个人和家庭补助支出（在职统发）_津贴补贴</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2,046,540.00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30102</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津贴补贴</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人员支出（在职统发）_津贴补贴</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16,385,976.00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30102</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津贴补贴</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对个人和家庭补助支出（在职统发）_津贴补贴</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623,250.00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50101</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工资奖金津补贴</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30102</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津贴补贴</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人员支出（在职统发）_津贴补贴</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52,448,124.00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30103</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奖金</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人员支出（在职统发）_奖金</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2,355,000.00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50101</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工资奖金津补贴</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30103</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奖金</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人员支出（在职统发）_奖金</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7,606,500.00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30112</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其他社会保障缴费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人员支出（在职非统发）_其他社会保障缴费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242,954.77</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50102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社会保障缴费</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30112</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其他社会保障缴费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人员支出（在职非统发）_其他社会保障缴费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651,042.41</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50199</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其他工资福利支出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30199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其他工资福利支出</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人员支出（在职统发）_其他工资福利支出</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1,473,149.00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50199</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其他工资福利支出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30199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其他工资福利支出</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人员支出（在职非统发）_其他工资福利支出</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5,382,000.00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30199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其他工资福利支出</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人员支出（在职统发）_其他工资福利支出</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530,247.00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30201</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办公费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日常公用支出（在职人员）_办公费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314,000.00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50201</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办公经费</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30201</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办公费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日常公用支出（在职人员）_办公费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1,098,400.00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30205</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水费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日常公用支出（在职人员）_水费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62,800.00</w:t>
            </w:r>
          </w:p>
        </w:tc>
      </w:tr>
      <w:tr>
        <w:tblPrEx>
          <w:tblCellMar>
            <w:top w:w="0" w:type="dxa"/>
            <w:left w:w="108" w:type="dxa"/>
            <w:bottom w:w="0" w:type="dxa"/>
            <w:right w:w="108" w:type="dxa"/>
          </w:tblCellMar>
        </w:tblPrEx>
        <w:trPr>
          <w:trHeight w:val="394" w:hRule="atLeast"/>
        </w:trPr>
        <w:tc>
          <w:tcPr>
            <w:tcW w:w="9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00" w:type="dxa"/>
            <w:tcBorders>
              <w:top w:val="single" w:color="auto"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6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50201</w:t>
            </w:r>
          </w:p>
        </w:tc>
        <w:tc>
          <w:tcPr>
            <w:tcW w:w="178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办公经费</w:t>
            </w:r>
          </w:p>
        </w:tc>
        <w:tc>
          <w:tcPr>
            <w:tcW w:w="88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30205</w:t>
            </w:r>
          </w:p>
        </w:tc>
        <w:tc>
          <w:tcPr>
            <w:tcW w:w="16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水费</w:t>
            </w:r>
          </w:p>
        </w:tc>
        <w:tc>
          <w:tcPr>
            <w:tcW w:w="316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日常公用支出（在职人员）_水费</w:t>
            </w:r>
          </w:p>
        </w:tc>
        <w:tc>
          <w:tcPr>
            <w:tcW w:w="1900"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202,000.00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50201</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办公经费</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30206</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电费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日常公用支出（在职人员）_电费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1,363,500.00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30206</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电费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日常公用支出（在职人员）_电费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423,900.00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50201</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办公经费</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30207</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邮电费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日常公用支出（在职人员）_邮电费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509,000.00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30207</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邮电费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日常公用支出（在职人员）_邮电费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159,000.00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50201</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办公经费</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30208</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取暖费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日常公用支出（在职人员）_取暖费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1,011,139.88</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30208</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取暖费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日常公用支出（在职人员）_取暖费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350,000.00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30211</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差旅费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日常公用支出（在职人员）_差旅费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119,320.00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50201</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办公经费</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30211</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差旅费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日常公用支出（在职人员）_差旅费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383,800.00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30213</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维修（护）费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日常公用支出（在职人员）_维修（护）费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217,400.00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50209</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维修（护）费</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30213</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维修（护）费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日常公用支出（在职人员）_维修（护）费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842,022.00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会议费</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30215</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会议费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日常公用支出（在职人员）_会议费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151,500.00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30215</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会议费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日常公用支出（在职人员）_会议费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47,100.00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30217</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公务接待费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日常公用支出（在职人员）_公务接待费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1,830.84</w:t>
            </w:r>
          </w:p>
        </w:tc>
      </w:tr>
      <w:tr>
        <w:tblPrEx>
          <w:tblCellMar>
            <w:top w:w="0" w:type="dxa"/>
            <w:left w:w="108" w:type="dxa"/>
            <w:bottom w:w="0" w:type="dxa"/>
            <w:right w:w="108" w:type="dxa"/>
          </w:tblCellMar>
        </w:tblPrEx>
        <w:trPr>
          <w:trHeight w:val="394" w:hRule="atLeast"/>
        </w:trPr>
        <w:tc>
          <w:tcPr>
            <w:tcW w:w="9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00" w:type="dxa"/>
            <w:tcBorders>
              <w:top w:val="single" w:color="auto"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6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50206</w:t>
            </w:r>
          </w:p>
        </w:tc>
        <w:tc>
          <w:tcPr>
            <w:tcW w:w="178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公务接待费</w:t>
            </w:r>
          </w:p>
        </w:tc>
        <w:tc>
          <w:tcPr>
            <w:tcW w:w="88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30217</w:t>
            </w:r>
          </w:p>
        </w:tc>
        <w:tc>
          <w:tcPr>
            <w:tcW w:w="16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公务接待费</w:t>
            </w:r>
          </w:p>
        </w:tc>
        <w:tc>
          <w:tcPr>
            <w:tcW w:w="316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日常公用支出（在职人员）_公务接待费</w:t>
            </w:r>
          </w:p>
        </w:tc>
        <w:tc>
          <w:tcPr>
            <w:tcW w:w="1900"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42,920.31</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50201</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办公经费</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30228</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工会经费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日常公用支出（在职人员）_工会经费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1,402,698.24</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30228</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工会经费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日常公用支出（在职人员）_工会经费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430,635.60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50201</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办公经费</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30229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福利费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日常公用支出（在职人员）_福利费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1,708,920.00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30229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福利费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日常公用支出（在职人员）_福利费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531,288.00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30239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其他交通费用</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对个人和家庭补助支出（在职统发）_其他交通费用</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1,134,720.00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50201</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办公经费</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30239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其他交通费用</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对个人和家庭补助支出（在职统发）_其他交通费用</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3,636,000.00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30299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日常公用支出（在职人员）_其他商品和服务支出</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1,187,056.70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50299</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30299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日常公用支出（在职人员）_其他商品和服务支出</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3,927,543.68</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行政运行</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50999</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其他对个人和家庭的补助</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30399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其他对个人和家庭的补助</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对个人和家庭补助支出（在职统发）_其他对个人和家庭的补助</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4,024,980.00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2080111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公共就业服务和职业技能鉴定机构</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30101</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基本工资</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人员支出（在职统发）_基本工资</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240,084.00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2080111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公共就业服务和职业技能鉴定机构</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30102</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津贴补贴</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对个人和家庭补助支出（在职统发）_津贴补贴</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27,860.00</w:t>
            </w:r>
          </w:p>
        </w:tc>
      </w:tr>
      <w:tr>
        <w:tblPrEx>
          <w:tblCellMar>
            <w:top w:w="0" w:type="dxa"/>
            <w:left w:w="108" w:type="dxa"/>
            <w:bottom w:w="0" w:type="dxa"/>
            <w:right w:w="108" w:type="dxa"/>
          </w:tblCellMar>
        </w:tblPrEx>
        <w:trPr>
          <w:trHeight w:val="792" w:hRule="atLeast"/>
        </w:trPr>
        <w:tc>
          <w:tcPr>
            <w:tcW w:w="9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2080111</w:t>
            </w:r>
          </w:p>
        </w:tc>
        <w:tc>
          <w:tcPr>
            <w:tcW w:w="2900" w:type="dxa"/>
            <w:tcBorders>
              <w:top w:val="single" w:color="auto"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公共就业服务和职业技能鉴定机构</w:t>
            </w:r>
          </w:p>
        </w:tc>
        <w:tc>
          <w:tcPr>
            <w:tcW w:w="86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178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88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30102</w:t>
            </w:r>
          </w:p>
        </w:tc>
        <w:tc>
          <w:tcPr>
            <w:tcW w:w="16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津贴补贴</w:t>
            </w:r>
          </w:p>
        </w:tc>
        <w:tc>
          <w:tcPr>
            <w:tcW w:w="316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人员支出（在职统发）_津贴补贴</w:t>
            </w:r>
          </w:p>
        </w:tc>
        <w:tc>
          <w:tcPr>
            <w:tcW w:w="1900"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713,700.00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2080111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公共就业服务和职业技能鉴定机构</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30103</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奖金</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人员支出（在职统发）_奖金</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109,500.00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2080111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公共就业服务和职业技能鉴定机构</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30112</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其他社会保障缴费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人员支出（在职非统发）_其他社会保障缴费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8,816.11</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2080111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公共就业服务和职业技能鉴定机构</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30199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其他工资福利支出</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人员支出（在职统发）_其他工资福利支出</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20,007.00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2080111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公共就业服务和职业技能鉴定机构</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30201</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办公费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日常公用支出（在职人员）_办公费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14,000.00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2080111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公共就业服务和职业技能鉴定机构</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30205</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水费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日常公用支出（在职人员）_水费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2,800.00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2080111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公共就业服务和职业技能鉴定机构</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30206</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电费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日常公用支出（在职人员）_电费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18,900.00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2080111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公共就业服务和职业技能鉴定机构</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30207</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邮电费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日常公用支出（在职人员）_邮电费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8,000.00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2080111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公共就业服务和职业技能鉴定机构</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30211</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差旅费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日常公用支出（在职人员）_差旅费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5,320.00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2080111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公共就业服务和职业技能鉴定机构</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30213</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维修（护）费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日常公用支出（在职人员）_维修（护）费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1,400.00</w:t>
            </w:r>
          </w:p>
        </w:tc>
      </w:tr>
      <w:tr>
        <w:tblPrEx>
          <w:tblCellMar>
            <w:top w:w="0" w:type="dxa"/>
            <w:left w:w="108" w:type="dxa"/>
            <w:bottom w:w="0" w:type="dxa"/>
            <w:right w:w="108" w:type="dxa"/>
          </w:tblCellMar>
        </w:tblPrEx>
        <w:trPr>
          <w:trHeight w:val="792" w:hRule="atLeast"/>
        </w:trPr>
        <w:tc>
          <w:tcPr>
            <w:tcW w:w="9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2080111</w:t>
            </w:r>
          </w:p>
        </w:tc>
        <w:tc>
          <w:tcPr>
            <w:tcW w:w="2900" w:type="dxa"/>
            <w:tcBorders>
              <w:top w:val="single" w:color="auto"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公共就业服务和职业技能鉴定机构</w:t>
            </w:r>
          </w:p>
        </w:tc>
        <w:tc>
          <w:tcPr>
            <w:tcW w:w="86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78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8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30215</w:t>
            </w:r>
          </w:p>
        </w:tc>
        <w:tc>
          <w:tcPr>
            <w:tcW w:w="16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会议费</w:t>
            </w:r>
          </w:p>
        </w:tc>
        <w:tc>
          <w:tcPr>
            <w:tcW w:w="316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日常公用支出（在职人员）_会议费</w:t>
            </w:r>
          </w:p>
        </w:tc>
        <w:tc>
          <w:tcPr>
            <w:tcW w:w="1900"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2,100.00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2080111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公共就业服务和职业技能鉴定机构</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30217</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公务接待费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日常公用支出（在职人员）_公务接待费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1,218.72</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2080111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公共就业服务和职业技能鉴定机构</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30228</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工会经费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日常公用支出（在职人员）_工会经费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19,075.68</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2080111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公共就业服务和职业技能鉴定机构</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30229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福利费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日常公用支出（在职人员）_福利费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23,688.00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2080111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公共就业服务和职业技能鉴定机构</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30239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其他交通费用</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对个人和家庭补助支出（在职统发）_其他交通费用</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50,400.00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2080111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公共就业服务和职业技能鉴定机构</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30299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日常公用支出（在职人员）_其他商品和服务支出</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70,386.76</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2080111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公共就业服务和职业技能鉴定机构</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50999</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其他对个人和家庭的补助</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30399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其他对个人和家庭的补助</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对个人和家庭补助支出（在职统发）_其他对个人和家庭的补助</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55,500.00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50101</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工资奖金津补贴</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30101</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基本工资</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人员支出（在职统发）_基本工资</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245,184.00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50101</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工资奖金津补贴</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30102</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津贴补贴</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人员支出（在职统发）_津贴补贴</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283,488.00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50101</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工资奖金津补贴</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30102</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津贴补贴</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对个人和家庭补助支出（在职统发）_津贴补贴</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31,630.00</w:t>
            </w:r>
          </w:p>
        </w:tc>
      </w:tr>
      <w:tr>
        <w:tblPrEx>
          <w:tblCellMar>
            <w:top w:w="0" w:type="dxa"/>
            <w:left w:w="108" w:type="dxa"/>
            <w:bottom w:w="0" w:type="dxa"/>
            <w:right w:w="108" w:type="dxa"/>
          </w:tblCellMar>
        </w:tblPrEx>
        <w:trPr>
          <w:trHeight w:val="792" w:hRule="atLeast"/>
        </w:trPr>
        <w:tc>
          <w:tcPr>
            <w:tcW w:w="9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single" w:color="auto"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50101</w:t>
            </w:r>
          </w:p>
        </w:tc>
        <w:tc>
          <w:tcPr>
            <w:tcW w:w="178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工资奖金津补贴</w:t>
            </w:r>
          </w:p>
        </w:tc>
        <w:tc>
          <w:tcPr>
            <w:tcW w:w="88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30107</w:t>
            </w:r>
          </w:p>
        </w:tc>
        <w:tc>
          <w:tcPr>
            <w:tcW w:w="16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绩效工资</w:t>
            </w:r>
          </w:p>
        </w:tc>
        <w:tc>
          <w:tcPr>
            <w:tcW w:w="316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人员支出（在职统发）_绩效工资</w:t>
            </w:r>
          </w:p>
        </w:tc>
        <w:tc>
          <w:tcPr>
            <w:tcW w:w="1900"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442,004.00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50102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社会保障缴费</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30112</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其他社会保障缴费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人员支出（在职非统发）_其他社会保障缴费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16,634.52</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50199</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其他工资福利支出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30199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其他工资福利支出</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人员支出（在职统发）_其他工资福利支出</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110,400.00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50201</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办公经费</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30201</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办公费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日常公用支出（在职人员）_办公费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19,200.00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50201</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办公经费</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30205</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水费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日常公用支出（在职人员）_水费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3,200.00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50201</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办公经费</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30206</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电费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日常公用支出（在职人员）_电费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21,600.00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50201</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办公经费</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30207</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邮电费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日常公用支出（在职人员）_邮电费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9,000.00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50201</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办公经费</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30211</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差旅费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日常公用支出（在职人员）_差旅费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6,080.00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会议费</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30215</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会议费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日常公用支出（在职人员）_会议费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2,400.00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50206</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公务接待费</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30217</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公务接待费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日常公用支出（在职人员）_公务接待费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1,249.56</w:t>
            </w:r>
          </w:p>
        </w:tc>
      </w:tr>
      <w:tr>
        <w:tblPrEx>
          <w:tblCellMar>
            <w:top w:w="0" w:type="dxa"/>
            <w:left w:w="108" w:type="dxa"/>
            <w:bottom w:w="0" w:type="dxa"/>
            <w:right w:w="108" w:type="dxa"/>
          </w:tblCellMar>
        </w:tblPrEx>
        <w:trPr>
          <w:trHeight w:val="792" w:hRule="atLeast"/>
        </w:trPr>
        <w:tc>
          <w:tcPr>
            <w:tcW w:w="9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single" w:color="auto"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50201</w:t>
            </w:r>
          </w:p>
        </w:tc>
        <w:tc>
          <w:tcPr>
            <w:tcW w:w="178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办公经费</w:t>
            </w:r>
          </w:p>
        </w:tc>
        <w:tc>
          <w:tcPr>
            <w:tcW w:w="88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30228</w:t>
            </w:r>
          </w:p>
        </w:tc>
        <w:tc>
          <w:tcPr>
            <w:tcW w:w="16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工会经费</w:t>
            </w:r>
          </w:p>
        </w:tc>
        <w:tc>
          <w:tcPr>
            <w:tcW w:w="316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日常公用支出（在职人员）_工会经费</w:t>
            </w:r>
          </w:p>
        </w:tc>
        <w:tc>
          <w:tcPr>
            <w:tcW w:w="1900"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13,743.76</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50201</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办公经费</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30229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福利费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日常公用支出（在职人员）_福利费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27,072.00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50299</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30299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日常公用支出（在职人员）_其他商品和服务支出</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10,307.82</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2080102</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一般行政管理事务</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50205</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委托业务费</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30227</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委托业务费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运行管理经费—仲裁院</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390,000.00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2080102</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一般行政管理事务</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50205</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委托业务费</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30227</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委托业务费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运行管理经费—社保大厦</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936,000.00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2080102</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一般行政管理事务</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50299</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30299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保安服务经费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2,213,640.00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2080102</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一般行政管理事务</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50299</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30299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办公大厦运行维护费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4,992,588.24</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2080103</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机关服务</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50201</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办公经费</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物业管理费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办公大厦物业管理费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4,899,789.60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2080105</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劳动保障监察</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50299</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30299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劳动保障监察工作经费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496,000.00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社会保险经办机构</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50201</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办公经费</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30201</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办公费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公告邮寄专审费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49,200.00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社会保险经办机构</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50201</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办公经费</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30201</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办公费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对外窗口办公业务费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360,000.00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社会保险经办机构</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50201</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办公经费</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30202</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印刷费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对外窗口办公业务费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200,000.00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社会保险经办机构</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50201</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办公经费</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30206</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电费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对外窗口办公业务费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8,000.00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社会保险经办机构</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50201</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办公经费</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30207</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邮电费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公告邮寄专审费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563,000.00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社会保险经办机构</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50203</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培训费</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30216</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培训费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对外窗口办公业务费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450,000.00</w:t>
            </w:r>
          </w:p>
        </w:tc>
      </w:tr>
      <w:tr>
        <w:tblPrEx>
          <w:tblCellMar>
            <w:top w:w="0" w:type="dxa"/>
            <w:left w:w="108" w:type="dxa"/>
            <w:bottom w:w="0" w:type="dxa"/>
            <w:right w:w="108" w:type="dxa"/>
          </w:tblCellMar>
        </w:tblPrEx>
        <w:trPr>
          <w:trHeight w:val="394" w:hRule="atLeast"/>
        </w:trPr>
        <w:tc>
          <w:tcPr>
            <w:tcW w:w="9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2080109</w:t>
            </w:r>
          </w:p>
        </w:tc>
        <w:tc>
          <w:tcPr>
            <w:tcW w:w="2900" w:type="dxa"/>
            <w:tcBorders>
              <w:top w:val="single" w:color="auto"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社会保险经办机构</w:t>
            </w:r>
          </w:p>
        </w:tc>
        <w:tc>
          <w:tcPr>
            <w:tcW w:w="86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50205</w:t>
            </w:r>
          </w:p>
        </w:tc>
        <w:tc>
          <w:tcPr>
            <w:tcW w:w="178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委托业务费</w:t>
            </w:r>
          </w:p>
        </w:tc>
        <w:tc>
          <w:tcPr>
            <w:tcW w:w="88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30227</w:t>
            </w:r>
          </w:p>
        </w:tc>
        <w:tc>
          <w:tcPr>
            <w:tcW w:w="16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委托业务费</w:t>
            </w:r>
          </w:p>
        </w:tc>
        <w:tc>
          <w:tcPr>
            <w:tcW w:w="316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公告邮寄专审费</w:t>
            </w:r>
          </w:p>
        </w:tc>
        <w:tc>
          <w:tcPr>
            <w:tcW w:w="1900"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324,000.00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社会保险经办机构</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50205</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委托业务费</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30227</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委托业务费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对外窗口办公业务费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20,000.00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社会保险经办机构</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50205</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委托业务费</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30227</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委托业务费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社保业务档案加工服务费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945,000.00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社会保险经办机构</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50205</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委托业务费</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30227</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委托业务费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运行管理经费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624,000.00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社会保险经办机构</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50299</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30299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对外窗口办公业务费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145,000.00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2080109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社会保险经办机构</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50299</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30299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预留机动费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658,278.53</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2080110</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劳动关系和维权</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50299</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30299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构建和谐劳动关系工作经费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490,000.00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2080111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公共就业服务和职业技能鉴定机构</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30201</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办公费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鉴定及督考工作经费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1,000.00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2080111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公共就业服务和职业技能鉴定机构</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30226</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劳务费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鉴定及督考工作经费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39,000.00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2080111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公共就业服务和职业技能鉴定机构</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50299</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30299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就业促进与职业能力建设工作经费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30,000.00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2080111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公共就业服务和职业技能鉴定机构</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30299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预留机动费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26,555.35</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2080112</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劳动人事争议调解仲裁</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50299</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30299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仲裁工作经费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1,130,000.00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50102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社会保障缴费</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30112</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其他社会保障缴费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保险补缴</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430,000.00</w:t>
            </w:r>
          </w:p>
        </w:tc>
      </w:tr>
      <w:tr>
        <w:tblPrEx>
          <w:tblCellMar>
            <w:top w:w="0" w:type="dxa"/>
            <w:left w:w="108" w:type="dxa"/>
            <w:bottom w:w="0" w:type="dxa"/>
            <w:right w:w="108" w:type="dxa"/>
          </w:tblCellMar>
        </w:tblPrEx>
        <w:trPr>
          <w:trHeight w:val="792" w:hRule="atLeast"/>
        </w:trPr>
        <w:tc>
          <w:tcPr>
            <w:tcW w:w="9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single" w:color="auto"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78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8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30201</w:t>
            </w:r>
          </w:p>
        </w:tc>
        <w:tc>
          <w:tcPr>
            <w:tcW w:w="16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办公费</w:t>
            </w:r>
          </w:p>
        </w:tc>
        <w:tc>
          <w:tcPr>
            <w:tcW w:w="316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设备维修耗材及印刷</w:t>
            </w:r>
          </w:p>
        </w:tc>
        <w:tc>
          <w:tcPr>
            <w:tcW w:w="1900"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160,000.00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50201</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办公经费</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30202</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印刷费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业务费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20,000.00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50201</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办公经费</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30202</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印刷费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医疗保险宣传培训学习经费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150,000.00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50201</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办公经费</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30202</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印刷费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医保对外窗口标准化服务经费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83,750.00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30202</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印刷费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设备维修耗材及印刷</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90,000.00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50209</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维修（护）费</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30213</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维修（护）费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机房空调、UPS系统及硬件设备备件维护项目</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130,000.00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30213</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维修（护）费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设备维修耗材及印刷</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50,000.00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50209</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维修（护）费</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30213</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维修（护）费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机关工资审核管理系统运行维护项目</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80,000.00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50209</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维修（护）费</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30213</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维修（护）费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社保大厦无障碍环境建设</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458,875.81</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50209</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维修（护）费</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30213</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维修（护）费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房屋维修费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490,000.00</w:t>
            </w:r>
          </w:p>
        </w:tc>
      </w:tr>
      <w:tr>
        <w:tblPrEx>
          <w:tblCellMar>
            <w:top w:w="0" w:type="dxa"/>
            <w:left w:w="108" w:type="dxa"/>
            <w:bottom w:w="0" w:type="dxa"/>
            <w:right w:w="108" w:type="dxa"/>
          </w:tblCellMar>
        </w:tblPrEx>
        <w:trPr>
          <w:trHeight w:val="792" w:hRule="atLeast"/>
        </w:trPr>
        <w:tc>
          <w:tcPr>
            <w:tcW w:w="9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single" w:color="auto"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78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8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30214</w:t>
            </w:r>
          </w:p>
        </w:tc>
        <w:tc>
          <w:tcPr>
            <w:tcW w:w="16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租赁费</w:t>
            </w:r>
          </w:p>
        </w:tc>
        <w:tc>
          <w:tcPr>
            <w:tcW w:w="316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人力资源市场工作经费</w:t>
            </w:r>
          </w:p>
        </w:tc>
        <w:tc>
          <w:tcPr>
            <w:tcW w:w="1900"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150,000.00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50201</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办公经费</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30214</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租赁费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档案库租赁费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1,104,385.00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30214</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租赁费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德外库房租金</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500,000.00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50203</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培训费</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30216</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培训费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医疗保险宣传培训学习经费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271,700.00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50203</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培训费</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30216</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培训费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业务费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154,000.00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50203</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培训费</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30216</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培训费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事业单位教育培训经费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983,200.00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50205</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委托业务费</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30227</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委托业务费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事业单位招聘经费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980,000.00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50205</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委托业务费</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30227</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委托业务费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桌面运维外包服务项目</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300,000.00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50205</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委托业务费</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30227</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委托业务费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法律服务经费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200,000.00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50205</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委托业务费</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30227</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委托业务费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运行管理经费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390,000.00</w:t>
            </w:r>
          </w:p>
        </w:tc>
      </w:tr>
      <w:tr>
        <w:tblPrEx>
          <w:tblCellMar>
            <w:top w:w="0" w:type="dxa"/>
            <w:left w:w="108" w:type="dxa"/>
            <w:bottom w:w="0" w:type="dxa"/>
            <w:right w:w="108" w:type="dxa"/>
          </w:tblCellMar>
        </w:tblPrEx>
        <w:trPr>
          <w:trHeight w:val="792" w:hRule="atLeast"/>
        </w:trPr>
        <w:tc>
          <w:tcPr>
            <w:tcW w:w="9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single" w:color="auto"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50205</w:t>
            </w:r>
          </w:p>
        </w:tc>
        <w:tc>
          <w:tcPr>
            <w:tcW w:w="178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委托业务费</w:t>
            </w:r>
          </w:p>
        </w:tc>
        <w:tc>
          <w:tcPr>
            <w:tcW w:w="88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30227</w:t>
            </w:r>
          </w:p>
        </w:tc>
        <w:tc>
          <w:tcPr>
            <w:tcW w:w="16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委托业务费</w:t>
            </w:r>
          </w:p>
        </w:tc>
        <w:tc>
          <w:tcPr>
            <w:tcW w:w="316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绩效评价工作经费</w:t>
            </w:r>
          </w:p>
        </w:tc>
        <w:tc>
          <w:tcPr>
            <w:tcW w:w="1900"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15,000.00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50205</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委托业务费</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30227</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委托业务费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聘请第三方机构核查费用</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800,000.00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30227</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委托业务费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运行管理经费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624,000.00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50205</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委托业务费</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30227</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委托业务费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医保对外窗口标准化服务经费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660,000.00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50299</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30299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报刊征订费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547,300.00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50299</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30299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预留机动费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1,313,953.37</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50299</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30299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代管退休人员经费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85,000.00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50299</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30299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人力社保工作经费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490,000.00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50299</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30299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薪酬调查工作经费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50,000.00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50299</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30299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标准体系运行工作经费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200,000.00</w:t>
            </w:r>
          </w:p>
        </w:tc>
      </w:tr>
      <w:tr>
        <w:tblPrEx>
          <w:tblCellMar>
            <w:top w:w="0" w:type="dxa"/>
            <w:left w:w="108" w:type="dxa"/>
            <w:bottom w:w="0" w:type="dxa"/>
            <w:right w:w="108" w:type="dxa"/>
          </w:tblCellMar>
        </w:tblPrEx>
        <w:trPr>
          <w:trHeight w:val="792" w:hRule="atLeast"/>
        </w:trPr>
        <w:tc>
          <w:tcPr>
            <w:tcW w:w="9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single" w:color="auto"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50299</w:t>
            </w:r>
          </w:p>
        </w:tc>
        <w:tc>
          <w:tcPr>
            <w:tcW w:w="178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88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30299</w:t>
            </w:r>
          </w:p>
        </w:tc>
        <w:tc>
          <w:tcPr>
            <w:tcW w:w="16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16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劳动能力鉴定工作经费</w:t>
            </w:r>
          </w:p>
        </w:tc>
        <w:tc>
          <w:tcPr>
            <w:tcW w:w="1900"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766,900.00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50299</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30299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企业退休人员服务经费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1,201,770.00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50299</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30299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医保对外窗口标准化服务经费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150,000.00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50299</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30299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机关、事业单位退休人员活动经费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1,850,000.00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50299</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30299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人力资源和社会保障宣传和信息经费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792,000.00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30299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预留机动费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596,538.46</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30299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档案数字化加工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991,950.00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30299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就业大厦运维费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100,000.00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30299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考试事务工作经费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50,000.00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30299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人力资源市场工作经费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102,500.00</w:t>
            </w:r>
          </w:p>
        </w:tc>
      </w:tr>
      <w:tr>
        <w:tblPrEx>
          <w:tblCellMar>
            <w:top w:w="0" w:type="dxa"/>
            <w:left w:w="108" w:type="dxa"/>
            <w:bottom w:w="0" w:type="dxa"/>
            <w:right w:w="108" w:type="dxa"/>
          </w:tblCellMar>
        </w:tblPrEx>
        <w:trPr>
          <w:trHeight w:val="792" w:hRule="atLeast"/>
        </w:trPr>
        <w:tc>
          <w:tcPr>
            <w:tcW w:w="9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single" w:color="auto"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78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8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30299</w:t>
            </w:r>
          </w:p>
        </w:tc>
        <w:tc>
          <w:tcPr>
            <w:tcW w:w="16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16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魏染胡同办公场所装修尾款</w:t>
            </w:r>
          </w:p>
        </w:tc>
        <w:tc>
          <w:tcPr>
            <w:tcW w:w="1900"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77,122.00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30299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服务大厅无障碍设施改造工程</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379,320.00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30299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流动人员人事档案本地平台网络安全设备购置及测评费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160,000.00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50999</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其他对个人和家庭的补助</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30399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其他对个人和家庭的补助</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离退休党组织委员工作补贴</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91,200.00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50405</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大型修缮</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30906</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大型修缮</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就业大厦装修二期</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3,780,000.00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50601</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资本性支出（一）</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31002</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办公设备购置</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购置复印机</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20,000.00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50601</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资本性支出（一）</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31002</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办公设备购置</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流动人员人事档案本地平台网络安全设备购置及测评费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1,095,816.00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50306</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设备购置</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31002</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办公设备购置</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办事大厅叫号设备更新项目</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110,000.00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50306</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设备购置</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31002</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办公设备购置</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UPS电池更新项目</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192,000.00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50601</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资本性支出（一）</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31006</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大型修缮</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魏染胡同办公场所装修尾款</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2,426,671.00</w:t>
            </w:r>
          </w:p>
        </w:tc>
      </w:tr>
      <w:tr>
        <w:tblPrEx>
          <w:tblCellMar>
            <w:top w:w="0" w:type="dxa"/>
            <w:left w:w="108" w:type="dxa"/>
            <w:bottom w:w="0" w:type="dxa"/>
            <w:right w:w="108" w:type="dxa"/>
          </w:tblCellMar>
        </w:tblPrEx>
        <w:trPr>
          <w:trHeight w:val="792" w:hRule="atLeast"/>
        </w:trPr>
        <w:tc>
          <w:tcPr>
            <w:tcW w:w="9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single" w:color="auto"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50601</w:t>
            </w:r>
          </w:p>
        </w:tc>
        <w:tc>
          <w:tcPr>
            <w:tcW w:w="178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资本性支出（一）</w:t>
            </w:r>
          </w:p>
        </w:tc>
        <w:tc>
          <w:tcPr>
            <w:tcW w:w="88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31006</w:t>
            </w:r>
          </w:p>
        </w:tc>
        <w:tc>
          <w:tcPr>
            <w:tcW w:w="16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大型修缮</w:t>
            </w:r>
          </w:p>
        </w:tc>
        <w:tc>
          <w:tcPr>
            <w:tcW w:w="316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党员活动站装修尾款</w:t>
            </w:r>
          </w:p>
        </w:tc>
        <w:tc>
          <w:tcPr>
            <w:tcW w:w="1900"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89,478.68</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50307</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大型修缮</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31006</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大型修缮</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小后仓9号楼地下室档案库装修</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1,629,509.56</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其他人力资源和社会保障管理事务支出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50601</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资本性支出（一）</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31099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其他资本性支出</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购置职工餐厅厨房设备</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565,000.00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行政事业单位养老支出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42,063,754.65</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2080501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行政单位离退休</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50299</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30299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日常公用支出（离退休人员）_其他商品和服务支出</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156,610.00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2080501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行政单位离退休</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30299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日常公用支出（离退休人员）_其他商品和服务支出</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10,200.00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2080501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行政单位离退休</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50905</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离退休费</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30301</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离休费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对个人和家庭补助支出（离休统发）_离休费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2,215,523.25</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2080501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行政单位离退休</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50905</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离退休费</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30302</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退休费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对个人和家庭补助支出（离退休非统发）_退休费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1,161,730.00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2080501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行政单位离退休</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50901</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社会福利和救助</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30305</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生活补助</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对个人和家庭补助支出（离退休非统发）_生活补助</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20,160.00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2080501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行政单位离退休</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50901</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社会福利和救助</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30309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奖励金</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对个人和家庭补助支出（离退休非统发）_奖励金</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18,000.00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2080501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行政单位离退休</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50999</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其他对个人和家庭的补助</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30399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其他对个人和家庭的补助</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对个人和家庭补助支出（离休统发）_其他对个人和家庭的补助</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57,960.00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2080501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行政单位离退休</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50999</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其他对个人和家庭的补助</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30399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其他对个人和家庭的补助</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对个人和家庭补助支出（离退休非统发）_其他对个人和家庭的补助</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12,480.00</w:t>
            </w:r>
          </w:p>
        </w:tc>
      </w:tr>
      <w:tr>
        <w:tblPrEx>
          <w:tblCellMar>
            <w:top w:w="0" w:type="dxa"/>
            <w:left w:w="108" w:type="dxa"/>
            <w:bottom w:w="0" w:type="dxa"/>
            <w:right w:w="108" w:type="dxa"/>
          </w:tblCellMar>
        </w:tblPrEx>
        <w:trPr>
          <w:trHeight w:val="394" w:hRule="atLeast"/>
        </w:trPr>
        <w:tc>
          <w:tcPr>
            <w:tcW w:w="9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2080502</w:t>
            </w:r>
          </w:p>
        </w:tc>
        <w:tc>
          <w:tcPr>
            <w:tcW w:w="2900" w:type="dxa"/>
            <w:tcBorders>
              <w:top w:val="single" w:color="auto"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事业单位离退休</w:t>
            </w:r>
          </w:p>
        </w:tc>
        <w:tc>
          <w:tcPr>
            <w:tcW w:w="86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50299</w:t>
            </w:r>
          </w:p>
        </w:tc>
        <w:tc>
          <w:tcPr>
            <w:tcW w:w="178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88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30299</w:t>
            </w:r>
          </w:p>
        </w:tc>
        <w:tc>
          <w:tcPr>
            <w:tcW w:w="16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16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日常公用支出（离退休人员）_其他商品和服务支出</w:t>
            </w:r>
          </w:p>
        </w:tc>
        <w:tc>
          <w:tcPr>
            <w:tcW w:w="1900"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1,120.00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2080502</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事业单位离退休</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30299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日常公用支出（离退休人员）_其他商品和服务支出</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6,630.00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2080502</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事业单位离退休</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50905</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离退休费</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30302</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退休费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对个人和家庭补助支出（离退休非统发）_退休费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65,150.00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2080502</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事业单位离退休</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50999</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其他对个人和家庭的补助</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30399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其他对个人和家庭的补助</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对个人和家庭补助支出（离退休非统发）_其他对个人和家庭的补助</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93,054.00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2080505</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机关事业单位基本养老保险缴费支出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30108</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机关事业单位基本养老保险缴费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人员支出（在职非统发）_机关事业单位基本养老保险缴费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3,464,802.88</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2080505</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机关事业单位基本养老保险缴费支出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50102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社会保障缴费</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30108</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机关事业单位基本养老保险缴费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人员支出（在职非统发）_机关事业单位基本养老保险缴费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10,549,754.72</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2080506</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机关事业单位职业年金缴费支出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50102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社会保障缴费</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职业年金缴费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人员支出（在职非统发）_职业年金缴费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5,274,877.36</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2080506</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机关事业单位职业年金缴费支出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职业年金缴费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人员支出（在职非统发）_职业年金缴费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1,732,401.44</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2080599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其他行政事业单位养老支出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50299</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30299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区县离休干部生活补贴支出</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17,223,301.00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就业补助</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14,669,252.00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2080701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就业创业服务补贴</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50799</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其他对企业补助</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31299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其他对企业补助</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就业专项补贴资金</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10,060,000.00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2080701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就业创业服务补贴</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50799</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其他对企业补助</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31299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其他对企业补助</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区自谋职业（自主创业）社会保险补贴及创业奖励</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240,000.00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2080702</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职业培训补贴</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50203</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培训费</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30216</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培训费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职业技能培训补贴</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4,266,850.00</w:t>
            </w:r>
          </w:p>
        </w:tc>
      </w:tr>
      <w:tr>
        <w:tblPrEx>
          <w:tblCellMar>
            <w:top w:w="0" w:type="dxa"/>
            <w:left w:w="108" w:type="dxa"/>
            <w:bottom w:w="0" w:type="dxa"/>
            <w:right w:w="108" w:type="dxa"/>
          </w:tblCellMar>
        </w:tblPrEx>
        <w:trPr>
          <w:trHeight w:val="394" w:hRule="atLeast"/>
        </w:trPr>
        <w:tc>
          <w:tcPr>
            <w:tcW w:w="9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2080704</w:t>
            </w:r>
          </w:p>
        </w:tc>
        <w:tc>
          <w:tcPr>
            <w:tcW w:w="2900" w:type="dxa"/>
            <w:tcBorders>
              <w:top w:val="single" w:color="auto"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社会保险补贴</w:t>
            </w:r>
          </w:p>
        </w:tc>
        <w:tc>
          <w:tcPr>
            <w:tcW w:w="86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50799</w:t>
            </w:r>
          </w:p>
        </w:tc>
        <w:tc>
          <w:tcPr>
            <w:tcW w:w="178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其他对企业补助</w:t>
            </w:r>
          </w:p>
        </w:tc>
        <w:tc>
          <w:tcPr>
            <w:tcW w:w="88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31299</w:t>
            </w:r>
          </w:p>
        </w:tc>
        <w:tc>
          <w:tcPr>
            <w:tcW w:w="16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其他对企业补助</w:t>
            </w:r>
          </w:p>
        </w:tc>
        <w:tc>
          <w:tcPr>
            <w:tcW w:w="316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区自谋职业（自主创业）社会保险补贴及创业奖励</w:t>
            </w:r>
          </w:p>
        </w:tc>
        <w:tc>
          <w:tcPr>
            <w:tcW w:w="1900"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102,402.00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社会福利</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83,748,300.00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2081002</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老年福利</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51002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对社会保险基金补助</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31302</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对社会保险基金补助</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城乡无社会保障老年居民养老保障支出</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83,748,300.00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财政对基本养老保险基金的补助</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28,666,800.00</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2082602</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财政对城乡居民基本养老保险基金的补助</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51002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对社会保险基金补助</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31302</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对社会保险基金补助</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城乡居民基本养老保险支出</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28,666,800.00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2,776,360.34</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30101</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基本工资</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人员支出（在职统发）_基本工资</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410,256.00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30102</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津贴补贴</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对个人和家庭补助支出（在职统发）_津贴补贴</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44,900.00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30102</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津贴补贴</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人员支出（在职统发）_津贴补贴</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396,504.00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30107</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绩效工资</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人员支出（在职统发）_绩效工资</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880,070.00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30112</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其他社会保障缴费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人员支出（在职非统发）_其他社会保障缴费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29,558.60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30199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其他工资福利支出</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人员支出（在职统发）_其他工资福利支出</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132,000.00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30201</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办公费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日常公用支出（在职人员）_办公费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22,000.00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30205</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水费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日常公用支出（在职人员）_水费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4,400.00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30206</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电费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日常公用支出（在职人员）_电费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29,700.00</w:t>
            </w:r>
          </w:p>
        </w:tc>
      </w:tr>
      <w:tr>
        <w:tblPrEx>
          <w:tblCellMar>
            <w:top w:w="0" w:type="dxa"/>
            <w:left w:w="108" w:type="dxa"/>
            <w:bottom w:w="0" w:type="dxa"/>
            <w:right w:w="108" w:type="dxa"/>
          </w:tblCellMar>
        </w:tblPrEx>
        <w:trPr>
          <w:trHeight w:val="394" w:hRule="atLeast"/>
        </w:trPr>
        <w:tc>
          <w:tcPr>
            <w:tcW w:w="9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2089901</w:t>
            </w:r>
          </w:p>
        </w:tc>
        <w:tc>
          <w:tcPr>
            <w:tcW w:w="2900" w:type="dxa"/>
            <w:tcBorders>
              <w:top w:val="single" w:color="auto"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6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78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8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30207</w:t>
            </w:r>
          </w:p>
        </w:tc>
        <w:tc>
          <w:tcPr>
            <w:tcW w:w="16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邮电费</w:t>
            </w:r>
          </w:p>
        </w:tc>
        <w:tc>
          <w:tcPr>
            <w:tcW w:w="316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日常公用支出（在职人员）_邮电费</w:t>
            </w:r>
          </w:p>
        </w:tc>
        <w:tc>
          <w:tcPr>
            <w:tcW w:w="1900"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12,000.00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30211</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差旅费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日常公用支出（在职人员）_差旅费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8,360.00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30213</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维修（护）费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日常公用支出（在职人员）_维修（护）费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2,200.00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30215</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会议费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日常公用支出（在职人员）_会议费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3,300.00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30217</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公务接待费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日常公用支出（在职人员）_公务接待费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1,906.56</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30228</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工会经费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日常公用支出（在职人员）_工会经费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25,806.52</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30229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福利费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日常公用支出（在职人员）_福利费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37,224.00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30231</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公务用车运行维护费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日常公用支出（在职人员）_公务用车运行维护费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46,000.00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30299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日常公用支出（在职人员）_其他商品和服务支出</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98,394.89</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50999</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其他对个人和家庭的补助</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30399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其他对个人和家庭的补助</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对个人和家庭补助支出（在职统发）_其他对个人和家庭的补助</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44,240.00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30227</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委托业务费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运行管理经费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312,000.00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30299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预留机动费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45,539.77</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30299</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业务经费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190,000.00</w:t>
            </w:r>
          </w:p>
        </w:tc>
      </w:tr>
      <w:tr>
        <w:tblPrEx>
          <w:tblCellMar>
            <w:top w:w="0" w:type="dxa"/>
            <w:left w:w="108" w:type="dxa"/>
            <w:bottom w:w="0" w:type="dxa"/>
            <w:right w:w="108" w:type="dxa"/>
          </w:tblCellMar>
        </w:tblPrEx>
        <w:trPr>
          <w:trHeight w:val="394" w:hRule="atLeast"/>
        </w:trPr>
        <w:tc>
          <w:tcPr>
            <w:tcW w:w="9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2900" w:type="dxa"/>
            <w:tcBorders>
              <w:top w:val="single" w:color="auto"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行政事业单位医疗</w:t>
            </w:r>
          </w:p>
        </w:tc>
        <w:tc>
          <w:tcPr>
            <w:tcW w:w="86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78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88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6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316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900"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12,376,828.05</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2101101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行政单位医疗</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50102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社会保障缴费</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30112</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其他社会保障缴费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人员支出（在职非统发）_其他社会保障缴费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8,463,551.33</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2101101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行政单位医疗</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30112</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其他社会保障缴费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人员支出（在职非统发）_其他社会保障缴费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2,623,021.44</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2101102</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事业单位医疗</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30112</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其他社会保障缴费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人员支出（在职非统发）_其他社会保障缴费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192,130.90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2101102</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事业单位医疗</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50102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社会保障缴费</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30112</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其他社会保障缴费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人员支出（在职非统发）_其他社会保障缴费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108,124.38</w:t>
            </w:r>
          </w:p>
        </w:tc>
      </w:tr>
      <w:tr>
        <w:tblPrEx>
          <w:tblCellMar>
            <w:top w:w="0" w:type="dxa"/>
            <w:left w:w="108" w:type="dxa"/>
            <w:bottom w:w="0" w:type="dxa"/>
            <w:right w:w="108" w:type="dxa"/>
          </w:tblCellMar>
        </w:tblPrEx>
        <w:trPr>
          <w:trHeight w:val="792"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2101199</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其他行政事业单位医疗支出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50102</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社会保障缴费</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30112</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其他社会保障缴费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对个人和家庭补助支出（离退休非统发）_其他社会保障缴费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990,000.00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住房改革支出</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28,390,558.20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2210201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住房公积金</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50103</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住房公积金</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30113</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住房公积金</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对个人和家庭补助支出（在职非统发）_住房公积金</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10,326,716.04</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2210201</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住房公积金</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30113</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住房公积金</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对个人和家庭补助支出（在职非统发）_住房公积金</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3,438,602.16</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2210202</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提租补贴</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30102</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津贴补贴</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对个人和家庭补助支出（在职统发）_津贴补贴</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9,960.00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2210202</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提租补贴</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50101</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工资奖金津补贴</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30102</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津贴补贴</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对个人和家庭补助支出（在职统发）_津贴补贴</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6,960.00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2210202</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提租补贴</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50905</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离退休费</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30302</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退休费</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对个人和家庭补助支出（离退休非统发）_退休费</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14,640.00</w:t>
            </w:r>
          </w:p>
        </w:tc>
      </w:tr>
      <w:tr>
        <w:tblPrEx>
          <w:tblCellMar>
            <w:top w:w="0" w:type="dxa"/>
            <w:left w:w="108" w:type="dxa"/>
            <w:bottom w:w="0" w:type="dxa"/>
            <w:right w:w="108" w:type="dxa"/>
          </w:tblCellMar>
        </w:tblPrEx>
        <w:trPr>
          <w:trHeight w:val="394"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2210203</w:t>
            </w:r>
          </w:p>
        </w:tc>
        <w:tc>
          <w:tcPr>
            <w:tcW w:w="290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购房补贴</w:t>
            </w:r>
          </w:p>
        </w:tc>
        <w:tc>
          <w:tcPr>
            <w:tcW w:w="8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50101</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工资奖金津补贴</w:t>
            </w:r>
          </w:p>
        </w:tc>
        <w:tc>
          <w:tcPr>
            <w:tcW w:w="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30102</w:t>
            </w:r>
          </w:p>
        </w:tc>
        <w:tc>
          <w:tcPr>
            <w:tcW w:w="1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津贴补贴</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对个人和家庭补助支出（在职非统发）_津贴补贴</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11,273,412.00</w:t>
            </w:r>
          </w:p>
        </w:tc>
      </w:tr>
      <w:tr>
        <w:tblPrEx>
          <w:tblCellMar>
            <w:top w:w="0" w:type="dxa"/>
            <w:left w:w="108" w:type="dxa"/>
            <w:bottom w:w="0" w:type="dxa"/>
            <w:right w:w="108" w:type="dxa"/>
          </w:tblCellMar>
        </w:tblPrEx>
        <w:trPr>
          <w:trHeight w:val="394" w:hRule="atLeast"/>
        </w:trPr>
        <w:tc>
          <w:tcPr>
            <w:tcW w:w="9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2210203</w:t>
            </w:r>
          </w:p>
        </w:tc>
        <w:tc>
          <w:tcPr>
            <w:tcW w:w="2900" w:type="dxa"/>
            <w:tcBorders>
              <w:top w:val="single" w:color="auto"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购房补贴</w:t>
            </w:r>
          </w:p>
        </w:tc>
        <w:tc>
          <w:tcPr>
            <w:tcW w:w="86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178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88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30102</w:t>
            </w:r>
          </w:p>
        </w:tc>
        <w:tc>
          <w:tcPr>
            <w:tcW w:w="16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津贴补贴</w:t>
            </w:r>
          </w:p>
        </w:tc>
        <w:tc>
          <w:tcPr>
            <w:tcW w:w="316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对个人和家庭补助支出（在职非统发）_津贴补贴</w:t>
            </w:r>
          </w:p>
        </w:tc>
        <w:tc>
          <w:tcPr>
            <w:tcW w:w="1900"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3,320,268.00</w:t>
            </w:r>
          </w:p>
        </w:tc>
      </w:tr>
    </w:tbl>
    <w:p>
      <w:pPr>
        <w:rPr>
          <w:rFonts w:ascii="宋体" w:cs="Times New Roman"/>
          <w:kern w:val="0"/>
          <w:sz w:val="24"/>
          <w:szCs w:val="24"/>
        </w:rPr>
        <w:sectPr>
          <w:pgSz w:w="16838" w:h="11906" w:orient="landscape"/>
          <w:pgMar w:top="1797" w:right="1440" w:bottom="1797" w:left="1440" w:header="851" w:footer="992" w:gutter="0"/>
          <w:cols w:space="425" w:num="1"/>
          <w:docGrid w:type="lines" w:linePitch="312" w:charSpace="0"/>
        </w:sectPr>
      </w:pPr>
    </w:p>
    <w:p>
      <w:pPr>
        <w:rPr>
          <w:rFonts w:ascii="宋体" w:cs="Times New Roman"/>
          <w:kern w:val="0"/>
          <w:sz w:val="24"/>
          <w:szCs w:val="24"/>
        </w:rPr>
      </w:pPr>
      <w:r>
        <w:rPr>
          <w:rFonts w:hint="eastAsia" w:ascii="宋体" w:hAnsi="宋体" w:cs="宋体"/>
          <w:kern w:val="0"/>
          <w:sz w:val="24"/>
          <w:szCs w:val="24"/>
        </w:rPr>
        <w:t>表十：</w:t>
      </w:r>
    </w:p>
    <w:p>
      <w:pPr>
        <w:jc w:val="center"/>
        <w:rPr>
          <w:rFonts w:ascii="宋体" w:cs="Times New Roman"/>
          <w:b/>
          <w:bCs/>
          <w:sz w:val="36"/>
          <w:szCs w:val="36"/>
        </w:rPr>
      </w:pPr>
      <w:r>
        <w:rPr>
          <w:rFonts w:ascii="宋体" w:hAnsi="宋体" w:cs="宋体"/>
          <w:b/>
          <w:bCs/>
          <w:sz w:val="36"/>
          <w:szCs w:val="36"/>
        </w:rPr>
        <w:t>2020</w:t>
      </w:r>
      <w:r>
        <w:rPr>
          <w:rFonts w:hint="eastAsia" w:ascii="宋体" w:hAnsi="宋体" w:cs="宋体"/>
          <w:b/>
          <w:bCs/>
          <w:sz w:val="36"/>
          <w:szCs w:val="36"/>
        </w:rPr>
        <w:t>年市级提前告知专项转移支付预算表</w:t>
      </w:r>
    </w:p>
    <w:p>
      <w:pPr>
        <w:widowControl/>
        <w:jc w:val="right"/>
        <w:rPr>
          <w:rFonts w:ascii="宋体" w:cs="Times New Roman"/>
          <w:kern w:val="0"/>
          <w:sz w:val="24"/>
          <w:szCs w:val="24"/>
        </w:rPr>
      </w:pPr>
      <w:r>
        <w:rPr>
          <w:rFonts w:ascii="宋体" w:hAnsi="宋体" w:cs="宋体"/>
          <w:b/>
          <w:bCs/>
          <w:sz w:val="36"/>
          <w:szCs w:val="36"/>
        </w:rPr>
        <w:t xml:space="preserve">                 </w:t>
      </w:r>
      <w:r>
        <w:rPr>
          <w:rFonts w:hint="eastAsia" w:ascii="宋体" w:hAnsi="宋体" w:cs="宋体"/>
          <w:kern w:val="0"/>
          <w:sz w:val="24"/>
          <w:szCs w:val="24"/>
        </w:rPr>
        <w:t>单位：元</w:t>
      </w:r>
    </w:p>
    <w:tbl>
      <w:tblPr>
        <w:tblStyle w:val="6"/>
        <w:tblW w:w="13907" w:type="dxa"/>
        <w:tblInd w:w="2" w:type="dxa"/>
        <w:tblLayout w:type="fixed"/>
        <w:tblCellMar>
          <w:top w:w="0" w:type="dxa"/>
          <w:left w:w="108" w:type="dxa"/>
          <w:bottom w:w="0" w:type="dxa"/>
          <w:right w:w="108" w:type="dxa"/>
        </w:tblCellMar>
      </w:tblPr>
      <w:tblGrid>
        <w:gridCol w:w="1060"/>
        <w:gridCol w:w="2216"/>
        <w:gridCol w:w="992"/>
        <w:gridCol w:w="1134"/>
        <w:gridCol w:w="1134"/>
        <w:gridCol w:w="3260"/>
        <w:gridCol w:w="567"/>
        <w:gridCol w:w="1559"/>
        <w:gridCol w:w="1985"/>
      </w:tblGrid>
      <w:tr>
        <w:tblPrEx>
          <w:tblCellMar>
            <w:top w:w="0" w:type="dxa"/>
            <w:left w:w="108" w:type="dxa"/>
            <w:bottom w:w="0" w:type="dxa"/>
            <w:right w:w="108" w:type="dxa"/>
          </w:tblCellMar>
        </w:tblPrEx>
        <w:trPr>
          <w:trHeight w:val="588" w:hRule="atLeast"/>
        </w:trPr>
        <w:tc>
          <w:tcPr>
            <w:tcW w:w="106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cs="Times New Roman"/>
                <w:b/>
                <w:bCs/>
                <w:color w:val="000000"/>
                <w:kern w:val="0"/>
                <w:sz w:val="22"/>
              </w:rPr>
            </w:pPr>
            <w:r>
              <w:rPr>
                <w:rFonts w:hint="eastAsia" w:ascii="宋体" w:hAnsi="宋体" w:cs="宋体"/>
                <w:b/>
                <w:bCs/>
                <w:color w:val="000000"/>
                <w:kern w:val="0"/>
                <w:sz w:val="22"/>
                <w:szCs w:val="22"/>
              </w:rPr>
              <w:t>预算单位代码</w:t>
            </w:r>
          </w:p>
        </w:tc>
        <w:tc>
          <w:tcPr>
            <w:tcW w:w="2216" w:type="dxa"/>
            <w:tcBorders>
              <w:top w:val="single" w:color="auto" w:sz="8" w:space="0"/>
              <w:left w:val="nil"/>
              <w:bottom w:val="single" w:color="auto" w:sz="8" w:space="0"/>
              <w:right w:val="single" w:color="auto" w:sz="8" w:space="0"/>
            </w:tcBorders>
            <w:vAlign w:val="center"/>
          </w:tcPr>
          <w:p>
            <w:pPr>
              <w:widowControl/>
              <w:jc w:val="center"/>
              <w:rPr>
                <w:rFonts w:ascii="宋体" w:cs="Times New Roman"/>
                <w:b/>
                <w:bCs/>
                <w:color w:val="000000"/>
                <w:kern w:val="0"/>
                <w:sz w:val="22"/>
              </w:rPr>
            </w:pPr>
            <w:r>
              <w:rPr>
                <w:rFonts w:hint="eastAsia" w:ascii="宋体" w:hAnsi="宋体" w:cs="宋体"/>
                <w:b/>
                <w:bCs/>
                <w:color w:val="000000"/>
                <w:kern w:val="0"/>
                <w:sz w:val="22"/>
                <w:szCs w:val="22"/>
              </w:rPr>
              <w:t>预算单位名称</w:t>
            </w:r>
          </w:p>
        </w:tc>
        <w:tc>
          <w:tcPr>
            <w:tcW w:w="992" w:type="dxa"/>
            <w:tcBorders>
              <w:top w:val="single" w:color="auto" w:sz="8" w:space="0"/>
              <w:left w:val="nil"/>
              <w:bottom w:val="single" w:color="auto" w:sz="8" w:space="0"/>
              <w:right w:val="single" w:color="auto" w:sz="8" w:space="0"/>
            </w:tcBorders>
            <w:vAlign w:val="center"/>
          </w:tcPr>
          <w:p>
            <w:pPr>
              <w:widowControl/>
              <w:jc w:val="center"/>
              <w:rPr>
                <w:rFonts w:ascii="宋体" w:cs="Times New Roman"/>
                <w:b/>
                <w:bCs/>
                <w:color w:val="000000"/>
                <w:kern w:val="0"/>
                <w:sz w:val="22"/>
              </w:rPr>
            </w:pPr>
            <w:r>
              <w:rPr>
                <w:rFonts w:hint="eastAsia" w:ascii="宋体" w:hAnsi="宋体" w:cs="宋体"/>
                <w:b/>
                <w:bCs/>
                <w:color w:val="000000"/>
                <w:kern w:val="0"/>
                <w:sz w:val="22"/>
                <w:szCs w:val="22"/>
              </w:rPr>
              <w:t>功能分类代码</w:t>
            </w:r>
          </w:p>
        </w:tc>
        <w:tc>
          <w:tcPr>
            <w:tcW w:w="1134" w:type="dxa"/>
            <w:tcBorders>
              <w:top w:val="single" w:color="auto" w:sz="8" w:space="0"/>
              <w:left w:val="nil"/>
              <w:bottom w:val="single" w:color="auto" w:sz="8" w:space="0"/>
              <w:right w:val="single" w:color="auto" w:sz="8" w:space="0"/>
            </w:tcBorders>
            <w:vAlign w:val="center"/>
          </w:tcPr>
          <w:p>
            <w:pPr>
              <w:widowControl/>
              <w:jc w:val="center"/>
              <w:rPr>
                <w:rFonts w:ascii="宋体" w:cs="Times New Roman"/>
                <w:b/>
                <w:bCs/>
                <w:color w:val="000000"/>
                <w:kern w:val="0"/>
                <w:sz w:val="22"/>
              </w:rPr>
            </w:pPr>
            <w:r>
              <w:rPr>
                <w:rFonts w:hint="eastAsia" w:ascii="宋体" w:hAnsi="宋体" w:cs="宋体"/>
                <w:b/>
                <w:bCs/>
                <w:color w:val="000000"/>
                <w:kern w:val="0"/>
                <w:sz w:val="22"/>
                <w:szCs w:val="22"/>
              </w:rPr>
              <w:t>政府经济分类代码</w:t>
            </w:r>
          </w:p>
        </w:tc>
        <w:tc>
          <w:tcPr>
            <w:tcW w:w="1134" w:type="dxa"/>
            <w:tcBorders>
              <w:top w:val="single" w:color="auto" w:sz="8" w:space="0"/>
              <w:left w:val="nil"/>
              <w:bottom w:val="single" w:color="auto" w:sz="8" w:space="0"/>
              <w:right w:val="single" w:color="auto" w:sz="8" w:space="0"/>
            </w:tcBorders>
            <w:vAlign w:val="center"/>
          </w:tcPr>
          <w:p>
            <w:pPr>
              <w:widowControl/>
              <w:jc w:val="center"/>
              <w:rPr>
                <w:rFonts w:ascii="宋体" w:cs="Times New Roman"/>
                <w:b/>
                <w:bCs/>
                <w:color w:val="000000"/>
                <w:kern w:val="0"/>
                <w:sz w:val="22"/>
              </w:rPr>
            </w:pPr>
            <w:r>
              <w:rPr>
                <w:rFonts w:hint="eastAsia" w:ascii="宋体" w:hAnsi="宋体" w:cs="宋体"/>
                <w:b/>
                <w:bCs/>
                <w:color w:val="000000"/>
                <w:kern w:val="0"/>
                <w:sz w:val="22"/>
                <w:szCs w:val="22"/>
              </w:rPr>
              <w:t>部门经济分类代码</w:t>
            </w:r>
          </w:p>
        </w:tc>
        <w:tc>
          <w:tcPr>
            <w:tcW w:w="3260" w:type="dxa"/>
            <w:tcBorders>
              <w:top w:val="single" w:color="auto" w:sz="8" w:space="0"/>
              <w:left w:val="nil"/>
              <w:bottom w:val="single" w:color="auto" w:sz="8" w:space="0"/>
              <w:right w:val="single" w:color="auto" w:sz="8" w:space="0"/>
            </w:tcBorders>
            <w:vAlign w:val="center"/>
          </w:tcPr>
          <w:p>
            <w:pPr>
              <w:widowControl/>
              <w:jc w:val="center"/>
              <w:rPr>
                <w:rFonts w:ascii="宋体" w:cs="Times New Roman"/>
                <w:b/>
                <w:bCs/>
                <w:color w:val="000000"/>
                <w:kern w:val="0"/>
                <w:sz w:val="22"/>
              </w:rPr>
            </w:pPr>
            <w:r>
              <w:rPr>
                <w:rFonts w:hint="eastAsia" w:ascii="宋体" w:hAnsi="宋体" w:cs="宋体"/>
                <w:b/>
                <w:bCs/>
                <w:color w:val="000000"/>
                <w:kern w:val="0"/>
                <w:sz w:val="22"/>
                <w:szCs w:val="22"/>
              </w:rPr>
              <w:t>项目名称</w:t>
            </w:r>
          </w:p>
        </w:tc>
        <w:tc>
          <w:tcPr>
            <w:tcW w:w="567" w:type="dxa"/>
            <w:tcBorders>
              <w:top w:val="single" w:color="auto" w:sz="8" w:space="0"/>
              <w:left w:val="nil"/>
              <w:bottom w:val="single" w:color="auto" w:sz="8" w:space="0"/>
              <w:right w:val="single" w:color="auto" w:sz="8" w:space="0"/>
            </w:tcBorders>
            <w:vAlign w:val="center"/>
          </w:tcPr>
          <w:p>
            <w:pPr>
              <w:widowControl/>
              <w:jc w:val="center"/>
              <w:rPr>
                <w:rFonts w:ascii="宋体" w:cs="Times New Roman"/>
                <w:b/>
                <w:bCs/>
                <w:color w:val="000000"/>
                <w:kern w:val="0"/>
                <w:sz w:val="22"/>
              </w:rPr>
            </w:pPr>
            <w:r>
              <w:rPr>
                <w:rFonts w:hint="eastAsia" w:ascii="宋体" w:hAnsi="宋体" w:cs="宋体"/>
                <w:b/>
                <w:bCs/>
                <w:color w:val="000000"/>
                <w:kern w:val="0"/>
                <w:sz w:val="22"/>
                <w:szCs w:val="22"/>
              </w:rPr>
              <w:t>是否采购</w:t>
            </w:r>
          </w:p>
        </w:tc>
        <w:tc>
          <w:tcPr>
            <w:tcW w:w="1559" w:type="dxa"/>
            <w:tcBorders>
              <w:top w:val="single" w:color="auto" w:sz="8" w:space="0"/>
              <w:left w:val="nil"/>
              <w:bottom w:val="single" w:color="auto" w:sz="8" w:space="0"/>
              <w:right w:val="single" w:color="auto" w:sz="8" w:space="0"/>
            </w:tcBorders>
            <w:shd w:val="clear" w:color="000000" w:fill="FFFFFF"/>
            <w:vAlign w:val="center"/>
          </w:tcPr>
          <w:p>
            <w:pPr>
              <w:widowControl/>
              <w:jc w:val="center"/>
              <w:rPr>
                <w:rFonts w:ascii="宋体" w:cs="Times New Roman"/>
                <w:b/>
                <w:bCs/>
                <w:color w:val="000000"/>
                <w:kern w:val="0"/>
                <w:sz w:val="22"/>
              </w:rPr>
            </w:pPr>
            <w:r>
              <w:rPr>
                <w:rFonts w:hint="eastAsia" w:ascii="宋体" w:hAnsi="宋体" w:cs="宋体"/>
                <w:b/>
                <w:bCs/>
                <w:color w:val="000000"/>
                <w:kern w:val="0"/>
                <w:sz w:val="22"/>
                <w:szCs w:val="22"/>
              </w:rPr>
              <w:t>指标金额</w:t>
            </w:r>
          </w:p>
        </w:tc>
        <w:tc>
          <w:tcPr>
            <w:tcW w:w="1985" w:type="dxa"/>
            <w:tcBorders>
              <w:top w:val="single" w:color="auto" w:sz="8" w:space="0"/>
              <w:left w:val="nil"/>
              <w:bottom w:val="single" w:color="auto" w:sz="8" w:space="0"/>
              <w:right w:val="single" w:color="auto" w:sz="8" w:space="0"/>
            </w:tcBorders>
            <w:vAlign w:val="center"/>
          </w:tcPr>
          <w:p>
            <w:pPr>
              <w:widowControl/>
              <w:jc w:val="center"/>
              <w:rPr>
                <w:rFonts w:ascii="宋体" w:cs="Times New Roman"/>
                <w:b/>
                <w:bCs/>
                <w:color w:val="000000"/>
                <w:kern w:val="0"/>
                <w:sz w:val="22"/>
              </w:rPr>
            </w:pPr>
            <w:r>
              <w:rPr>
                <w:rFonts w:hint="eastAsia" w:ascii="宋体" w:hAnsi="宋体" w:cs="宋体"/>
                <w:b/>
                <w:bCs/>
                <w:color w:val="000000"/>
                <w:kern w:val="0"/>
                <w:sz w:val="22"/>
                <w:szCs w:val="22"/>
              </w:rPr>
              <w:t>市指标文号</w:t>
            </w:r>
          </w:p>
        </w:tc>
      </w:tr>
      <w:tr>
        <w:tblPrEx>
          <w:tblCellMar>
            <w:top w:w="0" w:type="dxa"/>
            <w:left w:w="108" w:type="dxa"/>
            <w:bottom w:w="0" w:type="dxa"/>
            <w:right w:w="108" w:type="dxa"/>
          </w:tblCellMar>
        </w:tblPrEx>
        <w:trPr>
          <w:trHeight w:val="972" w:hRule="atLeast"/>
        </w:trPr>
        <w:tc>
          <w:tcPr>
            <w:tcW w:w="1060" w:type="dxa"/>
            <w:tcBorders>
              <w:top w:val="nil"/>
              <w:left w:val="single" w:color="auto" w:sz="8" w:space="0"/>
              <w:bottom w:val="single" w:color="auto" w:sz="8" w:space="0"/>
              <w:right w:val="single" w:color="auto" w:sz="8" w:space="0"/>
            </w:tcBorders>
            <w:vAlign w:val="center"/>
          </w:tcPr>
          <w:p>
            <w:pPr>
              <w:widowControl/>
              <w:jc w:val="center"/>
              <w:outlineLvl w:val="1"/>
              <w:rPr>
                <w:rFonts w:ascii="宋体" w:cs="Times New Roman"/>
                <w:color w:val="000000"/>
                <w:kern w:val="0"/>
                <w:sz w:val="20"/>
                <w:szCs w:val="20"/>
              </w:rPr>
            </w:pPr>
            <w:r>
              <w:rPr>
                <w:rFonts w:ascii="宋体" w:hAnsi="宋体" w:cs="宋体"/>
                <w:color w:val="000000"/>
                <w:kern w:val="0"/>
                <w:sz w:val="20"/>
                <w:szCs w:val="20"/>
              </w:rPr>
              <w:t>257001</w:t>
            </w:r>
          </w:p>
        </w:tc>
        <w:tc>
          <w:tcPr>
            <w:tcW w:w="2216" w:type="dxa"/>
            <w:tcBorders>
              <w:top w:val="nil"/>
              <w:left w:val="nil"/>
              <w:bottom w:val="single" w:color="auto" w:sz="8" w:space="0"/>
              <w:right w:val="single" w:color="auto" w:sz="8" w:space="0"/>
            </w:tcBorders>
            <w:vAlign w:val="center"/>
          </w:tcPr>
          <w:p>
            <w:pPr>
              <w:widowControl/>
              <w:jc w:val="left"/>
              <w:outlineLvl w:val="1"/>
              <w:rPr>
                <w:rFonts w:ascii="宋体" w:cs="Times New Roman"/>
                <w:color w:val="000000"/>
                <w:kern w:val="0"/>
                <w:sz w:val="20"/>
                <w:szCs w:val="20"/>
              </w:rPr>
            </w:pPr>
            <w:r>
              <w:rPr>
                <w:rFonts w:hint="eastAsia" w:ascii="宋体" w:hAnsi="宋体" w:cs="宋体"/>
                <w:color w:val="000000"/>
                <w:kern w:val="0"/>
                <w:sz w:val="20"/>
                <w:szCs w:val="20"/>
              </w:rPr>
              <w:t>北京市西城区人力资源和社会保障局</w:t>
            </w:r>
          </w:p>
        </w:tc>
        <w:tc>
          <w:tcPr>
            <w:tcW w:w="992" w:type="dxa"/>
            <w:tcBorders>
              <w:top w:val="nil"/>
              <w:left w:val="nil"/>
              <w:bottom w:val="single" w:color="auto" w:sz="8" w:space="0"/>
              <w:right w:val="single" w:color="auto" w:sz="8" w:space="0"/>
            </w:tcBorders>
            <w:vAlign w:val="center"/>
          </w:tcPr>
          <w:p>
            <w:pPr>
              <w:widowControl/>
              <w:jc w:val="center"/>
              <w:outlineLvl w:val="1"/>
              <w:rPr>
                <w:rFonts w:ascii="宋体" w:cs="Times New Roman"/>
                <w:color w:val="000000"/>
                <w:kern w:val="0"/>
                <w:sz w:val="20"/>
                <w:szCs w:val="20"/>
              </w:rPr>
            </w:pPr>
            <w:r>
              <w:rPr>
                <w:rFonts w:ascii="宋体" w:hAnsi="宋体" w:cs="宋体"/>
                <w:color w:val="000000"/>
                <w:kern w:val="0"/>
                <w:sz w:val="20"/>
                <w:szCs w:val="20"/>
              </w:rPr>
              <w:t>2130321</w:t>
            </w:r>
          </w:p>
        </w:tc>
        <w:tc>
          <w:tcPr>
            <w:tcW w:w="1134" w:type="dxa"/>
            <w:tcBorders>
              <w:top w:val="nil"/>
              <w:left w:val="nil"/>
              <w:bottom w:val="single" w:color="auto" w:sz="8" w:space="0"/>
              <w:right w:val="single" w:color="auto" w:sz="8" w:space="0"/>
            </w:tcBorders>
            <w:vAlign w:val="center"/>
          </w:tcPr>
          <w:p>
            <w:pPr>
              <w:widowControl/>
              <w:jc w:val="center"/>
              <w:outlineLvl w:val="1"/>
              <w:rPr>
                <w:rFonts w:ascii="宋体" w:cs="Times New Roman"/>
                <w:color w:val="000000"/>
                <w:kern w:val="0"/>
                <w:sz w:val="20"/>
                <w:szCs w:val="20"/>
              </w:rPr>
            </w:pPr>
            <w:r>
              <w:rPr>
                <w:rFonts w:ascii="宋体" w:hAnsi="宋体" w:cs="宋体"/>
                <w:color w:val="000000"/>
                <w:kern w:val="0"/>
                <w:sz w:val="20"/>
                <w:szCs w:val="20"/>
              </w:rPr>
              <w:t>50299</w:t>
            </w:r>
          </w:p>
        </w:tc>
        <w:tc>
          <w:tcPr>
            <w:tcW w:w="1134" w:type="dxa"/>
            <w:tcBorders>
              <w:top w:val="nil"/>
              <w:left w:val="nil"/>
              <w:bottom w:val="single" w:color="auto" w:sz="8" w:space="0"/>
              <w:right w:val="single" w:color="auto" w:sz="8" w:space="0"/>
            </w:tcBorders>
            <w:vAlign w:val="center"/>
          </w:tcPr>
          <w:p>
            <w:pPr>
              <w:widowControl/>
              <w:jc w:val="center"/>
              <w:outlineLvl w:val="1"/>
              <w:rPr>
                <w:rFonts w:ascii="宋体" w:cs="Times New Roman"/>
                <w:color w:val="000000"/>
                <w:kern w:val="0"/>
                <w:sz w:val="20"/>
                <w:szCs w:val="20"/>
              </w:rPr>
            </w:pPr>
            <w:r>
              <w:rPr>
                <w:rFonts w:ascii="宋体" w:hAnsi="宋体" w:cs="宋体"/>
                <w:color w:val="000000"/>
                <w:kern w:val="0"/>
                <w:sz w:val="20"/>
                <w:szCs w:val="20"/>
              </w:rPr>
              <w:t>30299</w:t>
            </w:r>
          </w:p>
        </w:tc>
        <w:tc>
          <w:tcPr>
            <w:tcW w:w="3260" w:type="dxa"/>
            <w:tcBorders>
              <w:top w:val="nil"/>
              <w:left w:val="nil"/>
              <w:bottom w:val="single" w:color="auto" w:sz="8" w:space="0"/>
              <w:right w:val="single" w:color="auto" w:sz="8" w:space="0"/>
            </w:tcBorders>
            <w:vAlign w:val="center"/>
          </w:tcPr>
          <w:p>
            <w:pPr>
              <w:jc w:val="left"/>
              <w:outlineLvl w:val="1"/>
              <w:rPr>
                <w:rFonts w:ascii="宋体" w:hAnsi="宋体" w:cs="宋体"/>
                <w:color w:val="000000"/>
                <w:sz w:val="20"/>
                <w:szCs w:val="20"/>
              </w:rPr>
            </w:pPr>
            <w:r>
              <w:rPr>
                <w:rFonts w:hint="eastAsia"/>
                <w:color w:val="000000"/>
                <w:sz w:val="20"/>
                <w:szCs w:val="20"/>
              </w:rPr>
              <w:t>2020年水务改革发展专项资金</w:t>
            </w:r>
          </w:p>
        </w:tc>
        <w:tc>
          <w:tcPr>
            <w:tcW w:w="567" w:type="dxa"/>
            <w:tcBorders>
              <w:top w:val="nil"/>
              <w:left w:val="nil"/>
              <w:bottom w:val="single" w:color="auto" w:sz="8" w:space="0"/>
              <w:right w:val="single" w:color="auto" w:sz="8" w:space="0"/>
            </w:tcBorders>
            <w:vAlign w:val="center"/>
          </w:tcPr>
          <w:p>
            <w:pPr>
              <w:widowControl/>
              <w:jc w:val="center"/>
              <w:outlineLvl w:val="1"/>
              <w:rPr>
                <w:rFonts w:ascii="宋体" w:cs="Times New Roman"/>
                <w:color w:val="000000"/>
                <w:kern w:val="0"/>
                <w:sz w:val="20"/>
                <w:szCs w:val="20"/>
              </w:rPr>
            </w:pPr>
            <w:r>
              <w:rPr>
                <w:rFonts w:hint="eastAsia" w:ascii="宋体" w:hAnsi="宋体" w:cs="宋体"/>
                <w:color w:val="000000"/>
                <w:kern w:val="0"/>
                <w:sz w:val="20"/>
                <w:szCs w:val="20"/>
              </w:rPr>
              <w:t>否</w:t>
            </w:r>
          </w:p>
        </w:tc>
        <w:tc>
          <w:tcPr>
            <w:tcW w:w="1559" w:type="dxa"/>
            <w:tcBorders>
              <w:top w:val="nil"/>
              <w:left w:val="nil"/>
              <w:bottom w:val="single" w:color="auto" w:sz="8" w:space="0"/>
              <w:right w:val="single" w:color="auto" w:sz="8" w:space="0"/>
            </w:tcBorders>
            <w:shd w:val="clear" w:color="000000" w:fill="FFFFFF"/>
            <w:vAlign w:val="center"/>
          </w:tcPr>
          <w:p>
            <w:pPr>
              <w:widowControl/>
              <w:jc w:val="right"/>
              <w:outlineLvl w:val="1"/>
              <w:rPr>
                <w:rFonts w:ascii="宋体" w:cs="Times New Roman"/>
                <w:color w:val="000000"/>
                <w:kern w:val="0"/>
                <w:sz w:val="20"/>
                <w:szCs w:val="20"/>
              </w:rPr>
            </w:pPr>
            <w:r>
              <w:rPr>
                <w:rFonts w:ascii="宋体" w:cs="Times New Roman"/>
                <w:color w:val="000000"/>
                <w:kern w:val="0"/>
                <w:sz w:val="20"/>
                <w:szCs w:val="20"/>
              </w:rPr>
              <w:t>159,040.00</w:t>
            </w:r>
          </w:p>
        </w:tc>
        <w:tc>
          <w:tcPr>
            <w:tcW w:w="1985" w:type="dxa"/>
            <w:tcBorders>
              <w:top w:val="nil"/>
              <w:left w:val="nil"/>
              <w:bottom w:val="single" w:color="auto" w:sz="8" w:space="0"/>
              <w:right w:val="single" w:color="auto" w:sz="8" w:space="0"/>
            </w:tcBorders>
            <w:vAlign w:val="center"/>
          </w:tcPr>
          <w:p>
            <w:pPr>
              <w:widowControl/>
              <w:jc w:val="left"/>
              <w:outlineLvl w:val="1"/>
              <w:rPr>
                <w:rFonts w:ascii="宋体" w:cs="Times New Roman"/>
                <w:color w:val="000000"/>
                <w:kern w:val="0"/>
                <w:sz w:val="20"/>
                <w:szCs w:val="20"/>
              </w:rPr>
            </w:pPr>
            <w:r>
              <w:rPr>
                <w:rFonts w:hint="eastAsia" w:ascii="宋体" w:cs="Times New Roman"/>
                <w:color w:val="000000"/>
                <w:kern w:val="0"/>
                <w:sz w:val="20"/>
                <w:szCs w:val="20"/>
              </w:rPr>
              <w:t>京财农指［2019］2137号</w:t>
            </w:r>
          </w:p>
        </w:tc>
      </w:tr>
    </w:tbl>
    <w:p>
      <w:pPr>
        <w:widowControl/>
        <w:rPr>
          <w:rFonts w:ascii="宋体" w:cs="Times New Roman"/>
          <w:b/>
          <w:bCs/>
          <w:kern w:val="0"/>
          <w:sz w:val="22"/>
          <w:szCs w:val="22"/>
        </w:rPr>
        <w:sectPr>
          <w:pgSz w:w="16838" w:h="11906" w:orient="landscape"/>
          <w:pgMar w:top="1797" w:right="1440" w:bottom="1797" w:left="1440" w:header="851" w:footer="992" w:gutter="0"/>
          <w:cols w:space="425" w:num="1"/>
          <w:docGrid w:type="lines" w:linePitch="312" w:charSpace="0"/>
        </w:sectPr>
      </w:pPr>
    </w:p>
    <w:p>
      <w:pPr>
        <w:spacing w:before="240" w:after="60"/>
        <w:outlineLvl w:val="0"/>
        <w:rPr>
          <w:rFonts w:ascii="仿宋_GB2312" w:hAnsi="Times New Roman" w:eastAsia="仿宋_GB2312" w:cs="仿宋_GB2312"/>
          <w:b/>
          <w:bCs/>
          <w:sz w:val="36"/>
          <w:szCs w:val="36"/>
        </w:rPr>
      </w:pPr>
      <w:r>
        <w:rPr>
          <w:rFonts w:hint="eastAsia" w:ascii="Cambria" w:hAnsi="Cambria" w:cs="宋体"/>
          <w:b/>
          <w:bCs/>
          <w:sz w:val="28"/>
          <w:szCs w:val="28"/>
        </w:rPr>
        <w:t>表十一</w:t>
      </w:r>
      <w:r>
        <w:rPr>
          <w:rFonts w:hint="eastAsia" w:ascii="Cambria" w:hAnsi="Cambria" w:cs="宋体"/>
          <w:b/>
          <w:bCs/>
          <w:sz w:val="30"/>
          <w:szCs w:val="30"/>
        </w:rPr>
        <w:t>：</w:t>
      </w:r>
    </w:p>
    <w:p>
      <w:pPr>
        <w:spacing w:line="360" w:lineRule="auto"/>
        <w:jc w:val="center"/>
        <w:rPr>
          <w:rFonts w:ascii="仿宋_GB2312" w:hAnsi="Times New Roman" w:eastAsia="仿宋_GB2312" w:cs="Times New Roman"/>
          <w:b/>
          <w:bCs/>
          <w:sz w:val="36"/>
          <w:szCs w:val="36"/>
        </w:rPr>
      </w:pPr>
      <w:r>
        <w:rPr>
          <w:rFonts w:hint="eastAsia" w:ascii="仿宋_GB2312" w:hAnsi="Times New Roman" w:eastAsia="仿宋_GB2312" w:cs="仿宋_GB2312"/>
          <w:b/>
          <w:bCs/>
          <w:sz w:val="36"/>
          <w:szCs w:val="36"/>
        </w:rPr>
        <w:t>部门整体支出绩效目标申报表</w:t>
      </w:r>
    </w:p>
    <w:p>
      <w:pPr>
        <w:spacing w:line="360" w:lineRule="auto"/>
        <w:jc w:val="center"/>
        <w:rPr>
          <w:rFonts w:ascii="仿宋_GB2312" w:hAnsi="Times New Roman" w:eastAsia="仿宋_GB2312" w:cs="Times New Roman"/>
          <w:sz w:val="32"/>
          <w:szCs w:val="32"/>
        </w:rPr>
      </w:pP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rPr>
        <w:t>20年度）</w:t>
      </w:r>
    </w:p>
    <w:tbl>
      <w:tblPr>
        <w:tblStyle w:val="6"/>
        <w:tblW w:w="0" w:type="auto"/>
        <w:tblInd w:w="2" w:type="dxa"/>
        <w:tblLayout w:type="fixed"/>
        <w:tblCellMar>
          <w:top w:w="0" w:type="dxa"/>
          <w:left w:w="108" w:type="dxa"/>
          <w:bottom w:w="0" w:type="dxa"/>
          <w:right w:w="108" w:type="dxa"/>
        </w:tblCellMar>
      </w:tblPr>
      <w:tblGrid>
        <w:gridCol w:w="1276"/>
        <w:gridCol w:w="2632"/>
        <w:gridCol w:w="1995"/>
        <w:gridCol w:w="3311"/>
      </w:tblGrid>
      <w:tr>
        <w:tblPrEx>
          <w:tblCellMar>
            <w:top w:w="0" w:type="dxa"/>
            <w:left w:w="108" w:type="dxa"/>
            <w:bottom w:w="0" w:type="dxa"/>
            <w:right w:w="108" w:type="dxa"/>
          </w:tblCellMar>
        </w:tblPrEx>
        <w:trPr>
          <w:trHeight w:val="690" w:hRule="exact"/>
        </w:trPr>
        <w:tc>
          <w:tcPr>
            <w:tcW w:w="12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宋体" w:cs="Times New Roman"/>
                <w:kern w:val="0"/>
              </w:rPr>
            </w:pPr>
            <w:r>
              <w:rPr>
                <w:rFonts w:hint="eastAsia" w:ascii="宋体" w:hAnsi="宋体" w:cs="宋体"/>
                <w:kern w:val="0"/>
              </w:rPr>
              <w:t>部门（单位）名称</w:t>
            </w:r>
          </w:p>
        </w:tc>
        <w:tc>
          <w:tcPr>
            <w:tcW w:w="7938" w:type="dxa"/>
            <w:gridSpan w:val="3"/>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ascii="宋体" w:cs="Times New Roman"/>
                <w:kern w:val="0"/>
              </w:rPr>
            </w:pPr>
            <w:r>
              <w:rPr>
                <w:rFonts w:hint="eastAsia" w:ascii="宋体" w:hAnsi="宋体" w:cs="宋体"/>
              </w:rPr>
              <w:t>北京市西城区人力资源和社会保障局</w:t>
            </w:r>
          </w:p>
        </w:tc>
      </w:tr>
      <w:tr>
        <w:tblPrEx>
          <w:tblCellMar>
            <w:top w:w="0" w:type="dxa"/>
            <w:left w:w="108" w:type="dxa"/>
            <w:bottom w:w="0" w:type="dxa"/>
            <w:right w:w="108" w:type="dxa"/>
          </w:tblCellMar>
        </w:tblPrEx>
        <w:trPr>
          <w:trHeight w:val="606" w:hRule="atLeast"/>
        </w:trPr>
        <w:tc>
          <w:tcPr>
            <w:tcW w:w="1276"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宋体" w:cs="Times New Roman"/>
                <w:kern w:val="0"/>
              </w:rPr>
            </w:pPr>
            <w:r>
              <w:rPr>
                <w:rFonts w:hint="eastAsia" w:ascii="宋体" w:hAnsi="宋体" w:cs="宋体"/>
                <w:kern w:val="0"/>
              </w:rPr>
              <w:t>部门（单位）负责人</w:t>
            </w:r>
          </w:p>
        </w:tc>
        <w:tc>
          <w:tcPr>
            <w:tcW w:w="2632"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jc w:val="center"/>
              <w:rPr>
                <w:rFonts w:ascii="宋体" w:cs="Times New Roman"/>
                <w:kern w:val="0"/>
              </w:rPr>
            </w:pPr>
            <w:r>
              <w:rPr>
                <w:rFonts w:hint="eastAsia" w:ascii="宋体" w:hAnsi="宋体" w:cs="宋体"/>
                <w:kern w:val="0"/>
              </w:rPr>
              <w:t>王效农</w:t>
            </w:r>
          </w:p>
        </w:tc>
        <w:tc>
          <w:tcPr>
            <w:tcW w:w="1995"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ascii="宋体" w:cs="Times New Roman"/>
                <w:kern w:val="0"/>
              </w:rPr>
            </w:pPr>
            <w:r>
              <w:rPr>
                <w:rFonts w:hint="eastAsia" w:ascii="宋体" w:hAnsi="宋体" w:cs="宋体"/>
                <w:kern w:val="0"/>
              </w:rPr>
              <w:t>联系电话</w:t>
            </w:r>
          </w:p>
        </w:tc>
        <w:tc>
          <w:tcPr>
            <w:tcW w:w="3311"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jc w:val="center"/>
              <w:rPr>
                <w:rFonts w:ascii="宋体" w:cs="Times New Roman"/>
                <w:kern w:val="0"/>
              </w:rPr>
            </w:pPr>
            <w:r>
              <w:rPr>
                <w:rFonts w:ascii="宋体" w:hAnsi="宋体" w:cs="宋体"/>
                <w:kern w:val="0"/>
              </w:rPr>
              <w:t>66206016</w:t>
            </w:r>
          </w:p>
        </w:tc>
      </w:tr>
      <w:tr>
        <w:tblPrEx>
          <w:tblCellMar>
            <w:top w:w="0" w:type="dxa"/>
            <w:left w:w="108" w:type="dxa"/>
            <w:bottom w:w="0" w:type="dxa"/>
            <w:right w:w="108" w:type="dxa"/>
          </w:tblCellMar>
        </w:tblPrEx>
        <w:trPr>
          <w:trHeight w:val="395" w:hRule="exact"/>
        </w:trPr>
        <w:tc>
          <w:tcPr>
            <w:tcW w:w="1276" w:type="dxa"/>
            <w:vMerge w:val="restar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宋体" w:cs="Times New Roman"/>
                <w:kern w:val="0"/>
              </w:rPr>
            </w:pPr>
            <w:r>
              <w:rPr>
                <w:rFonts w:hint="eastAsia" w:ascii="宋体" w:hAnsi="宋体" w:cs="宋体"/>
                <w:kern w:val="0"/>
              </w:rPr>
              <w:t>部门（单位）总体资金情况（万元）</w:t>
            </w:r>
          </w:p>
        </w:tc>
        <w:tc>
          <w:tcPr>
            <w:tcW w:w="2632"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ascii="宋体" w:cs="Times New Roman"/>
                <w:kern w:val="0"/>
              </w:rPr>
            </w:pPr>
            <w:r>
              <w:rPr>
                <w:rFonts w:hint="eastAsia" w:ascii="宋体" w:hAnsi="宋体" w:cs="宋体"/>
                <w:kern w:val="0"/>
              </w:rPr>
              <w:t>资金总额：</w:t>
            </w:r>
          </w:p>
        </w:tc>
        <w:tc>
          <w:tcPr>
            <w:tcW w:w="5306"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ascii="宋体" w:cs="Times New Roman"/>
                <w:kern w:val="0"/>
              </w:rPr>
            </w:pPr>
            <w:r>
              <w:rPr>
                <w:rFonts w:ascii="宋体" w:cs="Times New Roman"/>
                <w:kern w:val="0"/>
              </w:rPr>
              <w:t>404,652,805.20</w:t>
            </w:r>
          </w:p>
        </w:tc>
      </w:tr>
      <w:tr>
        <w:tblPrEx>
          <w:tblCellMar>
            <w:top w:w="0" w:type="dxa"/>
            <w:left w:w="108" w:type="dxa"/>
            <w:bottom w:w="0" w:type="dxa"/>
            <w:right w:w="108" w:type="dxa"/>
          </w:tblCellMar>
        </w:tblPrEx>
        <w:trPr>
          <w:trHeight w:val="390" w:hRule="exact"/>
        </w:trPr>
        <w:tc>
          <w:tcPr>
            <w:tcW w:w="1276"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宋体" w:cs="Times New Roman"/>
                <w:kern w:val="0"/>
              </w:rPr>
            </w:pPr>
          </w:p>
        </w:tc>
        <w:tc>
          <w:tcPr>
            <w:tcW w:w="2632"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ascii="宋体" w:cs="Times New Roman"/>
                <w:kern w:val="0"/>
              </w:rPr>
            </w:pPr>
            <w:r>
              <w:rPr>
                <w:rFonts w:hint="eastAsia" w:ascii="宋体" w:hAnsi="宋体" w:cs="宋体"/>
                <w:kern w:val="0"/>
              </w:rPr>
              <w:t>基本支出：</w:t>
            </w:r>
          </w:p>
        </w:tc>
        <w:tc>
          <w:tcPr>
            <w:tcW w:w="5306"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ascii="宋体" w:cs="Times New Roman"/>
                <w:kern w:val="0"/>
              </w:rPr>
            </w:pPr>
            <w:r>
              <w:rPr>
                <w:rFonts w:ascii="宋体" w:cs="Times New Roman"/>
                <w:kern w:val="0"/>
              </w:rPr>
              <w:t>209,035,220.83</w:t>
            </w:r>
          </w:p>
        </w:tc>
      </w:tr>
      <w:tr>
        <w:tblPrEx>
          <w:tblCellMar>
            <w:top w:w="0" w:type="dxa"/>
            <w:left w:w="108" w:type="dxa"/>
            <w:bottom w:w="0" w:type="dxa"/>
            <w:right w:w="108" w:type="dxa"/>
          </w:tblCellMar>
        </w:tblPrEx>
        <w:trPr>
          <w:trHeight w:val="424" w:hRule="exact"/>
        </w:trPr>
        <w:tc>
          <w:tcPr>
            <w:tcW w:w="1276"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宋体" w:cs="Times New Roman"/>
                <w:kern w:val="0"/>
              </w:rPr>
            </w:pPr>
          </w:p>
        </w:tc>
        <w:tc>
          <w:tcPr>
            <w:tcW w:w="2632"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ascii="宋体" w:cs="Times New Roman"/>
                <w:kern w:val="0"/>
              </w:rPr>
            </w:pPr>
            <w:r>
              <w:rPr>
                <w:rFonts w:hint="eastAsia" w:ascii="宋体" w:hAnsi="宋体" w:cs="宋体"/>
                <w:kern w:val="0"/>
              </w:rPr>
              <w:t>项目支出：</w:t>
            </w:r>
          </w:p>
        </w:tc>
        <w:tc>
          <w:tcPr>
            <w:tcW w:w="5306"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ascii="宋体" w:cs="Times New Roman"/>
                <w:kern w:val="0"/>
              </w:rPr>
            </w:pPr>
            <w:r>
              <w:rPr>
                <w:rFonts w:ascii="宋体" w:cs="Times New Roman"/>
                <w:kern w:val="0"/>
              </w:rPr>
              <w:t>195,617,584.37</w:t>
            </w:r>
          </w:p>
        </w:tc>
      </w:tr>
      <w:tr>
        <w:tblPrEx>
          <w:tblCellMar>
            <w:top w:w="0" w:type="dxa"/>
            <w:left w:w="108" w:type="dxa"/>
            <w:bottom w:w="0" w:type="dxa"/>
            <w:right w:w="108" w:type="dxa"/>
          </w:tblCellMar>
        </w:tblPrEx>
        <w:trPr>
          <w:trHeight w:val="401" w:hRule="exact"/>
        </w:trPr>
        <w:tc>
          <w:tcPr>
            <w:tcW w:w="1276"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宋体" w:cs="Times New Roman"/>
                <w:kern w:val="0"/>
              </w:rPr>
            </w:pPr>
          </w:p>
        </w:tc>
        <w:tc>
          <w:tcPr>
            <w:tcW w:w="2632"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ascii="宋体" w:cs="Times New Roman"/>
                <w:kern w:val="0"/>
              </w:rPr>
            </w:pPr>
            <w:r>
              <w:rPr>
                <w:rFonts w:hint="eastAsia" w:ascii="宋体" w:hAnsi="宋体" w:cs="宋体"/>
                <w:kern w:val="0"/>
              </w:rPr>
              <w:t>其他：</w:t>
            </w:r>
          </w:p>
        </w:tc>
        <w:tc>
          <w:tcPr>
            <w:tcW w:w="5306"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ascii="宋体" w:cs="Times New Roman"/>
                <w:kern w:val="0"/>
              </w:rPr>
            </w:pPr>
            <w:r>
              <w:rPr>
                <w:rFonts w:hint="eastAsia" w:ascii="宋体" w:hAnsi="宋体" w:cs="宋体"/>
                <w:kern w:val="0"/>
              </w:rPr>
              <w:t>无</w:t>
            </w:r>
          </w:p>
        </w:tc>
      </w:tr>
      <w:tr>
        <w:tblPrEx>
          <w:tblCellMar>
            <w:top w:w="0" w:type="dxa"/>
            <w:left w:w="108" w:type="dxa"/>
            <w:bottom w:w="0" w:type="dxa"/>
            <w:right w:w="108" w:type="dxa"/>
          </w:tblCellMar>
        </w:tblPrEx>
        <w:trPr>
          <w:trHeight w:val="6409" w:hRule="atLeast"/>
        </w:trPr>
        <w:tc>
          <w:tcPr>
            <w:tcW w:w="1276"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宋体" w:cs="Times New Roman"/>
                <w:kern w:val="0"/>
              </w:rPr>
            </w:pPr>
            <w:r>
              <w:rPr>
                <w:rFonts w:hint="eastAsia" w:ascii="宋体" w:hAnsi="宋体" w:cs="宋体"/>
                <w:kern w:val="0"/>
              </w:rPr>
              <w:t>部门（单位）职能概述</w:t>
            </w:r>
          </w:p>
        </w:tc>
        <w:tc>
          <w:tcPr>
            <w:tcW w:w="7938" w:type="dxa"/>
            <w:gridSpan w:val="3"/>
            <w:tcBorders>
              <w:top w:val="single" w:color="auto" w:sz="4" w:space="0"/>
              <w:left w:val="nil"/>
              <w:bottom w:val="single" w:color="auto" w:sz="4" w:space="0"/>
              <w:right w:val="single" w:color="auto" w:sz="4" w:space="0"/>
            </w:tcBorders>
            <w:noWrap/>
            <w:vAlign w:val="center"/>
          </w:tcPr>
          <w:p>
            <w:pPr>
              <w:widowControl/>
              <w:spacing w:line="240" w:lineRule="atLeast"/>
              <w:ind w:firstLine="420" w:firstLineChars="200"/>
              <w:rPr>
                <w:rFonts w:ascii="宋体" w:hAnsi="宋体" w:cs="宋体"/>
              </w:rPr>
            </w:pPr>
            <w:r>
              <w:rPr>
                <w:rFonts w:hint="eastAsia" w:ascii="宋体" w:hAnsi="宋体" w:cs="宋体"/>
              </w:rPr>
              <w:t>（1）贯彻国家关于人力资源和社会保障方面的法律法规、规章、政策和北京市的相关规定。研究制定本区人力资源和社会保障管理方面的管理措施。拟订本区人力资源和社会保障事业发展规划，并组织实施和监督检查。（2）负责拟订并组织实施本区人力资源市场发展规划，依法管理人力资源市场，促进人力资源合理流动、有效配置。（3）负责本区促进就业工作，完善公共就业服务体系，落实就业创业及就业援助政策。实行职业资格证书制度相关政策，实施面向劳动者的职业培训制度。贯彻高校毕业生就业政策以及技能人才的培养和激励政策。（4）负责管理辖区养老、失业、工伤保险工作。贯彻社会保险规定。指导本区社会保险经办机构依法开展社会保险具体工作。负责对社会保险基金的收支、管理情况进行监督检查。（5）负责本区机关事业单位人员工资、福利和分配制度改革工作。贯彻机关事业单位工作人员工资、福利、津贴和补贴政策。落实机关企事业单位工作人员工资增长和支付保障机制。执行机关事业单位工作人员离退休政策。（6）负责会同有关部门指导本区事业单位人事制度改革。管理本区专业技术职称工作。贯彻专业技术人员管理和继续教育政策。落实本区事业单位人员和机关工勤人员管理政策。落实博士后管理制度。负责积分落户工作。（7）负责高层次人才选拔、培养和管理服务。负责引进国外智力工作。参与本区人才管理工作。（8）负责承担以区委、区政府名义及各系统表彰、奖励的管理工作。负责中央和北京市级表彰、奖励或授予荣誉称号的区级人选推荐管理工作。负责承办区政府授权管理的人事任免相关事项。(9）负责贯彻劳动关系政策。完善劳动关系协调机制。负责落实企业工资政策。指导本区劳动人事争议调解仲裁工作。组织实施劳动保障监察，依法纠正和查处违反劳动保障法律、法规或者规章的行为，落实各项童工、未成年工和女职工劳动保护政策。（10）按照“管行业必须管安全、管业务必须管安全、管生产经营必须管安全”的要求，承担相关安全生产工作职责。（11）完成区委、区政府交办的其他任务。</w:t>
            </w:r>
          </w:p>
          <w:p>
            <w:pPr>
              <w:widowControl/>
              <w:spacing w:line="240" w:lineRule="atLeast"/>
              <w:rPr>
                <w:rFonts w:ascii="宋体" w:cs="Times New Roman"/>
              </w:rPr>
            </w:pPr>
          </w:p>
        </w:tc>
      </w:tr>
      <w:tr>
        <w:tblPrEx>
          <w:tblCellMar>
            <w:top w:w="0" w:type="dxa"/>
            <w:left w:w="108" w:type="dxa"/>
            <w:bottom w:w="0" w:type="dxa"/>
            <w:right w:w="108" w:type="dxa"/>
          </w:tblCellMar>
        </w:tblPrEx>
        <w:trPr>
          <w:trHeight w:val="2987" w:hRule="exact"/>
        </w:trPr>
        <w:tc>
          <w:tcPr>
            <w:tcW w:w="12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宋体" w:cs="Times New Roman"/>
                <w:kern w:val="0"/>
              </w:rPr>
            </w:pPr>
            <w:r>
              <w:rPr>
                <w:rFonts w:hint="eastAsia" w:ascii="宋体" w:hAnsi="宋体" w:cs="宋体"/>
                <w:kern w:val="0"/>
              </w:rPr>
              <w:t>部门（单位）绩效目标</w:t>
            </w:r>
          </w:p>
        </w:tc>
        <w:tc>
          <w:tcPr>
            <w:tcW w:w="7938" w:type="dxa"/>
            <w:gridSpan w:val="3"/>
            <w:tcBorders>
              <w:top w:val="single" w:color="auto" w:sz="4" w:space="0"/>
              <w:left w:val="nil"/>
              <w:bottom w:val="single" w:color="auto" w:sz="4" w:space="0"/>
              <w:right w:val="single" w:color="auto" w:sz="4" w:space="0"/>
            </w:tcBorders>
            <w:vAlign w:val="center"/>
          </w:tcPr>
          <w:p>
            <w:pPr>
              <w:widowControl/>
              <w:spacing w:line="240" w:lineRule="atLeast"/>
              <w:ind w:firstLine="420" w:firstLineChars="200"/>
              <w:rPr>
                <w:rFonts w:ascii="宋体" w:hAnsi="宋体" w:cs="宋体"/>
                <w:sz w:val="15"/>
                <w:szCs w:val="15"/>
              </w:rPr>
            </w:pPr>
            <w:r>
              <w:rPr>
                <w:rFonts w:hint="eastAsia" w:ascii="宋体" w:hAnsi="宋体" w:cs="宋体"/>
              </w:rPr>
              <w:t>坚持以习近平新时代中国特色社会主义思想为指导，全面贯彻党的十九大和十九届二中、三中、四中全会精神，深入贯彻习近平总书记对北京重要讲话精神，不断增强“四个意识”，坚定“四个自信”，做到“两个维护”，紧扣全面建成小康社会目标任务，坚持稳中求进工作总基调，紧紧围绕“四个中心”功能建设，履行好“四个服务”职能。深入践行“红墙意识”，坚持以人民为中心的发展思想，把稳就业作为重中之重，统筹推进社会保障、人才人事、劳动关系等工作，着力促改革、惠民生、防风险、保稳定，努力在推动首都新发展中走在前</w:t>
            </w:r>
            <w:bookmarkStart w:id="6" w:name="_GoBack"/>
            <w:bookmarkEnd w:id="6"/>
            <w:r>
              <w:rPr>
                <w:rFonts w:hint="eastAsia" w:ascii="宋体" w:hAnsi="宋体" w:cs="宋体"/>
              </w:rPr>
              <w:t>列、做出示范，为全面建成小康社会和</w:t>
            </w:r>
            <w:r>
              <w:rPr>
                <w:rFonts w:hint="eastAsia" w:ascii="宋体" w:hAnsi="宋体" w:cs="宋体"/>
                <w:lang w:eastAsia="zh-CN"/>
              </w:rPr>
              <w:t>“</w:t>
            </w:r>
            <w:r>
              <w:rPr>
                <w:rFonts w:hint="eastAsia" w:ascii="宋体" w:hAnsi="宋体" w:cs="宋体"/>
              </w:rPr>
              <w:t>十三五规划</w:t>
            </w:r>
            <w:r>
              <w:rPr>
                <w:rFonts w:hint="eastAsia" w:ascii="宋体" w:hAnsi="宋体" w:cs="宋体"/>
                <w:lang w:eastAsia="zh-CN"/>
              </w:rPr>
              <w:t>”</w:t>
            </w:r>
            <w:r>
              <w:rPr>
                <w:rFonts w:hint="eastAsia" w:ascii="宋体" w:hAnsi="宋体" w:cs="宋体"/>
              </w:rPr>
              <w:t>圆满收官做出积极贡献。</w:t>
            </w:r>
          </w:p>
        </w:tc>
      </w:tr>
    </w:tbl>
    <w:p>
      <w:pPr>
        <w:widowControl/>
        <w:spacing w:before="100" w:beforeAutospacing="1" w:after="100" w:afterAutospacing="1" w:line="312" w:lineRule="auto"/>
        <w:rPr>
          <w:rFonts w:ascii="仿宋_GB2312" w:hAnsi="Times New Roman" w:cs="Times New Roman"/>
          <w:kern w:val="0"/>
          <w:sz w:val="20"/>
          <w:szCs w:val="20"/>
        </w:rPr>
        <w:sectPr>
          <w:pgSz w:w="11907" w:h="16840"/>
          <w:pgMar w:top="1077" w:right="1304" w:bottom="851" w:left="1304" w:header="851" w:footer="992" w:gutter="0"/>
          <w:cols w:space="425" w:num="1"/>
          <w:docGrid w:linePitch="312" w:charSpace="0"/>
        </w:sectPr>
      </w:pPr>
    </w:p>
    <w:tbl>
      <w:tblPr>
        <w:tblStyle w:val="6"/>
        <w:tblW w:w="5403" w:type="pct"/>
        <w:tblInd w:w="2" w:type="dxa"/>
        <w:tblLayout w:type="autofit"/>
        <w:tblCellMar>
          <w:top w:w="0" w:type="dxa"/>
          <w:left w:w="108" w:type="dxa"/>
          <w:bottom w:w="0" w:type="dxa"/>
          <w:right w:w="108" w:type="dxa"/>
        </w:tblCellMar>
      </w:tblPr>
      <w:tblGrid>
        <w:gridCol w:w="616"/>
        <w:gridCol w:w="1085"/>
        <w:gridCol w:w="1753"/>
        <w:gridCol w:w="1069"/>
        <w:gridCol w:w="1795"/>
        <w:gridCol w:w="2897"/>
      </w:tblGrid>
      <w:tr>
        <w:tblPrEx>
          <w:tblCellMar>
            <w:top w:w="0" w:type="dxa"/>
            <w:left w:w="108" w:type="dxa"/>
            <w:bottom w:w="0" w:type="dxa"/>
            <w:right w:w="108" w:type="dxa"/>
          </w:tblCellMar>
        </w:tblPrEx>
        <w:trPr>
          <w:trHeight w:val="360" w:hRule="atLeast"/>
        </w:trPr>
        <w:tc>
          <w:tcPr>
            <w:tcW w:w="334" w:type="pct"/>
            <w:vMerge w:val="restart"/>
            <w:tcBorders>
              <w:top w:val="single" w:color="auto" w:sz="4" w:space="0"/>
              <w:left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sz w:val="20"/>
                <w:szCs w:val="20"/>
              </w:rPr>
            </w:pPr>
            <w:r>
              <w:rPr>
                <w:rFonts w:hint="eastAsia" w:ascii="仿宋_GB2312" w:hAnsi="宋体" w:cs="宋体"/>
                <w:kern w:val="0"/>
                <w:sz w:val="20"/>
                <w:szCs w:val="20"/>
              </w:rPr>
              <w:t>绩效指标</w:t>
            </w:r>
          </w:p>
        </w:tc>
        <w:tc>
          <w:tcPr>
            <w:tcW w:w="589" w:type="pct"/>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r>
              <w:rPr>
                <w:rFonts w:hint="eastAsia" w:ascii="仿宋_GB2312" w:hAnsi="宋体" w:cs="宋体"/>
                <w:kern w:val="0"/>
              </w:rPr>
              <w:t>一级指标</w:t>
            </w:r>
          </w:p>
        </w:tc>
        <w:tc>
          <w:tcPr>
            <w:tcW w:w="951" w:type="pct"/>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r>
              <w:rPr>
                <w:rFonts w:hint="eastAsia" w:ascii="仿宋_GB2312" w:hAnsi="宋体" w:cs="宋体"/>
                <w:kern w:val="0"/>
              </w:rPr>
              <w:t>二级指标</w:t>
            </w:r>
          </w:p>
        </w:tc>
        <w:tc>
          <w:tcPr>
            <w:tcW w:w="3126" w:type="pct"/>
            <w:gridSpan w:val="3"/>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r>
              <w:rPr>
                <w:rFonts w:hint="eastAsia" w:ascii="仿宋_GB2312" w:hAnsi="宋体" w:cs="宋体"/>
                <w:kern w:val="0"/>
              </w:rPr>
              <w:t>具体指标（指标内容、指标值）</w:t>
            </w:r>
          </w:p>
        </w:tc>
      </w:tr>
      <w:tr>
        <w:tblPrEx>
          <w:tblCellMar>
            <w:top w:w="0" w:type="dxa"/>
            <w:left w:w="108" w:type="dxa"/>
            <w:bottom w:w="0" w:type="dxa"/>
            <w:right w:w="108" w:type="dxa"/>
          </w:tblCellMar>
        </w:tblPrEx>
        <w:trPr>
          <w:trHeight w:val="2001" w:hRule="exact"/>
        </w:trPr>
        <w:tc>
          <w:tcPr>
            <w:tcW w:w="334" w:type="pct"/>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sz w:val="20"/>
                <w:szCs w:val="20"/>
              </w:rPr>
            </w:pPr>
          </w:p>
        </w:tc>
        <w:tc>
          <w:tcPr>
            <w:tcW w:w="589" w:type="pct"/>
            <w:vMerge w:val="restar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r>
              <w:rPr>
                <w:rFonts w:hint="eastAsia" w:ascii="仿宋_GB2312" w:hAnsi="宋体" w:cs="宋体"/>
                <w:kern w:val="0"/>
              </w:rPr>
              <w:t>产出指标</w:t>
            </w:r>
          </w:p>
        </w:tc>
        <w:tc>
          <w:tcPr>
            <w:tcW w:w="951" w:type="pc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宋体" w:hAnsi="宋体" w:cs="宋体"/>
                <w:kern w:val="0"/>
              </w:rPr>
            </w:pPr>
            <w:r>
              <w:rPr>
                <w:rFonts w:hint="eastAsia" w:ascii="宋体" w:hAnsi="宋体" w:cs="宋体"/>
                <w:kern w:val="0"/>
              </w:rPr>
              <w:t>产出数量指标</w:t>
            </w:r>
          </w:p>
        </w:tc>
        <w:tc>
          <w:tcPr>
            <w:tcW w:w="3126" w:type="pct"/>
            <w:gridSpan w:val="3"/>
            <w:tcBorders>
              <w:top w:val="single" w:color="auto" w:sz="4" w:space="0"/>
              <w:left w:val="nil"/>
              <w:right w:val="single" w:color="auto" w:sz="4" w:space="0"/>
            </w:tcBorders>
          </w:tcPr>
          <w:p>
            <w:pPr>
              <w:widowControl/>
              <w:spacing w:line="240" w:lineRule="atLeast"/>
              <w:rPr>
                <w:rFonts w:ascii="宋体" w:cs="Times New Roman"/>
              </w:rPr>
            </w:pPr>
            <w:r>
              <w:rPr>
                <w:rFonts w:hint="eastAsia" w:ascii="宋体" w:hAnsi="宋体" w:cs="宋体"/>
              </w:rPr>
              <w:t>全年承担的市政府考核区政府</w:t>
            </w:r>
            <w:r>
              <w:rPr>
                <w:rFonts w:ascii="宋体" w:hAnsi="宋体" w:cs="宋体"/>
              </w:rPr>
              <w:t>2</w:t>
            </w:r>
            <w:r>
              <w:rPr>
                <w:rFonts w:hint="eastAsia" w:ascii="宋体" w:hAnsi="宋体" w:cs="宋体"/>
              </w:rPr>
              <w:t>项折子任务、市人社局考核我局的</w:t>
            </w:r>
            <w:r>
              <w:rPr>
                <w:rFonts w:ascii="宋体" w:hAnsi="宋体" w:cs="宋体"/>
              </w:rPr>
              <w:t>154</w:t>
            </w:r>
            <w:r>
              <w:rPr>
                <w:rFonts w:hint="eastAsia" w:ascii="宋体" w:hAnsi="宋体" w:cs="宋体"/>
              </w:rPr>
              <w:t>项折子任务、区政府考核的</w:t>
            </w:r>
            <w:r>
              <w:rPr>
                <w:rFonts w:ascii="宋体" w:hAnsi="宋体" w:cs="宋体"/>
              </w:rPr>
              <w:t>10</w:t>
            </w:r>
            <w:r>
              <w:rPr>
                <w:rFonts w:hint="eastAsia" w:ascii="宋体" w:hAnsi="宋体" w:cs="宋体"/>
              </w:rPr>
              <w:t>项重点工作。</w:t>
            </w:r>
            <w:r>
              <w:rPr>
                <w:rFonts w:ascii="宋体" w:hAnsi="宋体" w:cs="宋体"/>
              </w:rPr>
              <w:t>1.</w:t>
            </w:r>
            <w:r>
              <w:rPr>
                <w:rFonts w:hint="eastAsia" w:ascii="宋体" w:hAnsi="宋体" w:cs="宋体"/>
              </w:rPr>
              <w:t>坚决推进“疏解整治促提升”专项行动</w:t>
            </w:r>
            <w:r>
              <w:rPr>
                <w:rFonts w:ascii="宋体" w:cs="宋体"/>
              </w:rPr>
              <w:t>,</w:t>
            </w:r>
            <w:r>
              <w:rPr>
                <w:rFonts w:hint="eastAsia" w:ascii="宋体" w:hAnsi="宋体" w:cs="宋体"/>
              </w:rPr>
              <w:t>确保</w:t>
            </w:r>
            <w:r>
              <w:rPr>
                <w:rFonts w:ascii="宋体" w:hAnsi="宋体" w:cs="宋体"/>
              </w:rPr>
              <w:t>100%</w:t>
            </w:r>
            <w:r>
              <w:rPr>
                <w:rFonts w:hint="eastAsia" w:ascii="宋体" w:hAnsi="宋体" w:cs="宋体"/>
              </w:rPr>
              <w:t>完成指标任务；</w:t>
            </w:r>
            <w:r>
              <w:rPr>
                <w:rFonts w:ascii="宋体" w:hAnsi="宋体" w:cs="宋体"/>
              </w:rPr>
              <w:t>2.</w:t>
            </w:r>
            <w:r>
              <w:rPr>
                <w:rFonts w:hint="eastAsia" w:ascii="宋体" w:hAnsi="宋体" w:cs="宋体"/>
              </w:rPr>
              <w:t>完成本市农村劳动力转移就业任务。确保城镇登记失业率控制在1.5%以内，就业困难人员实现就业10000人以上，完成本市农村劳动力转移就业任务750人。</w:t>
            </w:r>
          </w:p>
          <w:p>
            <w:pPr>
              <w:widowControl/>
              <w:spacing w:line="240" w:lineRule="atLeast"/>
              <w:rPr>
                <w:rFonts w:ascii="宋体" w:cs="Times New Roman"/>
              </w:rPr>
            </w:pPr>
          </w:p>
        </w:tc>
      </w:tr>
      <w:tr>
        <w:tblPrEx>
          <w:tblCellMar>
            <w:top w:w="0" w:type="dxa"/>
            <w:left w:w="108" w:type="dxa"/>
            <w:bottom w:w="0" w:type="dxa"/>
            <w:right w:w="108" w:type="dxa"/>
          </w:tblCellMar>
        </w:tblPrEx>
        <w:trPr>
          <w:trHeight w:val="3248" w:hRule="exact"/>
        </w:trPr>
        <w:tc>
          <w:tcPr>
            <w:tcW w:w="334" w:type="pct"/>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sz w:val="20"/>
                <w:szCs w:val="20"/>
              </w:rPr>
            </w:pPr>
          </w:p>
        </w:tc>
        <w:tc>
          <w:tcPr>
            <w:tcW w:w="589" w:type="pct"/>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p>
        </w:tc>
        <w:tc>
          <w:tcPr>
            <w:tcW w:w="951" w:type="pc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宋体" w:hAnsi="宋体" w:cs="宋体"/>
                <w:kern w:val="0"/>
              </w:rPr>
            </w:pPr>
            <w:r>
              <w:rPr>
                <w:rFonts w:hint="eastAsia" w:ascii="宋体" w:hAnsi="宋体" w:cs="宋体"/>
                <w:kern w:val="0"/>
              </w:rPr>
              <w:t>产出质量指标</w:t>
            </w:r>
          </w:p>
        </w:tc>
        <w:tc>
          <w:tcPr>
            <w:tcW w:w="3126" w:type="pct"/>
            <w:gridSpan w:val="3"/>
            <w:tcBorders>
              <w:top w:val="single" w:color="auto" w:sz="4" w:space="0"/>
              <w:left w:val="nil"/>
              <w:right w:val="single" w:color="auto" w:sz="4" w:space="0"/>
            </w:tcBorders>
          </w:tcPr>
          <w:p>
            <w:pPr>
              <w:widowControl/>
              <w:spacing w:line="240" w:lineRule="atLeast"/>
              <w:rPr>
                <w:rFonts w:ascii="宋体" w:cs="Times New Roman"/>
              </w:rPr>
            </w:pPr>
            <w:r>
              <w:rPr>
                <w:rFonts w:hint="eastAsia" w:ascii="宋体" w:hAnsi="宋体" w:cs="宋体"/>
              </w:rPr>
              <w:t>1．全力确保就业局势稳定，研究出台新一轮促进就业政策，精准实施公共就业服务。 2．着力提升社会保障水平，实施全民参保计划，推动建立多层次的社会保障体系，保障基金平稳运行。3．深化人才人事体制机制改革，完成事业单位机构改革任务，研究制定加强西城区人才服务工作的意见。4．保障区域劳动关系和谐稳定，实施辖区和谐劳动关系单位星级评价制度，全力做好“治欠保支”国考迎检任务。5．提升人力社保综合效能，加快建设“网上人社”和“掌上人社”，全力提升12345 “接诉即办”工作水平，编制西城区“十四五”时期人力资源和社会保障事业发展规划。</w:t>
            </w:r>
          </w:p>
        </w:tc>
      </w:tr>
      <w:tr>
        <w:tblPrEx>
          <w:tblCellMar>
            <w:top w:w="0" w:type="dxa"/>
            <w:left w:w="108" w:type="dxa"/>
            <w:bottom w:w="0" w:type="dxa"/>
            <w:right w:w="108" w:type="dxa"/>
          </w:tblCellMar>
        </w:tblPrEx>
        <w:trPr>
          <w:trHeight w:val="995" w:hRule="exact"/>
        </w:trPr>
        <w:tc>
          <w:tcPr>
            <w:tcW w:w="334" w:type="pct"/>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sz w:val="20"/>
                <w:szCs w:val="20"/>
              </w:rPr>
            </w:pPr>
          </w:p>
        </w:tc>
        <w:tc>
          <w:tcPr>
            <w:tcW w:w="589" w:type="pct"/>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p>
        </w:tc>
        <w:tc>
          <w:tcPr>
            <w:tcW w:w="951" w:type="pc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宋体" w:hAnsi="宋体" w:cs="宋体"/>
                <w:kern w:val="0"/>
              </w:rPr>
            </w:pPr>
            <w:r>
              <w:rPr>
                <w:rFonts w:hint="eastAsia" w:ascii="宋体" w:hAnsi="宋体" w:cs="宋体"/>
                <w:kern w:val="0"/>
              </w:rPr>
              <w:t>产出进度指标</w:t>
            </w:r>
          </w:p>
        </w:tc>
        <w:tc>
          <w:tcPr>
            <w:tcW w:w="3126" w:type="pct"/>
            <w:gridSpan w:val="3"/>
            <w:tcBorders>
              <w:top w:val="single" w:color="auto" w:sz="4" w:space="0"/>
              <w:left w:val="nil"/>
              <w:right w:val="single" w:color="auto" w:sz="4" w:space="0"/>
            </w:tcBorders>
          </w:tcPr>
          <w:p>
            <w:pPr>
              <w:widowControl/>
              <w:spacing w:line="240" w:lineRule="atLeast"/>
              <w:rPr>
                <w:rFonts w:ascii="宋体" w:cs="Times New Roman"/>
              </w:rPr>
            </w:pPr>
            <w:r>
              <w:rPr>
                <w:rFonts w:ascii="宋体" w:hAnsi="宋体" w:cs="宋体"/>
              </w:rPr>
              <w:t>1</w:t>
            </w:r>
            <w:r>
              <w:rPr>
                <w:rFonts w:hint="eastAsia" w:ascii="宋体" w:hAnsi="宋体" w:cs="宋体"/>
              </w:rPr>
              <w:t>上半年完成全年项目预算执行任务的</w:t>
            </w:r>
            <w:r>
              <w:rPr>
                <w:rFonts w:ascii="宋体" w:hAnsi="宋体" w:cs="宋体"/>
              </w:rPr>
              <w:t>60%</w:t>
            </w:r>
            <w:r>
              <w:rPr>
                <w:rFonts w:hint="eastAsia" w:ascii="宋体" w:hAnsi="宋体" w:cs="宋体"/>
              </w:rPr>
              <w:t>以上，下半年完成全年预算执行任务。</w:t>
            </w:r>
            <w:r>
              <w:rPr>
                <w:rFonts w:ascii="宋体" w:hAnsi="宋体" w:cs="宋体"/>
              </w:rPr>
              <w:t>2</w:t>
            </w:r>
            <w:r>
              <w:rPr>
                <w:rFonts w:hint="eastAsia" w:ascii="宋体" w:hAnsi="宋体" w:cs="宋体"/>
              </w:rPr>
              <w:t>项目具体进度按相关文件要求完成。</w:t>
            </w:r>
            <w:r>
              <w:rPr>
                <w:rFonts w:ascii="宋体" w:hAnsi="宋体" w:cs="宋体"/>
              </w:rPr>
              <w:t>3</w:t>
            </w:r>
            <w:r>
              <w:rPr>
                <w:rFonts w:hint="eastAsia" w:ascii="宋体" w:hAnsi="宋体" w:cs="宋体"/>
              </w:rPr>
              <w:t>完成区财政局绩效考核的支出进度指标。</w:t>
            </w:r>
          </w:p>
          <w:p>
            <w:pPr>
              <w:widowControl/>
              <w:spacing w:line="240" w:lineRule="atLeast"/>
              <w:rPr>
                <w:rFonts w:ascii="宋体" w:cs="Times New Roman"/>
              </w:rPr>
            </w:pPr>
          </w:p>
        </w:tc>
      </w:tr>
      <w:tr>
        <w:tblPrEx>
          <w:tblCellMar>
            <w:top w:w="0" w:type="dxa"/>
            <w:left w:w="108" w:type="dxa"/>
            <w:bottom w:w="0" w:type="dxa"/>
            <w:right w:w="108" w:type="dxa"/>
          </w:tblCellMar>
        </w:tblPrEx>
        <w:trPr>
          <w:trHeight w:val="975" w:hRule="exact"/>
        </w:trPr>
        <w:tc>
          <w:tcPr>
            <w:tcW w:w="334" w:type="pct"/>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sz w:val="20"/>
                <w:szCs w:val="20"/>
              </w:rPr>
            </w:pPr>
          </w:p>
        </w:tc>
        <w:tc>
          <w:tcPr>
            <w:tcW w:w="589" w:type="pct"/>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p>
        </w:tc>
        <w:tc>
          <w:tcPr>
            <w:tcW w:w="951" w:type="pc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宋体" w:hAnsi="宋体" w:cs="宋体"/>
                <w:kern w:val="0"/>
              </w:rPr>
            </w:pPr>
            <w:r>
              <w:rPr>
                <w:rFonts w:hint="eastAsia" w:ascii="宋体" w:hAnsi="宋体" w:cs="宋体"/>
                <w:kern w:val="0"/>
              </w:rPr>
              <w:t>产出成本指标</w:t>
            </w:r>
          </w:p>
        </w:tc>
        <w:tc>
          <w:tcPr>
            <w:tcW w:w="3126" w:type="pct"/>
            <w:gridSpan w:val="3"/>
            <w:tcBorders>
              <w:top w:val="single" w:color="auto" w:sz="4" w:space="0"/>
              <w:left w:val="nil"/>
              <w:right w:val="single" w:color="auto" w:sz="4" w:space="0"/>
            </w:tcBorders>
          </w:tcPr>
          <w:p>
            <w:pPr>
              <w:widowControl/>
              <w:spacing w:line="240" w:lineRule="atLeast"/>
              <w:rPr>
                <w:rFonts w:ascii="宋体" w:cs="Times New Roman"/>
              </w:rPr>
            </w:pPr>
            <w:r>
              <w:rPr>
                <w:rFonts w:hint="eastAsia" w:ascii="宋体" w:hAnsi="宋体" w:cs="宋体"/>
              </w:rPr>
              <w:t>严格执行西城区人力资源和社会保障局《内部控制手册》相关制度，并制定相关措施，各项支出控制在预算范围内，重点控制三公经费的增长率</w:t>
            </w:r>
          </w:p>
        </w:tc>
      </w:tr>
      <w:tr>
        <w:tblPrEx>
          <w:tblCellMar>
            <w:top w:w="0" w:type="dxa"/>
            <w:left w:w="108" w:type="dxa"/>
            <w:bottom w:w="0" w:type="dxa"/>
            <w:right w:w="108" w:type="dxa"/>
          </w:tblCellMar>
        </w:tblPrEx>
        <w:trPr>
          <w:trHeight w:val="308" w:hRule="exact"/>
        </w:trPr>
        <w:tc>
          <w:tcPr>
            <w:tcW w:w="334" w:type="pct"/>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sz w:val="20"/>
                <w:szCs w:val="20"/>
              </w:rPr>
            </w:pPr>
          </w:p>
        </w:tc>
        <w:tc>
          <w:tcPr>
            <w:tcW w:w="589" w:type="pct"/>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p>
        </w:tc>
        <w:tc>
          <w:tcPr>
            <w:tcW w:w="951" w:type="pct"/>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ascii="宋体" w:hAnsi="宋体" w:cs="宋体"/>
                <w:kern w:val="0"/>
              </w:rPr>
            </w:pPr>
            <w:r>
              <w:rPr>
                <w:rFonts w:hint="eastAsia" w:ascii="宋体" w:hAnsi="宋体" w:cs="宋体"/>
                <w:kern w:val="0"/>
              </w:rPr>
              <w:t>…</w:t>
            </w:r>
          </w:p>
        </w:tc>
        <w:tc>
          <w:tcPr>
            <w:tcW w:w="3126" w:type="pct"/>
            <w:gridSpan w:val="3"/>
            <w:tcBorders>
              <w:top w:val="single" w:color="auto" w:sz="4" w:space="0"/>
              <w:left w:val="nil"/>
              <w:bottom w:val="single" w:color="auto" w:sz="4" w:space="0"/>
              <w:right w:val="single" w:color="auto" w:sz="4" w:space="0"/>
            </w:tcBorders>
          </w:tcPr>
          <w:p>
            <w:pPr>
              <w:widowControl/>
              <w:spacing w:before="100" w:beforeAutospacing="1" w:after="100" w:afterAutospacing="1" w:line="312" w:lineRule="auto"/>
              <w:rPr>
                <w:rFonts w:ascii="仿宋_GB2312" w:hAnsi="Times New Roman" w:cs="Times New Roman"/>
                <w:kern w:val="0"/>
              </w:rPr>
            </w:pPr>
          </w:p>
        </w:tc>
      </w:tr>
      <w:tr>
        <w:tblPrEx>
          <w:tblCellMar>
            <w:top w:w="0" w:type="dxa"/>
            <w:left w:w="108" w:type="dxa"/>
            <w:bottom w:w="0" w:type="dxa"/>
            <w:right w:w="108" w:type="dxa"/>
          </w:tblCellMar>
        </w:tblPrEx>
        <w:trPr>
          <w:trHeight w:val="374" w:hRule="exact"/>
        </w:trPr>
        <w:tc>
          <w:tcPr>
            <w:tcW w:w="334" w:type="pct"/>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sz w:val="20"/>
                <w:szCs w:val="20"/>
              </w:rPr>
            </w:pPr>
          </w:p>
        </w:tc>
        <w:tc>
          <w:tcPr>
            <w:tcW w:w="589" w:type="pct"/>
            <w:vMerge w:val="restar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宋体" w:cs="Times New Roman"/>
                <w:kern w:val="0"/>
              </w:rPr>
            </w:pPr>
            <w:r>
              <w:rPr>
                <w:rFonts w:hint="eastAsia" w:ascii="仿宋_GB2312" w:hAnsi="宋体" w:cs="宋体"/>
                <w:kern w:val="0"/>
              </w:rPr>
              <w:t>效果指标</w:t>
            </w:r>
          </w:p>
          <w:p>
            <w:pPr>
              <w:widowControl/>
              <w:spacing w:before="100" w:beforeAutospacing="1" w:after="100" w:afterAutospacing="1" w:line="312" w:lineRule="auto"/>
              <w:rPr>
                <w:rFonts w:ascii="仿宋_GB2312" w:hAnsi="Times New Roman" w:cs="Times New Roman"/>
                <w:kern w:val="0"/>
              </w:rPr>
            </w:pPr>
          </w:p>
        </w:tc>
        <w:tc>
          <w:tcPr>
            <w:tcW w:w="951" w:type="pc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宋体" w:hAnsi="宋体" w:cs="宋体"/>
                <w:kern w:val="0"/>
              </w:rPr>
            </w:pPr>
            <w:r>
              <w:rPr>
                <w:rFonts w:hint="eastAsia" w:ascii="宋体" w:hAnsi="宋体" w:cs="宋体"/>
                <w:kern w:val="0"/>
              </w:rPr>
              <w:t>经济效益指标</w:t>
            </w:r>
          </w:p>
        </w:tc>
        <w:tc>
          <w:tcPr>
            <w:tcW w:w="3126" w:type="pct"/>
            <w:gridSpan w:val="3"/>
            <w:tcBorders>
              <w:top w:val="single" w:color="auto" w:sz="4" w:space="0"/>
              <w:left w:val="nil"/>
              <w:right w:val="single" w:color="auto" w:sz="4" w:space="0"/>
            </w:tcBorders>
          </w:tcPr>
          <w:p>
            <w:pPr>
              <w:widowControl/>
              <w:spacing w:line="240" w:lineRule="atLeast"/>
              <w:rPr>
                <w:rFonts w:ascii="宋体" w:cs="Times New Roman"/>
              </w:rPr>
            </w:pPr>
            <w:r>
              <w:rPr>
                <w:rFonts w:hint="eastAsia" w:ascii="宋体" w:hAnsi="宋体" w:cs="宋体"/>
              </w:rPr>
              <w:t>优化营商环境，助力稳定吸引税源。</w:t>
            </w:r>
          </w:p>
        </w:tc>
      </w:tr>
      <w:tr>
        <w:tblPrEx>
          <w:tblCellMar>
            <w:top w:w="0" w:type="dxa"/>
            <w:left w:w="108" w:type="dxa"/>
            <w:bottom w:w="0" w:type="dxa"/>
            <w:right w:w="108" w:type="dxa"/>
          </w:tblCellMar>
        </w:tblPrEx>
        <w:trPr>
          <w:trHeight w:val="983" w:hRule="exact"/>
        </w:trPr>
        <w:tc>
          <w:tcPr>
            <w:tcW w:w="334" w:type="pct"/>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sz w:val="20"/>
                <w:szCs w:val="20"/>
              </w:rPr>
            </w:pPr>
          </w:p>
        </w:tc>
        <w:tc>
          <w:tcPr>
            <w:tcW w:w="589" w:type="pct"/>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p>
        </w:tc>
        <w:tc>
          <w:tcPr>
            <w:tcW w:w="951" w:type="pc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宋体" w:hAnsi="宋体" w:cs="宋体"/>
                <w:kern w:val="0"/>
              </w:rPr>
            </w:pPr>
            <w:r>
              <w:rPr>
                <w:rFonts w:hint="eastAsia" w:ascii="宋体" w:hAnsi="宋体" w:cs="宋体"/>
                <w:kern w:val="0"/>
              </w:rPr>
              <w:t>社会效益指标</w:t>
            </w:r>
          </w:p>
        </w:tc>
        <w:tc>
          <w:tcPr>
            <w:tcW w:w="3126" w:type="pct"/>
            <w:gridSpan w:val="3"/>
            <w:tcBorders>
              <w:top w:val="single" w:color="auto" w:sz="4" w:space="0"/>
              <w:left w:val="nil"/>
              <w:right w:val="single" w:color="auto" w:sz="4" w:space="0"/>
            </w:tcBorders>
          </w:tcPr>
          <w:p>
            <w:pPr>
              <w:widowControl/>
              <w:spacing w:line="240" w:lineRule="atLeast"/>
              <w:rPr>
                <w:rFonts w:ascii="宋体" w:cs="Times New Roman"/>
              </w:rPr>
            </w:pPr>
            <w:r>
              <w:rPr>
                <w:rFonts w:ascii="宋体" w:hAnsi="宋体" w:cs="宋体"/>
              </w:rPr>
              <w:t>1</w:t>
            </w:r>
            <w:r>
              <w:rPr>
                <w:rFonts w:hint="eastAsia" w:ascii="宋体" w:hAnsi="宋体" w:cs="宋体"/>
              </w:rPr>
              <w:t>、全区就业形势保持稳定</w:t>
            </w:r>
            <w:r>
              <w:rPr>
                <w:rFonts w:ascii="宋体" w:hAnsi="宋体" w:cs="宋体"/>
              </w:rPr>
              <w:t>2</w:t>
            </w:r>
            <w:r>
              <w:rPr>
                <w:rFonts w:hint="eastAsia" w:ascii="宋体" w:hAnsi="宋体" w:cs="宋体"/>
              </w:rPr>
              <w:t>、织密扎牢社会保障安全网</w:t>
            </w:r>
            <w:r>
              <w:rPr>
                <w:rFonts w:ascii="宋体" w:hAnsi="宋体" w:cs="宋体"/>
              </w:rPr>
              <w:t>3</w:t>
            </w:r>
            <w:r>
              <w:rPr>
                <w:rFonts w:hint="eastAsia" w:ascii="宋体" w:hAnsi="宋体" w:cs="宋体"/>
              </w:rPr>
              <w:t>、全力维护劳动关系和谐稳定</w:t>
            </w:r>
            <w:r>
              <w:rPr>
                <w:rFonts w:ascii="宋体" w:hAnsi="宋体" w:cs="宋体"/>
              </w:rPr>
              <w:t>4</w:t>
            </w:r>
            <w:r>
              <w:rPr>
                <w:rFonts w:hint="eastAsia" w:ascii="宋体" w:hAnsi="宋体" w:cs="宋体"/>
              </w:rPr>
              <w:t>提升核心区发展品质</w:t>
            </w:r>
            <w:r>
              <w:rPr>
                <w:rFonts w:ascii="宋体" w:hAnsi="宋体" w:cs="宋体"/>
              </w:rPr>
              <w:t>5</w:t>
            </w:r>
            <w:r>
              <w:rPr>
                <w:rFonts w:hint="eastAsia" w:ascii="宋体" w:hAnsi="宋体" w:cs="宋体"/>
              </w:rPr>
              <w:t>、增强群众获得感</w:t>
            </w:r>
          </w:p>
          <w:p>
            <w:pPr>
              <w:widowControl/>
              <w:spacing w:line="240" w:lineRule="atLeast"/>
              <w:rPr>
                <w:rFonts w:ascii="宋体" w:cs="Times New Roman"/>
              </w:rPr>
            </w:pPr>
          </w:p>
        </w:tc>
      </w:tr>
      <w:tr>
        <w:tblPrEx>
          <w:tblCellMar>
            <w:top w:w="0" w:type="dxa"/>
            <w:left w:w="108" w:type="dxa"/>
            <w:bottom w:w="0" w:type="dxa"/>
            <w:right w:w="108" w:type="dxa"/>
          </w:tblCellMar>
        </w:tblPrEx>
        <w:trPr>
          <w:trHeight w:val="315" w:hRule="exact"/>
        </w:trPr>
        <w:tc>
          <w:tcPr>
            <w:tcW w:w="334" w:type="pct"/>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sz w:val="20"/>
                <w:szCs w:val="20"/>
              </w:rPr>
            </w:pPr>
          </w:p>
        </w:tc>
        <w:tc>
          <w:tcPr>
            <w:tcW w:w="589" w:type="pct"/>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p>
        </w:tc>
        <w:tc>
          <w:tcPr>
            <w:tcW w:w="951" w:type="pc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宋体" w:hAnsi="宋体" w:cs="宋体"/>
                <w:kern w:val="0"/>
              </w:rPr>
            </w:pPr>
            <w:r>
              <w:rPr>
                <w:rFonts w:hint="eastAsia" w:ascii="宋体" w:hAnsi="宋体" w:cs="宋体"/>
                <w:kern w:val="0"/>
              </w:rPr>
              <w:t>环境效益指标</w:t>
            </w:r>
          </w:p>
        </w:tc>
        <w:tc>
          <w:tcPr>
            <w:tcW w:w="3126" w:type="pct"/>
            <w:gridSpan w:val="3"/>
            <w:tcBorders>
              <w:top w:val="single" w:color="auto" w:sz="4" w:space="0"/>
              <w:left w:val="nil"/>
              <w:right w:val="single" w:color="auto" w:sz="4" w:space="0"/>
            </w:tcBorders>
          </w:tcPr>
          <w:p>
            <w:pPr>
              <w:widowControl/>
              <w:spacing w:line="240" w:lineRule="atLeast"/>
              <w:rPr>
                <w:rFonts w:ascii="宋体" w:cs="Times New Roman"/>
              </w:rPr>
            </w:pPr>
            <w:r>
              <w:rPr>
                <w:rFonts w:hint="eastAsia" w:ascii="宋体" w:hAnsi="宋体" w:cs="宋体"/>
              </w:rPr>
              <w:t>不可估算</w:t>
            </w:r>
          </w:p>
        </w:tc>
      </w:tr>
      <w:tr>
        <w:tblPrEx>
          <w:tblCellMar>
            <w:top w:w="0" w:type="dxa"/>
            <w:left w:w="108" w:type="dxa"/>
            <w:bottom w:w="0" w:type="dxa"/>
            <w:right w:w="108" w:type="dxa"/>
          </w:tblCellMar>
        </w:tblPrEx>
        <w:trPr>
          <w:trHeight w:val="1576" w:hRule="exact"/>
        </w:trPr>
        <w:tc>
          <w:tcPr>
            <w:tcW w:w="334" w:type="pct"/>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sz w:val="20"/>
                <w:szCs w:val="20"/>
              </w:rPr>
            </w:pPr>
          </w:p>
        </w:tc>
        <w:tc>
          <w:tcPr>
            <w:tcW w:w="589" w:type="pct"/>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p>
        </w:tc>
        <w:tc>
          <w:tcPr>
            <w:tcW w:w="951" w:type="pc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r>
              <w:rPr>
                <w:rFonts w:hint="eastAsia" w:ascii="仿宋_GB2312" w:hAnsi="宋体" w:cs="宋体"/>
                <w:kern w:val="0"/>
              </w:rPr>
              <w:t>可持续影响指标</w:t>
            </w:r>
          </w:p>
        </w:tc>
        <w:tc>
          <w:tcPr>
            <w:tcW w:w="3126" w:type="pct"/>
            <w:gridSpan w:val="3"/>
            <w:tcBorders>
              <w:top w:val="single" w:color="auto" w:sz="4" w:space="0"/>
              <w:left w:val="nil"/>
              <w:right w:val="single" w:color="auto" w:sz="4" w:space="0"/>
            </w:tcBorders>
          </w:tcPr>
          <w:p>
            <w:pPr>
              <w:widowControl/>
              <w:spacing w:line="240" w:lineRule="atLeast"/>
              <w:rPr>
                <w:rFonts w:ascii="宋体" w:cs="Times New Roman"/>
              </w:rPr>
            </w:pPr>
            <w:r>
              <w:rPr>
                <w:rFonts w:hint="eastAsia" w:ascii="宋体" w:hAnsi="宋体" w:cs="宋体"/>
              </w:rPr>
              <w:t>持续深化体制机制改革，为区域经济社会持续健康发展提供体制机制保障。连续创建北京市充分就业区，年末城镇登记失业率保持低位运行，确保</w:t>
            </w:r>
            <w:r>
              <w:rPr>
                <w:rFonts w:ascii="宋体" w:hAnsi="宋体" w:cs="宋体"/>
              </w:rPr>
              <w:t>800</w:t>
            </w:r>
            <w:r>
              <w:rPr>
                <w:rFonts w:hint="eastAsia" w:ascii="宋体" w:hAnsi="宋体" w:cs="宋体"/>
              </w:rPr>
              <w:t>余亿社会保险基金安全运行，区域劳动关系保持和谐稳定，人才服务工作从数量、质量实现突破，群众福祉不断增强。</w:t>
            </w:r>
          </w:p>
          <w:p>
            <w:pPr>
              <w:widowControl/>
              <w:spacing w:before="100" w:beforeAutospacing="1" w:after="100" w:afterAutospacing="1" w:line="312" w:lineRule="auto"/>
              <w:rPr>
                <w:rFonts w:ascii="宋体" w:cs="Times New Roman"/>
              </w:rPr>
            </w:pPr>
          </w:p>
          <w:p>
            <w:pPr>
              <w:widowControl/>
              <w:spacing w:before="100" w:beforeAutospacing="1" w:after="100" w:afterAutospacing="1" w:line="312" w:lineRule="auto"/>
              <w:rPr>
                <w:rFonts w:ascii="宋体" w:cs="Times New Roman"/>
              </w:rPr>
            </w:pPr>
          </w:p>
          <w:p>
            <w:pPr>
              <w:widowControl/>
              <w:spacing w:before="100" w:beforeAutospacing="1" w:after="100" w:afterAutospacing="1" w:line="312" w:lineRule="auto"/>
              <w:rPr>
                <w:rFonts w:ascii="宋体" w:cs="Times New Roman"/>
              </w:rPr>
            </w:pPr>
            <w:r>
              <w:rPr>
                <w:rFonts w:hint="eastAsia" w:ascii="宋体" w:hAnsi="宋体" w:cs="宋体"/>
              </w:rPr>
              <w:t>连续创建北京市充分就业区，年末城镇登记失业率保持低位运行，确保</w:t>
            </w:r>
            <w:r>
              <w:rPr>
                <w:rFonts w:ascii="宋体" w:hAnsi="宋体" w:cs="宋体"/>
              </w:rPr>
              <w:t>800</w:t>
            </w:r>
            <w:r>
              <w:rPr>
                <w:rFonts w:hint="eastAsia" w:ascii="宋体" w:hAnsi="宋体" w:cs="宋体"/>
              </w:rPr>
              <w:t>余亿社会保险基金安全运行，区域劳动关系保持和谐稳定，人才服务工作从数量、质量实现突破，群众福祉不断增强。</w:t>
            </w:r>
          </w:p>
          <w:p>
            <w:pPr>
              <w:widowControl/>
              <w:spacing w:before="100" w:beforeAutospacing="1" w:after="100" w:afterAutospacing="1" w:line="312" w:lineRule="auto"/>
              <w:rPr>
                <w:rFonts w:ascii="宋体" w:cs="Times New Roman"/>
              </w:rPr>
            </w:pPr>
          </w:p>
        </w:tc>
      </w:tr>
      <w:tr>
        <w:tblPrEx>
          <w:tblCellMar>
            <w:top w:w="0" w:type="dxa"/>
            <w:left w:w="108" w:type="dxa"/>
            <w:bottom w:w="0" w:type="dxa"/>
            <w:right w:w="108" w:type="dxa"/>
          </w:tblCellMar>
        </w:tblPrEx>
        <w:trPr>
          <w:trHeight w:val="706" w:hRule="exact"/>
        </w:trPr>
        <w:tc>
          <w:tcPr>
            <w:tcW w:w="334" w:type="pct"/>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sz w:val="20"/>
                <w:szCs w:val="20"/>
              </w:rPr>
            </w:pPr>
          </w:p>
        </w:tc>
        <w:tc>
          <w:tcPr>
            <w:tcW w:w="589" w:type="pct"/>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p>
        </w:tc>
        <w:tc>
          <w:tcPr>
            <w:tcW w:w="951" w:type="pc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r>
              <w:rPr>
                <w:rFonts w:hint="eastAsia" w:ascii="仿宋_GB2312" w:hAnsi="宋体" w:cs="宋体"/>
                <w:kern w:val="0"/>
              </w:rPr>
              <w:t>服务对象满意度指标</w:t>
            </w:r>
          </w:p>
        </w:tc>
        <w:tc>
          <w:tcPr>
            <w:tcW w:w="3126" w:type="pct"/>
            <w:gridSpan w:val="3"/>
            <w:tcBorders>
              <w:top w:val="single" w:color="auto" w:sz="4" w:space="0"/>
              <w:left w:val="nil"/>
              <w:right w:val="single" w:color="auto" w:sz="4" w:space="0"/>
            </w:tcBorders>
          </w:tcPr>
          <w:p>
            <w:pPr>
              <w:widowControl/>
              <w:spacing w:line="240" w:lineRule="atLeast"/>
              <w:rPr>
                <w:rFonts w:ascii="宋体" w:cs="Times New Roman"/>
              </w:rPr>
            </w:pPr>
            <w:r>
              <w:rPr>
                <w:rFonts w:hint="eastAsia" w:ascii="宋体" w:hAnsi="宋体" w:cs="宋体"/>
              </w:rPr>
              <w:t>通过服务型政府的建设</w:t>
            </w:r>
            <w:r>
              <w:rPr>
                <w:rFonts w:ascii="宋体" w:cs="宋体"/>
              </w:rPr>
              <w:t>,</w:t>
            </w:r>
            <w:r>
              <w:rPr>
                <w:rFonts w:hint="eastAsia" w:ascii="宋体" w:hAnsi="宋体" w:cs="宋体"/>
              </w:rPr>
              <w:t>服务辖区内企业，对部门服务满意度比例达到</w:t>
            </w:r>
            <w:r>
              <w:rPr>
                <w:rFonts w:ascii="宋体" w:hAnsi="宋体" w:cs="宋体"/>
              </w:rPr>
              <w:t>100%</w:t>
            </w:r>
            <w:r>
              <w:rPr>
                <w:rFonts w:hint="eastAsia" w:ascii="宋体" w:hAnsi="宋体" w:cs="宋体"/>
              </w:rPr>
              <w:t>。</w:t>
            </w:r>
          </w:p>
        </w:tc>
      </w:tr>
      <w:tr>
        <w:tblPrEx>
          <w:tblCellMar>
            <w:top w:w="0" w:type="dxa"/>
            <w:left w:w="108" w:type="dxa"/>
            <w:bottom w:w="0" w:type="dxa"/>
            <w:right w:w="108" w:type="dxa"/>
          </w:tblCellMar>
        </w:tblPrEx>
        <w:trPr>
          <w:trHeight w:val="296" w:hRule="exact"/>
        </w:trPr>
        <w:tc>
          <w:tcPr>
            <w:tcW w:w="334" w:type="pct"/>
            <w:vMerge w:val="continue"/>
            <w:tcBorders>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sz w:val="20"/>
                <w:szCs w:val="20"/>
              </w:rPr>
            </w:pPr>
          </w:p>
        </w:tc>
        <w:tc>
          <w:tcPr>
            <w:tcW w:w="589" w:type="pct"/>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p>
        </w:tc>
        <w:tc>
          <w:tcPr>
            <w:tcW w:w="951" w:type="pct"/>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r>
              <w:rPr>
                <w:rFonts w:hint="eastAsia" w:ascii="仿宋_GB2312" w:hAnsi="宋体" w:cs="宋体"/>
                <w:kern w:val="0"/>
              </w:rPr>
              <w:t>…</w:t>
            </w:r>
          </w:p>
        </w:tc>
        <w:tc>
          <w:tcPr>
            <w:tcW w:w="3126" w:type="pct"/>
            <w:gridSpan w:val="3"/>
            <w:tcBorders>
              <w:top w:val="single" w:color="auto" w:sz="4" w:space="0"/>
              <w:left w:val="nil"/>
              <w:bottom w:val="single" w:color="auto" w:sz="4" w:space="0"/>
              <w:right w:val="single" w:color="auto" w:sz="4" w:space="0"/>
            </w:tcBorders>
          </w:tcPr>
          <w:p>
            <w:pPr>
              <w:widowControl/>
              <w:spacing w:before="100" w:beforeAutospacing="1" w:after="100" w:afterAutospacing="1" w:line="312" w:lineRule="auto"/>
              <w:rPr>
                <w:rFonts w:ascii="宋体" w:cs="Times New Roman"/>
              </w:rPr>
            </w:pPr>
          </w:p>
        </w:tc>
      </w:tr>
      <w:tr>
        <w:tblPrEx>
          <w:tblCellMar>
            <w:top w:w="0" w:type="dxa"/>
            <w:left w:w="108" w:type="dxa"/>
            <w:bottom w:w="0" w:type="dxa"/>
            <w:right w:w="108" w:type="dxa"/>
          </w:tblCellMar>
        </w:tblPrEx>
        <w:trPr>
          <w:trHeight w:val="405" w:hRule="exact"/>
        </w:trPr>
        <w:tc>
          <w:tcPr>
            <w:tcW w:w="334" w:type="pc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sz w:val="20"/>
                <w:szCs w:val="20"/>
              </w:rPr>
            </w:pPr>
            <w:r>
              <w:rPr>
                <w:rFonts w:hint="eastAsia" w:ascii="仿宋_GB2312" w:hAnsi="宋体" w:cs="宋体"/>
                <w:kern w:val="0"/>
                <w:sz w:val="20"/>
                <w:szCs w:val="20"/>
              </w:rPr>
              <w:t>其他说明的问题</w:t>
            </w:r>
          </w:p>
        </w:tc>
        <w:tc>
          <w:tcPr>
            <w:tcW w:w="4666" w:type="pct"/>
            <w:gridSpan w:val="5"/>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r>
              <w:rPr>
                <w:rFonts w:hint="eastAsia" w:ascii="仿宋_GB2312" w:hAnsi="Times New Roman" w:cs="宋体"/>
                <w:kern w:val="0"/>
              </w:rPr>
              <w:t>无</w:t>
            </w:r>
          </w:p>
        </w:tc>
      </w:tr>
      <w:tr>
        <w:tblPrEx>
          <w:tblCellMar>
            <w:top w:w="0" w:type="dxa"/>
            <w:left w:w="108" w:type="dxa"/>
            <w:bottom w:w="0" w:type="dxa"/>
            <w:right w:w="108" w:type="dxa"/>
          </w:tblCellMar>
        </w:tblPrEx>
        <w:trPr>
          <w:trHeight w:val="629" w:hRule="atLeast"/>
        </w:trPr>
        <w:tc>
          <w:tcPr>
            <w:tcW w:w="334" w:type="pc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sz w:val="20"/>
                <w:szCs w:val="20"/>
              </w:rPr>
            </w:pPr>
            <w:r>
              <w:rPr>
                <w:rFonts w:hint="eastAsia" w:ascii="仿宋_GB2312" w:hAnsi="宋体" w:cs="宋体"/>
                <w:kern w:val="0"/>
                <w:sz w:val="20"/>
                <w:szCs w:val="20"/>
              </w:rPr>
              <w:t>填报人：</w:t>
            </w:r>
          </w:p>
        </w:tc>
        <w:tc>
          <w:tcPr>
            <w:tcW w:w="1540" w:type="pct"/>
            <w:gridSpan w:val="2"/>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r>
              <w:rPr>
                <w:rFonts w:hint="eastAsia" w:ascii="仿宋_GB2312" w:hAnsi="Times New Roman" w:cs="宋体"/>
                <w:kern w:val="0"/>
              </w:rPr>
              <w:t>于冬梅</w:t>
            </w:r>
          </w:p>
        </w:tc>
        <w:tc>
          <w:tcPr>
            <w:tcW w:w="580" w:type="pct"/>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r>
              <w:rPr>
                <w:rFonts w:hint="eastAsia" w:ascii="仿宋_GB2312" w:hAnsi="宋体" w:cs="宋体"/>
                <w:kern w:val="0"/>
              </w:rPr>
              <w:t>联系电话</w:t>
            </w:r>
          </w:p>
        </w:tc>
        <w:tc>
          <w:tcPr>
            <w:tcW w:w="974" w:type="pct"/>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仿宋_GB2312"/>
                <w:kern w:val="0"/>
              </w:rPr>
            </w:pPr>
            <w:r>
              <w:rPr>
                <w:rFonts w:ascii="仿宋_GB2312" w:hAnsi="Times New Roman" w:cs="仿宋_GB2312"/>
                <w:kern w:val="0"/>
              </w:rPr>
              <w:t>66206023</w:t>
            </w:r>
          </w:p>
        </w:tc>
        <w:tc>
          <w:tcPr>
            <w:tcW w:w="1572" w:type="pct"/>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r>
              <w:rPr>
                <w:rFonts w:hint="eastAsia" w:ascii="仿宋_GB2312" w:hAnsi="宋体" w:cs="宋体"/>
                <w:kern w:val="0"/>
              </w:rPr>
              <w:t>填报日期：</w:t>
            </w:r>
            <w:r>
              <w:rPr>
                <w:rFonts w:ascii="仿宋_GB2312" w:hAnsi="宋体" w:cs="仿宋_GB2312"/>
                <w:kern w:val="0"/>
              </w:rPr>
              <w:t>201</w:t>
            </w:r>
            <w:r>
              <w:rPr>
                <w:rFonts w:hint="eastAsia" w:ascii="仿宋_GB2312" w:hAnsi="宋体" w:cs="仿宋_GB2312"/>
                <w:kern w:val="0"/>
              </w:rPr>
              <w:t>9</w:t>
            </w:r>
            <w:r>
              <w:rPr>
                <w:rFonts w:ascii="仿宋_GB2312" w:hAnsi="宋体" w:cs="仿宋_GB2312"/>
                <w:kern w:val="0"/>
              </w:rPr>
              <w:t>.9.30</w:t>
            </w:r>
          </w:p>
        </w:tc>
      </w:tr>
    </w:tbl>
    <w:p>
      <w:pPr>
        <w:spacing w:line="360" w:lineRule="auto"/>
        <w:rPr>
          <w:rFonts w:ascii="仿宋_GB2312" w:hAnsi="Times New Roman" w:eastAsia="仿宋_GB2312" w:cs="Times New Roman"/>
          <w:sz w:val="32"/>
          <w:szCs w:val="32"/>
        </w:rPr>
      </w:pPr>
    </w:p>
    <w:p>
      <w:pPr>
        <w:widowControl/>
        <w:rPr>
          <w:rFonts w:ascii="宋体" w:cs="Times New Roman"/>
          <w:color w:val="000000"/>
          <w:kern w:val="0"/>
          <w:sz w:val="28"/>
          <w:szCs w:val="28"/>
        </w:rPr>
      </w:pPr>
      <w:r>
        <w:rPr>
          <w:rFonts w:hint="eastAsia" w:ascii="宋体" w:hAnsi="宋体" w:cs="宋体"/>
          <w:color w:val="000000"/>
          <w:kern w:val="0"/>
          <w:sz w:val="28"/>
          <w:szCs w:val="28"/>
        </w:rPr>
        <w:t>表十二：</w:t>
      </w:r>
    </w:p>
    <w:p>
      <w:pPr>
        <w:widowControl/>
        <w:jc w:val="center"/>
        <w:rPr>
          <w:rFonts w:ascii="宋体" w:cs="Times New Roman"/>
          <w:color w:val="000000"/>
          <w:kern w:val="0"/>
          <w:sz w:val="44"/>
          <w:szCs w:val="44"/>
        </w:rPr>
      </w:pPr>
      <w:r>
        <w:rPr>
          <w:rFonts w:hint="eastAsia" w:ascii="宋体" w:hAnsi="宋体" w:cs="宋体"/>
          <w:color w:val="000000"/>
          <w:kern w:val="0"/>
          <w:sz w:val="44"/>
          <w:szCs w:val="44"/>
        </w:rPr>
        <w:t>北京市西城区人力资源和社会保障局</w:t>
      </w:r>
    </w:p>
    <w:p>
      <w:pPr>
        <w:widowControl/>
        <w:jc w:val="center"/>
        <w:rPr>
          <w:rFonts w:ascii="宋体" w:cs="Times New Roman"/>
          <w:color w:val="000000"/>
          <w:kern w:val="0"/>
          <w:sz w:val="44"/>
          <w:szCs w:val="44"/>
        </w:rPr>
      </w:pPr>
      <w:r>
        <w:rPr>
          <w:rFonts w:hint="eastAsia" w:ascii="宋体" w:hAnsi="宋体" w:cs="宋体"/>
          <w:color w:val="000000"/>
          <w:kern w:val="0"/>
          <w:sz w:val="44"/>
          <w:szCs w:val="44"/>
        </w:rPr>
        <w:t>项目支出绩效目标申报表目录</w:t>
      </w:r>
    </w:p>
    <w:tbl>
      <w:tblPr>
        <w:tblStyle w:val="6"/>
        <w:tblW w:w="8240" w:type="dxa"/>
        <w:tblInd w:w="93" w:type="dxa"/>
        <w:tblLayout w:type="autofit"/>
        <w:tblCellMar>
          <w:top w:w="0" w:type="dxa"/>
          <w:left w:w="108" w:type="dxa"/>
          <w:bottom w:w="0" w:type="dxa"/>
          <w:right w:w="108" w:type="dxa"/>
        </w:tblCellMar>
      </w:tblPr>
      <w:tblGrid>
        <w:gridCol w:w="1200"/>
        <w:gridCol w:w="3640"/>
        <w:gridCol w:w="1900"/>
        <w:gridCol w:w="1500"/>
      </w:tblGrid>
      <w:tr>
        <w:tblPrEx>
          <w:tblCellMar>
            <w:top w:w="0" w:type="dxa"/>
            <w:left w:w="108" w:type="dxa"/>
            <w:bottom w:w="0" w:type="dxa"/>
            <w:right w:w="108" w:type="dxa"/>
          </w:tblCellMar>
        </w:tblPrEx>
        <w:trPr>
          <w:trHeight w:val="885" w:hRule="atLeast"/>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8"/>
                <w:szCs w:val="28"/>
              </w:rPr>
            </w:pPr>
            <w:r>
              <w:rPr>
                <w:rFonts w:hint="eastAsia" w:ascii="宋体" w:hAnsi="宋体" w:cs="Arial"/>
                <w:color w:val="000000"/>
                <w:kern w:val="0"/>
                <w:sz w:val="28"/>
                <w:szCs w:val="28"/>
              </w:rPr>
              <w:t>编号</w:t>
            </w:r>
          </w:p>
        </w:tc>
        <w:tc>
          <w:tcPr>
            <w:tcW w:w="3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8"/>
                <w:szCs w:val="28"/>
              </w:rPr>
            </w:pPr>
            <w:r>
              <w:rPr>
                <w:rFonts w:hint="eastAsia" w:ascii="宋体" w:hAnsi="宋体" w:cs="Arial"/>
                <w:color w:val="000000"/>
                <w:kern w:val="0"/>
                <w:sz w:val="28"/>
                <w:szCs w:val="28"/>
              </w:rPr>
              <w:t>项目名称</w:t>
            </w:r>
          </w:p>
        </w:tc>
        <w:tc>
          <w:tcPr>
            <w:tcW w:w="1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8"/>
                <w:szCs w:val="28"/>
              </w:rPr>
            </w:pPr>
            <w:r>
              <w:rPr>
                <w:rFonts w:hint="eastAsia" w:ascii="宋体" w:hAnsi="宋体" w:cs="Arial"/>
                <w:color w:val="000000"/>
                <w:kern w:val="0"/>
                <w:sz w:val="28"/>
                <w:szCs w:val="28"/>
              </w:rPr>
              <w:t>预算金额（元）</w:t>
            </w:r>
          </w:p>
        </w:tc>
        <w:tc>
          <w:tcPr>
            <w:tcW w:w="15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8"/>
                <w:szCs w:val="28"/>
              </w:rPr>
            </w:pPr>
            <w:r>
              <w:rPr>
                <w:rFonts w:hint="eastAsia" w:ascii="宋体" w:hAnsi="宋体" w:cs="Arial"/>
                <w:color w:val="000000"/>
                <w:kern w:val="0"/>
                <w:sz w:val="28"/>
                <w:szCs w:val="28"/>
              </w:rPr>
              <w:t>备注</w:t>
            </w:r>
          </w:p>
        </w:tc>
      </w:tr>
      <w:tr>
        <w:tblPrEx>
          <w:tblCellMar>
            <w:top w:w="0" w:type="dxa"/>
            <w:left w:w="108" w:type="dxa"/>
            <w:bottom w:w="0" w:type="dxa"/>
            <w:right w:w="108" w:type="dxa"/>
          </w:tblCellMar>
        </w:tblPrEx>
        <w:trPr>
          <w:trHeight w:val="88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1</w:t>
            </w:r>
          </w:p>
        </w:tc>
        <w:tc>
          <w:tcPr>
            <w:tcW w:w="3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城乡无社会保障老年居民养老保障支出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83,748,300.00</w:t>
            </w:r>
          </w:p>
        </w:tc>
        <w:tc>
          <w:tcPr>
            <w:tcW w:w="15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88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2</w:t>
            </w:r>
          </w:p>
        </w:tc>
        <w:tc>
          <w:tcPr>
            <w:tcW w:w="3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城乡居民基本养老保险支出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28,666,800.00</w:t>
            </w:r>
          </w:p>
        </w:tc>
        <w:tc>
          <w:tcPr>
            <w:tcW w:w="15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88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3</w:t>
            </w:r>
          </w:p>
        </w:tc>
        <w:tc>
          <w:tcPr>
            <w:tcW w:w="3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区县离休干部生活补贴支出</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17,223,301.00</w:t>
            </w:r>
          </w:p>
        </w:tc>
        <w:tc>
          <w:tcPr>
            <w:tcW w:w="15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88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4</w:t>
            </w:r>
          </w:p>
        </w:tc>
        <w:tc>
          <w:tcPr>
            <w:tcW w:w="3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就业专项补贴资金</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10,060,000.00</w:t>
            </w:r>
          </w:p>
        </w:tc>
        <w:tc>
          <w:tcPr>
            <w:tcW w:w="15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88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5</w:t>
            </w:r>
          </w:p>
        </w:tc>
        <w:tc>
          <w:tcPr>
            <w:tcW w:w="3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办公大厦物业管理费</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4,899,789.60</w:t>
            </w:r>
          </w:p>
        </w:tc>
        <w:tc>
          <w:tcPr>
            <w:tcW w:w="15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88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6</w:t>
            </w:r>
          </w:p>
        </w:tc>
        <w:tc>
          <w:tcPr>
            <w:tcW w:w="3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职业技能培训补贴</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4,266,850.00</w:t>
            </w:r>
          </w:p>
        </w:tc>
        <w:tc>
          <w:tcPr>
            <w:tcW w:w="15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88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7</w:t>
            </w:r>
          </w:p>
        </w:tc>
        <w:tc>
          <w:tcPr>
            <w:tcW w:w="3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就业大厦装修二期</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3,780,000.00</w:t>
            </w:r>
          </w:p>
        </w:tc>
        <w:tc>
          <w:tcPr>
            <w:tcW w:w="15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88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8</w:t>
            </w:r>
          </w:p>
        </w:tc>
        <w:tc>
          <w:tcPr>
            <w:tcW w:w="3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魏染胡同办公场所装修尾款</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2,426,671.00</w:t>
            </w:r>
          </w:p>
        </w:tc>
        <w:tc>
          <w:tcPr>
            <w:tcW w:w="15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88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9</w:t>
            </w:r>
          </w:p>
        </w:tc>
        <w:tc>
          <w:tcPr>
            <w:tcW w:w="36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机关、事业单位退休人员活动经费</w:t>
            </w:r>
          </w:p>
        </w:tc>
        <w:tc>
          <w:tcPr>
            <w:tcW w:w="190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1,850,000.00</w:t>
            </w:r>
          </w:p>
        </w:tc>
        <w:tc>
          <w:tcPr>
            <w:tcW w:w="150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88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10</w:t>
            </w:r>
          </w:p>
        </w:tc>
        <w:tc>
          <w:tcPr>
            <w:tcW w:w="36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小后仓9号楼地下室档案库装修</w:t>
            </w:r>
          </w:p>
        </w:tc>
        <w:tc>
          <w:tcPr>
            <w:tcW w:w="190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1,629,509.56</w:t>
            </w:r>
          </w:p>
        </w:tc>
        <w:tc>
          <w:tcPr>
            <w:tcW w:w="150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885" w:hRule="atLeast"/>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11</w:t>
            </w:r>
          </w:p>
        </w:tc>
        <w:tc>
          <w:tcPr>
            <w:tcW w:w="3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企业退休人员服务经费</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1,201,770.00</w:t>
            </w:r>
          </w:p>
        </w:tc>
        <w:tc>
          <w:tcPr>
            <w:tcW w:w="15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88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12</w:t>
            </w:r>
          </w:p>
        </w:tc>
        <w:tc>
          <w:tcPr>
            <w:tcW w:w="36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仲裁工作经费</w:t>
            </w:r>
          </w:p>
        </w:tc>
        <w:tc>
          <w:tcPr>
            <w:tcW w:w="190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1,130,000.00</w:t>
            </w:r>
          </w:p>
        </w:tc>
        <w:tc>
          <w:tcPr>
            <w:tcW w:w="150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885" w:hRule="atLeast"/>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13</w:t>
            </w:r>
          </w:p>
        </w:tc>
        <w:tc>
          <w:tcPr>
            <w:tcW w:w="36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档案库租赁费</w:t>
            </w:r>
          </w:p>
        </w:tc>
        <w:tc>
          <w:tcPr>
            <w:tcW w:w="190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1,104,385.00</w:t>
            </w:r>
          </w:p>
        </w:tc>
        <w:tc>
          <w:tcPr>
            <w:tcW w:w="150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885"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14</w:t>
            </w:r>
          </w:p>
        </w:tc>
        <w:tc>
          <w:tcPr>
            <w:tcW w:w="3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流动人员人事档案本地平台网络安全设备购置及测评费</w:t>
            </w:r>
          </w:p>
        </w:tc>
        <w:tc>
          <w:tcPr>
            <w:tcW w:w="1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1,095,816.00</w:t>
            </w:r>
          </w:p>
        </w:tc>
        <w:tc>
          <w:tcPr>
            <w:tcW w:w="15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bl>
    <w:p>
      <w:pPr>
        <w:widowControl/>
        <w:jc w:val="center"/>
        <w:rPr>
          <w:rFonts w:ascii="宋体" w:cs="Times New Roman"/>
          <w:kern w:val="0"/>
          <w:sz w:val="44"/>
          <w:szCs w:val="44"/>
        </w:rPr>
      </w:pPr>
    </w:p>
    <w:p>
      <w:pPr>
        <w:widowControl/>
        <w:jc w:val="center"/>
        <w:rPr>
          <w:rFonts w:ascii="宋体" w:cs="Times New Roman"/>
          <w:color w:val="000000"/>
          <w:kern w:val="0"/>
          <w:sz w:val="44"/>
          <w:szCs w:val="44"/>
        </w:rPr>
      </w:pPr>
    </w:p>
    <w:p>
      <w:pPr>
        <w:rPr>
          <w:rFonts w:ascii="宋体" w:cs="Times New Roman"/>
          <w:sz w:val="44"/>
          <w:szCs w:val="44"/>
        </w:rPr>
      </w:pPr>
    </w:p>
    <w:p>
      <w:pPr>
        <w:tabs>
          <w:tab w:val="left" w:pos="1680"/>
        </w:tabs>
        <w:rPr>
          <w:rFonts w:ascii="宋体" w:cs="Times New Roman"/>
          <w:sz w:val="44"/>
          <w:szCs w:val="44"/>
        </w:rPr>
      </w:pPr>
      <w:r>
        <w:rPr>
          <w:rFonts w:ascii="宋体" w:cs="Times New Roman"/>
          <w:sz w:val="44"/>
          <w:szCs w:val="44"/>
        </w:rPr>
        <w:tab/>
      </w:r>
    </w:p>
    <w:p>
      <w:pPr>
        <w:rPr>
          <w:rFonts w:ascii="宋体" w:cs="Times New Roman"/>
          <w:sz w:val="44"/>
          <w:szCs w:val="44"/>
        </w:rPr>
      </w:pPr>
    </w:p>
    <w:p>
      <w:pPr>
        <w:rPr>
          <w:rFonts w:ascii="宋体" w:cs="Times New Roman"/>
          <w:sz w:val="44"/>
          <w:szCs w:val="44"/>
        </w:rPr>
        <w:sectPr>
          <w:pgSz w:w="11906" w:h="16838"/>
          <w:pgMar w:top="1440" w:right="1797" w:bottom="1440" w:left="1797" w:header="851" w:footer="992" w:gutter="0"/>
          <w:cols w:space="425" w:num="1"/>
          <w:docGrid w:type="linesAndChars" w:linePitch="312" w:charSpace="0"/>
        </w:sectPr>
      </w:pPr>
    </w:p>
    <w:p>
      <w:pPr>
        <w:widowControl/>
        <w:jc w:val="left"/>
        <w:rPr>
          <w:rFonts w:ascii="宋体" w:hAnsi="宋体" w:cs="宋体"/>
          <w:color w:val="000000"/>
          <w:kern w:val="0"/>
          <w:sz w:val="24"/>
          <w:szCs w:val="24"/>
        </w:rPr>
      </w:pPr>
      <w:r>
        <w:rPr>
          <w:rFonts w:hint="eastAsia" w:ascii="宋体" w:hAnsi="宋体" w:cs="宋体"/>
          <w:color w:val="000000"/>
          <w:kern w:val="0"/>
          <w:sz w:val="24"/>
          <w:szCs w:val="24"/>
        </w:rPr>
        <w:t>表十二</w:t>
      </w:r>
      <w:r>
        <w:rPr>
          <w:rFonts w:ascii="宋体" w:hAnsi="宋体" w:cs="宋体"/>
          <w:color w:val="000000"/>
          <w:kern w:val="0"/>
          <w:sz w:val="24"/>
          <w:szCs w:val="24"/>
        </w:rPr>
        <w:t>-1</w:t>
      </w:r>
      <w:r>
        <w:rPr>
          <w:rFonts w:hint="eastAsia" w:ascii="宋体" w:hAnsi="宋体" w:cs="宋体"/>
          <w:color w:val="000000"/>
          <w:kern w:val="0"/>
          <w:sz w:val="24"/>
          <w:szCs w:val="24"/>
        </w:rPr>
        <w:t>：</w:t>
      </w:r>
    </w:p>
    <w:p>
      <w:pPr>
        <w:widowControl/>
        <w:jc w:val="left"/>
        <w:rPr>
          <w:rFonts w:ascii="宋体" w:hAnsi="宋体" w:cs="宋体"/>
          <w:color w:val="000000"/>
          <w:kern w:val="0"/>
          <w:sz w:val="24"/>
          <w:szCs w:val="24"/>
        </w:rPr>
      </w:pPr>
      <w:r>
        <w:rPr>
          <w:rFonts w:hint="eastAsia"/>
        </w:rPr>
        <w:drawing>
          <wp:inline distT="0" distB="0" distL="0" distR="0">
            <wp:extent cx="5278120" cy="82423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8120" cy="8242498"/>
                    </a:xfrm>
                    <a:prstGeom prst="rect">
                      <a:avLst/>
                    </a:prstGeom>
                    <a:noFill/>
                    <a:ln>
                      <a:noFill/>
                    </a:ln>
                  </pic:spPr>
                </pic:pic>
              </a:graphicData>
            </a:graphic>
          </wp:inline>
        </w:drawing>
      </w: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r>
        <w:rPr>
          <w:rFonts w:hint="eastAsia" w:ascii="宋体" w:hAnsi="宋体" w:cs="宋体"/>
          <w:color w:val="000000"/>
          <w:kern w:val="0"/>
          <w:sz w:val="24"/>
          <w:szCs w:val="24"/>
        </w:rPr>
        <w:t>表十二</w:t>
      </w:r>
      <w:r>
        <w:rPr>
          <w:rFonts w:ascii="宋体" w:hAnsi="宋体" w:cs="宋体"/>
          <w:color w:val="000000"/>
          <w:kern w:val="0"/>
          <w:sz w:val="24"/>
          <w:szCs w:val="24"/>
        </w:rPr>
        <w:t>-2</w:t>
      </w:r>
    </w:p>
    <w:p>
      <w:pPr>
        <w:widowControl/>
        <w:jc w:val="left"/>
        <w:rPr>
          <w:rFonts w:ascii="宋体" w:cs="Times New Roman"/>
          <w:color w:val="000000"/>
          <w:kern w:val="0"/>
          <w:sz w:val="24"/>
          <w:szCs w:val="24"/>
        </w:rPr>
      </w:pPr>
      <w:r>
        <w:drawing>
          <wp:inline distT="0" distB="0" distL="0" distR="0">
            <wp:extent cx="5278120" cy="838644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8120" cy="8386639"/>
                    </a:xfrm>
                    <a:prstGeom prst="rect">
                      <a:avLst/>
                    </a:prstGeom>
                    <a:noFill/>
                    <a:ln>
                      <a:noFill/>
                    </a:ln>
                  </pic:spPr>
                </pic:pic>
              </a:graphicData>
            </a:graphic>
          </wp:inline>
        </w:drawing>
      </w: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r>
        <w:rPr>
          <w:rFonts w:hint="eastAsia" w:ascii="宋体" w:hAnsi="宋体" w:cs="宋体"/>
          <w:color w:val="000000"/>
          <w:kern w:val="0"/>
          <w:sz w:val="24"/>
          <w:szCs w:val="24"/>
        </w:rPr>
        <w:t>表十二</w:t>
      </w:r>
      <w:r>
        <w:rPr>
          <w:rFonts w:ascii="宋体" w:hAnsi="宋体" w:cs="宋体"/>
          <w:color w:val="000000"/>
          <w:kern w:val="0"/>
          <w:sz w:val="24"/>
          <w:szCs w:val="24"/>
        </w:rPr>
        <w:t>-3</w:t>
      </w:r>
    </w:p>
    <w:p>
      <w:pPr>
        <w:widowControl/>
        <w:jc w:val="left"/>
        <w:rPr>
          <w:rFonts w:ascii="宋体" w:cs="Times New Roman"/>
          <w:color w:val="000000"/>
          <w:kern w:val="0"/>
          <w:sz w:val="24"/>
          <w:szCs w:val="24"/>
        </w:rPr>
      </w:pPr>
      <w:r>
        <w:rPr>
          <w:rFonts w:hint="eastAsia"/>
        </w:rPr>
        <w:drawing>
          <wp:inline distT="0" distB="0" distL="0" distR="0">
            <wp:extent cx="5278120" cy="86169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8120" cy="8617288"/>
                    </a:xfrm>
                    <a:prstGeom prst="rect">
                      <a:avLst/>
                    </a:prstGeom>
                    <a:noFill/>
                    <a:ln>
                      <a:noFill/>
                    </a:ln>
                  </pic:spPr>
                </pic:pic>
              </a:graphicData>
            </a:graphic>
          </wp:inline>
        </w:drawing>
      </w:r>
    </w:p>
    <w:p>
      <w:pPr>
        <w:widowControl/>
        <w:jc w:val="left"/>
        <w:rPr>
          <w:rFonts w:ascii="宋体" w:cs="Times New Roman"/>
          <w:color w:val="000000"/>
          <w:kern w:val="0"/>
          <w:sz w:val="24"/>
          <w:szCs w:val="24"/>
        </w:rPr>
      </w:pPr>
      <w:r>
        <w:rPr>
          <w:rFonts w:hint="eastAsia" w:ascii="宋体" w:hAnsi="宋体" w:cs="宋体"/>
          <w:color w:val="000000"/>
          <w:kern w:val="0"/>
          <w:sz w:val="24"/>
          <w:szCs w:val="24"/>
        </w:rPr>
        <w:t>表十二</w:t>
      </w:r>
      <w:r>
        <w:rPr>
          <w:rFonts w:ascii="宋体" w:hAnsi="宋体" w:cs="宋体"/>
          <w:color w:val="000000"/>
          <w:kern w:val="0"/>
          <w:sz w:val="24"/>
          <w:szCs w:val="24"/>
        </w:rPr>
        <w:t>-4</w:t>
      </w:r>
    </w:p>
    <w:p>
      <w:pPr>
        <w:widowControl/>
        <w:jc w:val="left"/>
      </w:pPr>
      <w:r>
        <w:t xml:space="preserve"> </w:t>
      </w:r>
    </w:p>
    <w:p>
      <w:pPr>
        <w:widowControl/>
        <w:jc w:val="left"/>
      </w:pPr>
    </w:p>
    <w:p>
      <w:pPr>
        <w:widowControl/>
        <w:jc w:val="left"/>
      </w:pPr>
    </w:p>
    <w:p>
      <w:pPr>
        <w:widowControl/>
        <w:jc w:val="left"/>
        <w:rPr>
          <w:rFonts w:ascii="宋体" w:hAnsi="宋体" w:cs="宋体"/>
          <w:color w:val="000000"/>
          <w:kern w:val="0"/>
          <w:sz w:val="24"/>
          <w:szCs w:val="24"/>
        </w:rPr>
      </w:pPr>
      <w:r>
        <w:drawing>
          <wp:inline distT="0" distB="0" distL="0" distR="0">
            <wp:extent cx="5278120" cy="6204585"/>
            <wp:effectExtent l="0" t="0" r="0" b="571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8120" cy="6204861"/>
                    </a:xfrm>
                    <a:prstGeom prst="rect">
                      <a:avLst/>
                    </a:prstGeom>
                    <a:noFill/>
                    <a:ln>
                      <a:noFill/>
                    </a:ln>
                  </pic:spPr>
                </pic:pic>
              </a:graphicData>
            </a:graphic>
          </wp:inline>
        </w:drawing>
      </w:r>
      <w:r>
        <w:tab/>
      </w:r>
      <w:r>
        <w:tab/>
      </w:r>
      <w:r>
        <w:tab/>
      </w:r>
      <w:r>
        <w:tab/>
      </w:r>
      <w:r>
        <w:tab/>
      </w:r>
      <w:r>
        <w:tab/>
      </w:r>
      <w:r>
        <w:tab/>
      </w:r>
      <w:r>
        <w:tab/>
      </w:r>
      <w:r>
        <w:rPr>
          <w:rFonts w:ascii="仿宋_GB2312" w:hAnsi="Times New Roman" w:eastAsia="仿宋_GB2312" w:cs="Times New Roman"/>
          <w:b/>
          <w:bCs/>
          <w:sz w:val="36"/>
          <w:szCs w:val="36"/>
        </w:rPr>
        <w:t xml:space="preserve"> </w:t>
      </w:r>
      <w:r>
        <w:rPr>
          <w:rFonts w:ascii="仿宋_GB2312" w:hAnsi="Times New Roman" w:eastAsia="仿宋_GB2312" w:cs="Times New Roman"/>
          <w:b/>
          <w:bCs/>
          <w:sz w:val="36"/>
          <w:szCs w:val="36"/>
        </w:rPr>
        <w:br w:type="page"/>
      </w:r>
      <w:r>
        <w:rPr>
          <w:rFonts w:hint="eastAsia" w:ascii="宋体" w:hAnsi="宋体" w:cs="宋体"/>
          <w:color w:val="000000"/>
          <w:kern w:val="0"/>
          <w:sz w:val="24"/>
          <w:szCs w:val="24"/>
        </w:rPr>
        <w:t>表十二</w:t>
      </w:r>
      <w:r>
        <w:rPr>
          <w:rFonts w:ascii="宋体" w:hAnsi="宋体" w:cs="宋体"/>
          <w:color w:val="000000"/>
          <w:kern w:val="0"/>
          <w:sz w:val="24"/>
          <w:szCs w:val="24"/>
        </w:rPr>
        <w:t>-5</w:t>
      </w: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cs="Times New Roman"/>
          <w:color w:val="000000"/>
          <w:kern w:val="0"/>
          <w:sz w:val="24"/>
          <w:szCs w:val="24"/>
        </w:rPr>
      </w:pPr>
      <w:r>
        <w:drawing>
          <wp:inline distT="0" distB="0" distL="0" distR="0">
            <wp:extent cx="5278120" cy="71894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8120" cy="7189629"/>
                    </a:xfrm>
                    <a:prstGeom prst="rect">
                      <a:avLst/>
                    </a:prstGeom>
                    <a:noFill/>
                    <a:ln>
                      <a:noFill/>
                    </a:ln>
                  </pic:spPr>
                </pic:pic>
              </a:graphicData>
            </a:graphic>
          </wp:inline>
        </w:drawing>
      </w:r>
    </w:p>
    <w:p>
      <w:pPr>
        <w:widowControl/>
        <w:jc w:val="left"/>
        <w:rPr>
          <w:rFonts w:ascii="宋体" w:cs="Times New Roman"/>
          <w:color w:val="000000"/>
          <w:kern w:val="0"/>
          <w:sz w:val="24"/>
          <w:szCs w:val="24"/>
        </w:rPr>
      </w:pPr>
    </w:p>
    <w:p>
      <w:pPr>
        <w:widowControl/>
        <w:jc w:val="left"/>
        <w:rPr>
          <w:rFonts w:ascii="宋体" w:cs="Times New Roman"/>
          <w:color w:val="000000"/>
          <w:kern w:val="0"/>
          <w:sz w:val="24"/>
          <w:szCs w:val="24"/>
        </w:rPr>
      </w:pPr>
    </w:p>
    <w:p>
      <w:pPr>
        <w:widowControl/>
        <w:jc w:val="left"/>
        <w:rPr>
          <w:rFonts w:ascii="宋体" w:cs="Times New Roman"/>
          <w:color w:val="000000"/>
          <w:kern w:val="0"/>
          <w:sz w:val="24"/>
          <w:szCs w:val="24"/>
        </w:rPr>
      </w:pPr>
    </w:p>
    <w:p>
      <w:pPr>
        <w:widowControl/>
        <w:jc w:val="left"/>
        <w:rPr>
          <w:rFonts w:ascii="宋体" w:cs="Times New Roman"/>
          <w:color w:val="000000"/>
          <w:kern w:val="0"/>
          <w:sz w:val="24"/>
          <w:szCs w:val="24"/>
        </w:rPr>
      </w:pPr>
    </w:p>
    <w:p>
      <w:pPr>
        <w:widowControl/>
        <w:jc w:val="left"/>
        <w:rPr>
          <w:rFonts w:ascii="宋体" w:hAnsi="宋体" w:cs="宋体"/>
          <w:kern w:val="0"/>
          <w:sz w:val="24"/>
          <w:szCs w:val="24"/>
        </w:rPr>
      </w:pPr>
      <w:r>
        <w:rPr>
          <w:rFonts w:hint="eastAsia" w:ascii="宋体" w:hAnsi="宋体" w:cs="宋体"/>
          <w:kern w:val="0"/>
          <w:sz w:val="24"/>
          <w:szCs w:val="24"/>
        </w:rPr>
        <w:t>表十二</w:t>
      </w:r>
      <w:r>
        <w:rPr>
          <w:rFonts w:ascii="宋体" w:hAnsi="宋体" w:cs="宋体"/>
          <w:kern w:val="0"/>
          <w:sz w:val="24"/>
          <w:szCs w:val="24"/>
        </w:rPr>
        <w:t xml:space="preserve">-6 </w:t>
      </w:r>
    </w:p>
    <w:p>
      <w:pPr>
        <w:widowControl/>
        <w:jc w:val="left"/>
        <w:rPr>
          <w:rFonts w:ascii="宋体" w:hAnsi="宋体" w:cs="宋体"/>
          <w:kern w:val="0"/>
          <w:sz w:val="24"/>
          <w:szCs w:val="24"/>
        </w:rPr>
      </w:pPr>
    </w:p>
    <w:p>
      <w:pPr>
        <w:widowControl/>
        <w:jc w:val="left"/>
        <w:rPr>
          <w:rFonts w:ascii="宋体" w:cs="Times New Roman"/>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r>
        <w:rPr>
          <w:rFonts w:hint="eastAsia"/>
        </w:rPr>
        <w:drawing>
          <wp:inline distT="0" distB="0" distL="0" distR="0">
            <wp:extent cx="5278120" cy="690499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8120" cy="6905094"/>
                    </a:xfrm>
                    <a:prstGeom prst="rect">
                      <a:avLst/>
                    </a:prstGeom>
                    <a:noFill/>
                    <a:ln>
                      <a:noFill/>
                    </a:ln>
                  </pic:spPr>
                </pic:pic>
              </a:graphicData>
            </a:graphic>
          </wp:inline>
        </w:drawing>
      </w: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r>
        <w:rPr>
          <w:rFonts w:hint="eastAsia" w:ascii="宋体" w:hAnsi="宋体" w:cs="宋体"/>
          <w:color w:val="000000"/>
          <w:kern w:val="0"/>
          <w:sz w:val="24"/>
          <w:szCs w:val="24"/>
        </w:rPr>
        <w:t>表十二</w:t>
      </w:r>
      <w:r>
        <w:rPr>
          <w:rFonts w:ascii="宋体" w:hAnsi="宋体" w:cs="宋体"/>
          <w:color w:val="000000"/>
          <w:kern w:val="0"/>
          <w:sz w:val="24"/>
          <w:szCs w:val="24"/>
        </w:rPr>
        <w:t>-7</w:t>
      </w:r>
    </w:p>
    <w:p>
      <w:pPr>
        <w:widowControl/>
        <w:jc w:val="left"/>
        <w:rPr>
          <w:rFonts w:ascii="宋体" w:cs="Times New Roman"/>
          <w:color w:val="000000"/>
          <w:kern w:val="0"/>
          <w:sz w:val="24"/>
          <w:szCs w:val="24"/>
        </w:rPr>
      </w:pPr>
      <w:r>
        <w:drawing>
          <wp:inline distT="0" distB="0" distL="0" distR="0">
            <wp:extent cx="5278120" cy="832993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8120" cy="8329944"/>
                    </a:xfrm>
                    <a:prstGeom prst="rect">
                      <a:avLst/>
                    </a:prstGeom>
                    <a:noFill/>
                    <a:ln>
                      <a:noFill/>
                    </a:ln>
                  </pic:spPr>
                </pic:pic>
              </a:graphicData>
            </a:graphic>
          </wp:inline>
        </w:drawing>
      </w:r>
    </w:p>
    <w:p>
      <w:pPr>
        <w:widowControl/>
        <w:jc w:val="left"/>
        <w:rPr>
          <w:rFonts w:ascii="宋体" w:cs="Times New Roman"/>
          <w:color w:val="000000"/>
          <w:kern w:val="0"/>
          <w:sz w:val="24"/>
          <w:szCs w:val="24"/>
        </w:rPr>
      </w:pPr>
    </w:p>
    <w:p>
      <w:pPr>
        <w:widowControl/>
        <w:jc w:val="left"/>
        <w:rPr>
          <w:rFonts w:ascii="宋体" w:hAnsi="宋体" w:cs="宋体"/>
          <w:color w:val="000000"/>
          <w:kern w:val="0"/>
          <w:sz w:val="24"/>
          <w:szCs w:val="24"/>
        </w:rPr>
      </w:pPr>
      <w:r>
        <w:rPr>
          <w:rFonts w:hint="eastAsia" w:ascii="宋体" w:hAnsi="宋体" w:cs="宋体"/>
          <w:color w:val="000000"/>
          <w:kern w:val="0"/>
          <w:sz w:val="24"/>
          <w:szCs w:val="24"/>
        </w:rPr>
        <w:t>表十二</w:t>
      </w:r>
      <w:r>
        <w:rPr>
          <w:rFonts w:ascii="宋体" w:hAnsi="宋体" w:cs="宋体"/>
          <w:color w:val="000000"/>
          <w:kern w:val="0"/>
          <w:sz w:val="24"/>
          <w:szCs w:val="24"/>
        </w:rPr>
        <w:t>-8</w:t>
      </w: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cs="Times New Roman"/>
          <w:color w:val="000000"/>
          <w:kern w:val="0"/>
          <w:sz w:val="24"/>
          <w:szCs w:val="24"/>
        </w:rPr>
      </w:pPr>
      <w:r>
        <w:drawing>
          <wp:inline distT="0" distB="0" distL="0" distR="0">
            <wp:extent cx="5278120" cy="562673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78120" cy="5626967"/>
                    </a:xfrm>
                    <a:prstGeom prst="rect">
                      <a:avLst/>
                    </a:prstGeom>
                    <a:noFill/>
                    <a:ln>
                      <a:noFill/>
                    </a:ln>
                  </pic:spPr>
                </pic:pic>
              </a:graphicData>
            </a:graphic>
          </wp:inline>
        </w:drawing>
      </w: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hint="eastAsia"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cs="Times New Roman"/>
          <w:color w:val="000000"/>
          <w:kern w:val="0"/>
          <w:sz w:val="24"/>
          <w:szCs w:val="24"/>
        </w:rPr>
      </w:pPr>
      <w:r>
        <w:rPr>
          <w:rFonts w:hint="eastAsia" w:ascii="宋体" w:hAnsi="宋体" w:cs="宋体"/>
          <w:color w:val="000000"/>
          <w:kern w:val="0"/>
          <w:sz w:val="24"/>
          <w:szCs w:val="24"/>
        </w:rPr>
        <w:t>表十二</w:t>
      </w:r>
      <w:r>
        <w:rPr>
          <w:rFonts w:ascii="宋体" w:hAnsi="宋体" w:cs="宋体"/>
          <w:color w:val="000000"/>
          <w:kern w:val="0"/>
          <w:sz w:val="24"/>
          <w:szCs w:val="24"/>
        </w:rPr>
        <w:t>-9</w:t>
      </w:r>
    </w:p>
    <w:p>
      <w:pPr>
        <w:widowControl/>
        <w:jc w:val="left"/>
        <w:rPr>
          <w:rFonts w:ascii="宋体" w:cs="Times New Roman"/>
          <w:color w:val="000000"/>
          <w:kern w:val="0"/>
          <w:sz w:val="24"/>
          <w:szCs w:val="24"/>
        </w:rPr>
      </w:pPr>
      <w:r>
        <w:drawing>
          <wp:inline distT="0" distB="0" distL="0" distR="0">
            <wp:extent cx="5278120" cy="820420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78120" cy="8204325"/>
                    </a:xfrm>
                    <a:prstGeom prst="rect">
                      <a:avLst/>
                    </a:prstGeom>
                    <a:noFill/>
                    <a:ln>
                      <a:noFill/>
                    </a:ln>
                  </pic:spPr>
                </pic:pic>
              </a:graphicData>
            </a:graphic>
          </wp:inline>
        </w:drawing>
      </w:r>
    </w:p>
    <w:p>
      <w:pPr>
        <w:widowControl/>
        <w:jc w:val="left"/>
        <w:rPr>
          <w:rFonts w:ascii="宋体" w:cs="Times New Roman"/>
          <w:color w:val="000000"/>
          <w:kern w:val="0"/>
          <w:sz w:val="24"/>
          <w:szCs w:val="24"/>
        </w:rPr>
      </w:pPr>
    </w:p>
    <w:p>
      <w:pPr>
        <w:widowControl/>
        <w:jc w:val="left"/>
        <w:rPr>
          <w:rFonts w:ascii="宋体" w:cs="Times New Roman"/>
          <w:color w:val="000000"/>
          <w:kern w:val="0"/>
          <w:sz w:val="24"/>
          <w:szCs w:val="24"/>
        </w:rPr>
      </w:pPr>
    </w:p>
    <w:p>
      <w:pPr>
        <w:widowControl/>
        <w:jc w:val="left"/>
        <w:rPr>
          <w:rFonts w:ascii="宋体" w:hAnsi="宋体" w:cs="宋体"/>
          <w:color w:val="000000"/>
          <w:kern w:val="0"/>
          <w:sz w:val="24"/>
          <w:szCs w:val="24"/>
        </w:rPr>
      </w:pPr>
      <w:r>
        <w:rPr>
          <w:rFonts w:hint="eastAsia" w:ascii="宋体" w:hAnsi="宋体" w:cs="宋体"/>
          <w:color w:val="000000"/>
          <w:kern w:val="0"/>
          <w:sz w:val="24"/>
          <w:szCs w:val="24"/>
        </w:rPr>
        <w:t>表十二</w:t>
      </w:r>
      <w:r>
        <w:rPr>
          <w:rFonts w:ascii="宋体" w:hAnsi="宋体" w:cs="宋体"/>
          <w:color w:val="000000"/>
          <w:kern w:val="0"/>
          <w:sz w:val="24"/>
          <w:szCs w:val="24"/>
        </w:rPr>
        <w:t>-1</w:t>
      </w:r>
      <w:r>
        <w:rPr>
          <w:rFonts w:hint="eastAsia" w:ascii="宋体" w:hAnsi="宋体" w:cs="宋体"/>
          <w:color w:val="000000"/>
          <w:kern w:val="0"/>
          <w:sz w:val="24"/>
          <w:szCs w:val="24"/>
        </w:rPr>
        <w:t>0</w:t>
      </w:r>
    </w:p>
    <w:p>
      <w:pPr>
        <w:widowControl/>
        <w:jc w:val="left"/>
        <w:rPr>
          <w:rFonts w:ascii="宋体" w:cs="Times New Roman"/>
          <w:color w:val="000000"/>
          <w:kern w:val="0"/>
          <w:sz w:val="24"/>
          <w:szCs w:val="24"/>
        </w:rPr>
      </w:pPr>
      <w:r>
        <w:drawing>
          <wp:inline distT="0" distB="0" distL="0" distR="0">
            <wp:extent cx="5278120" cy="709295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278120" cy="7093529"/>
                    </a:xfrm>
                    <a:prstGeom prst="rect">
                      <a:avLst/>
                    </a:prstGeom>
                    <a:noFill/>
                    <a:ln>
                      <a:noFill/>
                    </a:ln>
                  </pic:spPr>
                </pic:pic>
              </a:graphicData>
            </a:graphic>
          </wp:inline>
        </w:drawing>
      </w:r>
    </w:p>
    <w:p>
      <w:pPr>
        <w:widowControl/>
        <w:jc w:val="left"/>
        <w:rPr>
          <w:rFonts w:ascii="宋体" w:cs="Times New Roman"/>
          <w:color w:val="000000"/>
          <w:kern w:val="0"/>
          <w:sz w:val="24"/>
          <w:szCs w:val="24"/>
        </w:rPr>
      </w:pPr>
    </w:p>
    <w:p>
      <w:pPr>
        <w:widowControl/>
        <w:jc w:val="left"/>
        <w:rPr>
          <w:rFonts w:ascii="宋体" w:cs="Times New Roman"/>
          <w:color w:val="000000"/>
          <w:kern w:val="0"/>
          <w:sz w:val="24"/>
          <w:szCs w:val="24"/>
        </w:rPr>
      </w:pPr>
    </w:p>
    <w:p>
      <w:pPr>
        <w:widowControl/>
        <w:jc w:val="left"/>
        <w:rPr>
          <w:rFonts w:ascii="宋体" w:cs="Times New Roman"/>
          <w:color w:val="000000"/>
          <w:kern w:val="0"/>
          <w:sz w:val="24"/>
          <w:szCs w:val="24"/>
        </w:rPr>
      </w:pPr>
    </w:p>
    <w:p>
      <w:pPr>
        <w:widowControl/>
        <w:jc w:val="left"/>
        <w:rPr>
          <w:rFonts w:ascii="宋体" w:cs="Times New Roman"/>
          <w:color w:val="000000"/>
          <w:kern w:val="0"/>
          <w:sz w:val="24"/>
          <w:szCs w:val="24"/>
        </w:rPr>
      </w:pPr>
    </w:p>
    <w:p>
      <w:pPr>
        <w:widowControl/>
        <w:jc w:val="left"/>
        <w:rPr>
          <w:rFonts w:ascii="宋体" w:cs="Times New Roman"/>
          <w:color w:val="000000"/>
          <w:kern w:val="0"/>
          <w:sz w:val="24"/>
          <w:szCs w:val="24"/>
        </w:rPr>
      </w:pPr>
    </w:p>
    <w:p>
      <w:pPr>
        <w:widowControl/>
        <w:jc w:val="left"/>
        <w:rPr>
          <w:rFonts w:ascii="宋体" w:cs="Times New Roman"/>
          <w:color w:val="000000"/>
          <w:kern w:val="0"/>
          <w:sz w:val="24"/>
          <w:szCs w:val="24"/>
        </w:rPr>
      </w:pPr>
    </w:p>
    <w:p>
      <w:pPr>
        <w:widowControl/>
        <w:jc w:val="left"/>
        <w:rPr>
          <w:rFonts w:ascii="宋体" w:cs="Times New Roman"/>
          <w:color w:val="000000"/>
          <w:kern w:val="0"/>
          <w:sz w:val="24"/>
          <w:szCs w:val="24"/>
        </w:rPr>
      </w:pPr>
    </w:p>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表十二</w:t>
      </w:r>
      <w:r>
        <w:rPr>
          <w:rFonts w:ascii="宋体" w:hAnsi="宋体" w:cs="宋体"/>
          <w:color w:val="000000"/>
          <w:kern w:val="0"/>
          <w:sz w:val="24"/>
          <w:szCs w:val="24"/>
        </w:rPr>
        <w:t>-1</w:t>
      </w:r>
      <w:r>
        <w:rPr>
          <w:rFonts w:hint="eastAsia" w:ascii="宋体" w:hAnsi="宋体" w:cs="宋体"/>
          <w:color w:val="000000"/>
          <w:kern w:val="0"/>
          <w:sz w:val="24"/>
          <w:szCs w:val="24"/>
        </w:rPr>
        <w:t>1</w:t>
      </w:r>
    </w:p>
    <w:p>
      <w:pPr>
        <w:widowControl/>
        <w:jc w:val="left"/>
        <w:rPr>
          <w:rFonts w:hint="eastAsia" w:ascii="宋体" w:hAnsi="宋体" w:cs="宋体"/>
          <w:color w:val="000000"/>
          <w:kern w:val="0"/>
          <w:sz w:val="24"/>
          <w:szCs w:val="24"/>
        </w:rPr>
      </w:pPr>
    </w:p>
    <w:p>
      <w:pPr>
        <w:widowControl/>
        <w:jc w:val="left"/>
        <w:rPr>
          <w:rFonts w:hint="eastAsia" w:ascii="宋体" w:hAnsi="宋体" w:cs="宋体"/>
          <w:color w:val="000000"/>
          <w:kern w:val="0"/>
          <w:sz w:val="24"/>
          <w:szCs w:val="24"/>
        </w:rPr>
      </w:pPr>
    </w:p>
    <w:p>
      <w:pPr>
        <w:widowControl/>
        <w:jc w:val="left"/>
        <w:rPr>
          <w:rFonts w:hint="eastAsia" w:ascii="宋体" w:hAnsi="宋体" w:cs="宋体"/>
          <w:color w:val="000000"/>
          <w:kern w:val="0"/>
          <w:sz w:val="24"/>
          <w:szCs w:val="24"/>
        </w:rPr>
      </w:pPr>
    </w:p>
    <w:p>
      <w:pPr>
        <w:widowControl/>
        <w:jc w:val="left"/>
        <w:rPr>
          <w:rFonts w:ascii="宋体" w:cs="Times New Roman"/>
          <w:color w:val="000000"/>
          <w:kern w:val="0"/>
          <w:sz w:val="24"/>
          <w:szCs w:val="24"/>
        </w:rPr>
      </w:pPr>
      <w:r>
        <w:rPr>
          <w:rFonts w:hint="eastAsia"/>
        </w:rPr>
        <w:drawing>
          <wp:inline distT="0" distB="0" distL="0" distR="0">
            <wp:extent cx="5278120" cy="71062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78120" cy="7106669"/>
                    </a:xfrm>
                    <a:prstGeom prst="rect">
                      <a:avLst/>
                    </a:prstGeom>
                    <a:noFill/>
                    <a:ln>
                      <a:noFill/>
                    </a:ln>
                  </pic:spPr>
                </pic:pic>
              </a:graphicData>
            </a:graphic>
          </wp:inline>
        </w:drawing>
      </w:r>
    </w:p>
    <w:p>
      <w:pPr>
        <w:widowControl/>
        <w:jc w:val="left"/>
        <w:rPr>
          <w:rFonts w:hint="eastAsia" w:ascii="宋体" w:hAnsi="宋体" w:cs="宋体"/>
          <w:color w:val="000000"/>
          <w:kern w:val="0"/>
          <w:sz w:val="24"/>
          <w:szCs w:val="24"/>
        </w:rPr>
      </w:pPr>
    </w:p>
    <w:p>
      <w:pPr>
        <w:widowControl/>
        <w:jc w:val="left"/>
        <w:rPr>
          <w:rFonts w:hint="eastAsia" w:ascii="宋体" w:hAnsi="宋体" w:cs="宋体"/>
          <w:color w:val="000000"/>
          <w:kern w:val="0"/>
          <w:sz w:val="24"/>
          <w:szCs w:val="24"/>
        </w:rPr>
      </w:pPr>
    </w:p>
    <w:p>
      <w:pPr>
        <w:widowControl/>
        <w:jc w:val="left"/>
        <w:rPr>
          <w:rFonts w:hint="eastAsia" w:ascii="宋体" w:hAnsi="宋体" w:cs="宋体"/>
          <w:color w:val="000000"/>
          <w:kern w:val="0"/>
          <w:sz w:val="24"/>
          <w:szCs w:val="24"/>
        </w:rPr>
      </w:pPr>
    </w:p>
    <w:p>
      <w:pPr>
        <w:widowControl/>
        <w:jc w:val="left"/>
        <w:rPr>
          <w:rFonts w:hint="eastAsia" w:ascii="宋体" w:hAnsi="宋体" w:cs="宋体"/>
          <w:color w:val="000000"/>
          <w:kern w:val="0"/>
          <w:sz w:val="24"/>
          <w:szCs w:val="24"/>
        </w:rPr>
      </w:pPr>
    </w:p>
    <w:p>
      <w:pPr>
        <w:widowControl/>
        <w:jc w:val="left"/>
        <w:rPr>
          <w:rFonts w:hint="eastAsia" w:ascii="宋体" w:hAnsi="宋体" w:cs="宋体"/>
          <w:color w:val="000000"/>
          <w:kern w:val="0"/>
          <w:sz w:val="24"/>
          <w:szCs w:val="24"/>
        </w:rPr>
      </w:pPr>
    </w:p>
    <w:p>
      <w:pPr>
        <w:widowControl/>
        <w:jc w:val="left"/>
        <w:rPr>
          <w:rFonts w:ascii="宋体" w:hAnsi="宋体" w:cs="宋体"/>
          <w:color w:val="000000"/>
          <w:kern w:val="0"/>
          <w:sz w:val="24"/>
          <w:szCs w:val="24"/>
        </w:rPr>
      </w:pPr>
      <w:r>
        <w:rPr>
          <w:rFonts w:hint="eastAsia" w:ascii="宋体" w:hAnsi="宋体" w:cs="宋体"/>
          <w:color w:val="000000"/>
          <w:kern w:val="0"/>
          <w:sz w:val="24"/>
          <w:szCs w:val="24"/>
        </w:rPr>
        <w:t>表十二</w:t>
      </w:r>
      <w:r>
        <w:rPr>
          <w:rFonts w:ascii="宋体" w:hAnsi="宋体" w:cs="宋体"/>
          <w:color w:val="000000"/>
          <w:kern w:val="0"/>
          <w:sz w:val="24"/>
          <w:szCs w:val="24"/>
        </w:rPr>
        <w:t>-1</w:t>
      </w:r>
      <w:r>
        <w:rPr>
          <w:rFonts w:hint="eastAsia" w:ascii="宋体" w:hAnsi="宋体" w:cs="宋体"/>
          <w:color w:val="000000"/>
          <w:kern w:val="0"/>
          <w:sz w:val="24"/>
          <w:szCs w:val="24"/>
        </w:rPr>
        <w:t>2</w:t>
      </w: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r>
        <w:drawing>
          <wp:inline distT="0" distB="0" distL="0" distR="0">
            <wp:extent cx="5278120" cy="638556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278120" cy="6386137"/>
                    </a:xfrm>
                    <a:prstGeom prst="rect">
                      <a:avLst/>
                    </a:prstGeom>
                    <a:noFill/>
                    <a:ln>
                      <a:noFill/>
                    </a:ln>
                  </pic:spPr>
                </pic:pic>
              </a:graphicData>
            </a:graphic>
          </wp:inline>
        </w:drawing>
      </w: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r>
        <w:rPr>
          <w:rFonts w:hint="eastAsia" w:ascii="宋体" w:hAnsi="宋体" w:cs="宋体"/>
          <w:color w:val="000000"/>
          <w:kern w:val="0"/>
          <w:sz w:val="24"/>
          <w:szCs w:val="24"/>
        </w:rPr>
        <w:t>表十二</w:t>
      </w:r>
      <w:r>
        <w:rPr>
          <w:rFonts w:ascii="宋体" w:hAnsi="宋体" w:cs="宋体"/>
          <w:color w:val="000000"/>
          <w:kern w:val="0"/>
          <w:sz w:val="24"/>
          <w:szCs w:val="24"/>
        </w:rPr>
        <w:t>-1</w:t>
      </w:r>
      <w:r>
        <w:rPr>
          <w:rFonts w:hint="eastAsia" w:ascii="宋体" w:hAnsi="宋体" w:cs="宋体"/>
          <w:color w:val="000000"/>
          <w:kern w:val="0"/>
          <w:sz w:val="24"/>
          <w:szCs w:val="24"/>
        </w:rPr>
        <w:t>3</w:t>
      </w:r>
    </w:p>
    <w:p>
      <w:pPr>
        <w:widowControl/>
        <w:jc w:val="left"/>
        <w:rPr>
          <w:rFonts w:ascii="宋体" w:cs="Times New Roman"/>
          <w:color w:val="000000"/>
          <w:kern w:val="0"/>
          <w:sz w:val="24"/>
          <w:szCs w:val="24"/>
        </w:rPr>
      </w:pPr>
      <w:r>
        <w:drawing>
          <wp:inline distT="0" distB="0" distL="0" distR="0">
            <wp:extent cx="5278120" cy="7101840"/>
            <wp:effectExtent l="0" t="0" r="0" b="381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78120" cy="7102160"/>
                    </a:xfrm>
                    <a:prstGeom prst="rect">
                      <a:avLst/>
                    </a:prstGeom>
                    <a:noFill/>
                    <a:ln>
                      <a:noFill/>
                    </a:ln>
                  </pic:spPr>
                </pic:pic>
              </a:graphicData>
            </a:graphic>
          </wp:inline>
        </w:drawing>
      </w:r>
    </w:p>
    <w:p>
      <w:pPr>
        <w:widowControl/>
        <w:jc w:val="left"/>
        <w:rPr>
          <w:rFonts w:ascii="宋体" w:cs="Times New Roman"/>
          <w:color w:val="000000"/>
          <w:kern w:val="0"/>
          <w:sz w:val="24"/>
          <w:szCs w:val="24"/>
        </w:rPr>
      </w:pPr>
    </w:p>
    <w:p>
      <w:pPr>
        <w:widowControl/>
        <w:jc w:val="left"/>
        <w:rPr>
          <w:rFonts w:ascii="宋体" w:cs="Times New Roman"/>
          <w:color w:val="000000"/>
          <w:kern w:val="0"/>
          <w:sz w:val="24"/>
          <w:szCs w:val="24"/>
        </w:rPr>
      </w:pPr>
    </w:p>
    <w:p>
      <w:pPr>
        <w:widowControl/>
        <w:jc w:val="left"/>
        <w:rPr>
          <w:rFonts w:ascii="宋体" w:cs="Times New Roman"/>
          <w:color w:val="000000"/>
          <w:kern w:val="0"/>
          <w:sz w:val="24"/>
          <w:szCs w:val="24"/>
        </w:rPr>
      </w:pPr>
    </w:p>
    <w:p>
      <w:pPr>
        <w:widowControl/>
        <w:jc w:val="left"/>
        <w:rPr>
          <w:rFonts w:ascii="宋体" w:cs="Times New Roman"/>
          <w:color w:val="000000"/>
          <w:kern w:val="0"/>
          <w:sz w:val="24"/>
          <w:szCs w:val="24"/>
        </w:rPr>
      </w:pPr>
    </w:p>
    <w:p>
      <w:pPr>
        <w:rPr>
          <w:rFonts w:ascii="楷体_GB2312" w:hAnsi="宋体" w:eastAsia="楷体_GB2312" w:cs="Times New Roman"/>
          <w:sz w:val="32"/>
          <w:szCs w:val="32"/>
        </w:rPr>
      </w:pPr>
      <w:r>
        <w:rPr>
          <w:rFonts w:hint="eastAsia" w:ascii="宋体" w:hAnsi="宋体" w:cs="宋体"/>
          <w:color w:val="000000"/>
          <w:kern w:val="0"/>
          <w:sz w:val="24"/>
          <w:szCs w:val="24"/>
        </w:rPr>
        <w:t>表十二</w:t>
      </w:r>
      <w:r>
        <w:rPr>
          <w:rFonts w:ascii="宋体" w:hAnsi="宋体" w:cs="宋体"/>
          <w:color w:val="000000"/>
          <w:kern w:val="0"/>
          <w:sz w:val="24"/>
          <w:szCs w:val="24"/>
        </w:rPr>
        <w:t>-</w:t>
      </w:r>
      <w:r>
        <w:rPr>
          <w:rFonts w:hint="eastAsia" w:ascii="宋体" w:hAnsi="宋体" w:cs="宋体"/>
          <w:color w:val="000000"/>
          <w:kern w:val="0"/>
          <w:sz w:val="24"/>
          <w:szCs w:val="24"/>
        </w:rPr>
        <w:t>14</w:t>
      </w:r>
    </w:p>
    <w:p>
      <w:pPr>
        <w:widowControl/>
        <w:jc w:val="left"/>
        <w:rPr>
          <w:rFonts w:ascii="宋体" w:cs="Times New Roman"/>
          <w:color w:val="000000"/>
          <w:kern w:val="0"/>
          <w:sz w:val="24"/>
          <w:szCs w:val="24"/>
        </w:rPr>
      </w:pPr>
    </w:p>
    <w:p>
      <w:pPr>
        <w:widowControl/>
        <w:jc w:val="left"/>
        <w:rPr>
          <w:rFonts w:ascii="宋体" w:cs="Times New Roman"/>
          <w:color w:val="000000"/>
          <w:kern w:val="0"/>
          <w:sz w:val="24"/>
          <w:szCs w:val="24"/>
        </w:rPr>
      </w:pPr>
      <w:r>
        <w:drawing>
          <wp:inline distT="0" distB="0" distL="0" distR="0">
            <wp:extent cx="5278120" cy="663194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78120" cy="6632013"/>
                    </a:xfrm>
                    <a:prstGeom prst="rect">
                      <a:avLst/>
                    </a:prstGeom>
                    <a:noFill/>
                    <a:ln>
                      <a:noFill/>
                    </a:ln>
                  </pic:spPr>
                </pic:pic>
              </a:graphicData>
            </a:graphic>
          </wp:inline>
        </w:drawing>
      </w: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FangSong">
    <w:altName w:val="方正仿宋_GBK"/>
    <w:panose1 w:val="00000000000000000000"/>
    <w:charset w:val="86"/>
    <w:family w:val="swiss"/>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Cambria">
    <w:altName w:val="Noto Sans Syriac Eastern"/>
    <w:panose1 w:val="02040503050406030204"/>
    <w:charset w:val="00"/>
    <w:family w:val="roman"/>
    <w:pitch w:val="default"/>
    <w:sig w:usb0="00000000" w:usb1="00000000" w:usb2="00000000" w:usb3="00000000" w:csb0="0000019F" w:csb1="00000000"/>
  </w:font>
  <w:font w:name="Noto Sans Syriac Eastern">
    <w:panose1 w:val="02040503050306020203"/>
    <w:charset w:val="86"/>
    <w:family w:val="auto"/>
    <w:pitch w:val="default"/>
    <w:sig w:usb0="00000000" w:usb1="00000000" w:usb2="00000080" w:usb3="00000000" w:csb0="203E0161"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hideSpellingError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BB7"/>
    <w:rsid w:val="000035C7"/>
    <w:rsid w:val="00033947"/>
    <w:rsid w:val="0004264C"/>
    <w:rsid w:val="00042CD2"/>
    <w:rsid w:val="00046226"/>
    <w:rsid w:val="00051726"/>
    <w:rsid w:val="000545B4"/>
    <w:rsid w:val="000656E6"/>
    <w:rsid w:val="00066CC9"/>
    <w:rsid w:val="00071EC7"/>
    <w:rsid w:val="0009080D"/>
    <w:rsid w:val="000A1810"/>
    <w:rsid w:val="000A3C1F"/>
    <w:rsid w:val="000A3F2C"/>
    <w:rsid w:val="000A7AD0"/>
    <w:rsid w:val="000B12A7"/>
    <w:rsid w:val="000B420F"/>
    <w:rsid w:val="000B658B"/>
    <w:rsid w:val="000C22E6"/>
    <w:rsid w:val="000D3B7A"/>
    <w:rsid w:val="000E714C"/>
    <w:rsid w:val="0010565E"/>
    <w:rsid w:val="00115949"/>
    <w:rsid w:val="00115BB5"/>
    <w:rsid w:val="00115C42"/>
    <w:rsid w:val="00123226"/>
    <w:rsid w:val="00126F8A"/>
    <w:rsid w:val="00127E57"/>
    <w:rsid w:val="001578C9"/>
    <w:rsid w:val="00164A80"/>
    <w:rsid w:val="00172707"/>
    <w:rsid w:val="0017282B"/>
    <w:rsid w:val="001762F9"/>
    <w:rsid w:val="0019456D"/>
    <w:rsid w:val="001B319E"/>
    <w:rsid w:val="001B3A23"/>
    <w:rsid w:val="001C509B"/>
    <w:rsid w:val="001E1E74"/>
    <w:rsid w:val="001F681B"/>
    <w:rsid w:val="00202AE5"/>
    <w:rsid w:val="00202EA2"/>
    <w:rsid w:val="00214533"/>
    <w:rsid w:val="002160CE"/>
    <w:rsid w:val="00240EFA"/>
    <w:rsid w:val="00273C57"/>
    <w:rsid w:val="00290C29"/>
    <w:rsid w:val="00291328"/>
    <w:rsid w:val="00291A6D"/>
    <w:rsid w:val="002A4E13"/>
    <w:rsid w:val="002C679F"/>
    <w:rsid w:val="002E7D02"/>
    <w:rsid w:val="002F4854"/>
    <w:rsid w:val="002F6691"/>
    <w:rsid w:val="00304C99"/>
    <w:rsid w:val="003176D0"/>
    <w:rsid w:val="00334B7E"/>
    <w:rsid w:val="00352900"/>
    <w:rsid w:val="00364A53"/>
    <w:rsid w:val="00366FB3"/>
    <w:rsid w:val="003705C9"/>
    <w:rsid w:val="00383540"/>
    <w:rsid w:val="00384A16"/>
    <w:rsid w:val="00385D21"/>
    <w:rsid w:val="00390D88"/>
    <w:rsid w:val="003A1316"/>
    <w:rsid w:val="003A2ACC"/>
    <w:rsid w:val="003D4ADA"/>
    <w:rsid w:val="003E5F0B"/>
    <w:rsid w:val="003F332D"/>
    <w:rsid w:val="003F4388"/>
    <w:rsid w:val="003F52FC"/>
    <w:rsid w:val="003F56BB"/>
    <w:rsid w:val="004024ED"/>
    <w:rsid w:val="004069EE"/>
    <w:rsid w:val="00410CDB"/>
    <w:rsid w:val="00414192"/>
    <w:rsid w:val="004326C4"/>
    <w:rsid w:val="004432F5"/>
    <w:rsid w:val="00444C5E"/>
    <w:rsid w:val="00464427"/>
    <w:rsid w:val="0046564C"/>
    <w:rsid w:val="00483D43"/>
    <w:rsid w:val="0049000B"/>
    <w:rsid w:val="004949BA"/>
    <w:rsid w:val="004A0A7D"/>
    <w:rsid w:val="004A3993"/>
    <w:rsid w:val="004B6C0B"/>
    <w:rsid w:val="004C045F"/>
    <w:rsid w:val="004C30B2"/>
    <w:rsid w:val="004C628B"/>
    <w:rsid w:val="004C73E6"/>
    <w:rsid w:val="004D25C9"/>
    <w:rsid w:val="004F5C7A"/>
    <w:rsid w:val="0050211B"/>
    <w:rsid w:val="00516E80"/>
    <w:rsid w:val="005408CC"/>
    <w:rsid w:val="00555E1A"/>
    <w:rsid w:val="00571D8D"/>
    <w:rsid w:val="00575782"/>
    <w:rsid w:val="00582A61"/>
    <w:rsid w:val="00584439"/>
    <w:rsid w:val="00594270"/>
    <w:rsid w:val="005953B0"/>
    <w:rsid w:val="005C7066"/>
    <w:rsid w:val="005C7A73"/>
    <w:rsid w:val="005C7FB8"/>
    <w:rsid w:val="005D42C6"/>
    <w:rsid w:val="005D6C04"/>
    <w:rsid w:val="005F222A"/>
    <w:rsid w:val="005F5F46"/>
    <w:rsid w:val="00603A95"/>
    <w:rsid w:val="006152D1"/>
    <w:rsid w:val="006228FA"/>
    <w:rsid w:val="0064700F"/>
    <w:rsid w:val="006552BF"/>
    <w:rsid w:val="00672413"/>
    <w:rsid w:val="006734F6"/>
    <w:rsid w:val="006737C1"/>
    <w:rsid w:val="00681282"/>
    <w:rsid w:val="0069401D"/>
    <w:rsid w:val="006B3EF7"/>
    <w:rsid w:val="006B47D7"/>
    <w:rsid w:val="006B4C81"/>
    <w:rsid w:val="006E2AC5"/>
    <w:rsid w:val="006E5CBB"/>
    <w:rsid w:val="006E5E18"/>
    <w:rsid w:val="006F0023"/>
    <w:rsid w:val="006F77E1"/>
    <w:rsid w:val="006F7B30"/>
    <w:rsid w:val="00707D81"/>
    <w:rsid w:val="00716BF0"/>
    <w:rsid w:val="00720823"/>
    <w:rsid w:val="00720CF6"/>
    <w:rsid w:val="00723B6A"/>
    <w:rsid w:val="00726CBD"/>
    <w:rsid w:val="00753AAA"/>
    <w:rsid w:val="007600BB"/>
    <w:rsid w:val="00773429"/>
    <w:rsid w:val="0078212D"/>
    <w:rsid w:val="007B0A8B"/>
    <w:rsid w:val="007B36D2"/>
    <w:rsid w:val="007D4342"/>
    <w:rsid w:val="007D59FB"/>
    <w:rsid w:val="007F39C0"/>
    <w:rsid w:val="007F6811"/>
    <w:rsid w:val="00800BE9"/>
    <w:rsid w:val="008074B1"/>
    <w:rsid w:val="00826848"/>
    <w:rsid w:val="00831F08"/>
    <w:rsid w:val="00832D8A"/>
    <w:rsid w:val="008472E6"/>
    <w:rsid w:val="008621B4"/>
    <w:rsid w:val="00866862"/>
    <w:rsid w:val="008805B4"/>
    <w:rsid w:val="00887604"/>
    <w:rsid w:val="00894282"/>
    <w:rsid w:val="00896C04"/>
    <w:rsid w:val="008A481A"/>
    <w:rsid w:val="008A5A43"/>
    <w:rsid w:val="008A5B6C"/>
    <w:rsid w:val="008B2BB7"/>
    <w:rsid w:val="008C3E4B"/>
    <w:rsid w:val="008D069D"/>
    <w:rsid w:val="008D4C0D"/>
    <w:rsid w:val="008E3C4B"/>
    <w:rsid w:val="008F1D82"/>
    <w:rsid w:val="008F7EE7"/>
    <w:rsid w:val="009025E1"/>
    <w:rsid w:val="00917465"/>
    <w:rsid w:val="009329AD"/>
    <w:rsid w:val="00945E78"/>
    <w:rsid w:val="00963693"/>
    <w:rsid w:val="00965CE5"/>
    <w:rsid w:val="0098103F"/>
    <w:rsid w:val="00985B72"/>
    <w:rsid w:val="00994F04"/>
    <w:rsid w:val="009A3907"/>
    <w:rsid w:val="009B0ED9"/>
    <w:rsid w:val="009B10BE"/>
    <w:rsid w:val="009B1B12"/>
    <w:rsid w:val="009B343A"/>
    <w:rsid w:val="009E1152"/>
    <w:rsid w:val="009F1E19"/>
    <w:rsid w:val="009F68F3"/>
    <w:rsid w:val="00A10946"/>
    <w:rsid w:val="00A26985"/>
    <w:rsid w:val="00A3667B"/>
    <w:rsid w:val="00A4513E"/>
    <w:rsid w:val="00A5688D"/>
    <w:rsid w:val="00A7510A"/>
    <w:rsid w:val="00A83681"/>
    <w:rsid w:val="00AB36D2"/>
    <w:rsid w:val="00AB448F"/>
    <w:rsid w:val="00AB5593"/>
    <w:rsid w:val="00AB7516"/>
    <w:rsid w:val="00AC2346"/>
    <w:rsid w:val="00AC512C"/>
    <w:rsid w:val="00AD3DCB"/>
    <w:rsid w:val="00AD6FCD"/>
    <w:rsid w:val="00AF1FD1"/>
    <w:rsid w:val="00B11E6D"/>
    <w:rsid w:val="00B145F0"/>
    <w:rsid w:val="00B174AF"/>
    <w:rsid w:val="00B216F7"/>
    <w:rsid w:val="00B22CEF"/>
    <w:rsid w:val="00B25468"/>
    <w:rsid w:val="00B31029"/>
    <w:rsid w:val="00B3220C"/>
    <w:rsid w:val="00B3376D"/>
    <w:rsid w:val="00B472E7"/>
    <w:rsid w:val="00B52037"/>
    <w:rsid w:val="00B54346"/>
    <w:rsid w:val="00B60F76"/>
    <w:rsid w:val="00B7372B"/>
    <w:rsid w:val="00B738A3"/>
    <w:rsid w:val="00B73BC8"/>
    <w:rsid w:val="00B81454"/>
    <w:rsid w:val="00B82C2E"/>
    <w:rsid w:val="00B93515"/>
    <w:rsid w:val="00B94B37"/>
    <w:rsid w:val="00B955AB"/>
    <w:rsid w:val="00BA12B3"/>
    <w:rsid w:val="00BA3928"/>
    <w:rsid w:val="00BA3F72"/>
    <w:rsid w:val="00BA499E"/>
    <w:rsid w:val="00BA6BB7"/>
    <w:rsid w:val="00BC6AB0"/>
    <w:rsid w:val="00BC6AE7"/>
    <w:rsid w:val="00BD4A2F"/>
    <w:rsid w:val="00BD73AE"/>
    <w:rsid w:val="00BE6F59"/>
    <w:rsid w:val="00C00C85"/>
    <w:rsid w:val="00C03EEE"/>
    <w:rsid w:val="00C2428B"/>
    <w:rsid w:val="00C32845"/>
    <w:rsid w:val="00C41C0F"/>
    <w:rsid w:val="00C42FE9"/>
    <w:rsid w:val="00C45889"/>
    <w:rsid w:val="00C56FEA"/>
    <w:rsid w:val="00C57407"/>
    <w:rsid w:val="00C65DCB"/>
    <w:rsid w:val="00C6775C"/>
    <w:rsid w:val="00C77B38"/>
    <w:rsid w:val="00C77CFD"/>
    <w:rsid w:val="00C828AB"/>
    <w:rsid w:val="00C90C81"/>
    <w:rsid w:val="00C93E36"/>
    <w:rsid w:val="00CA35EF"/>
    <w:rsid w:val="00CB7AEB"/>
    <w:rsid w:val="00CC4FF0"/>
    <w:rsid w:val="00CD0729"/>
    <w:rsid w:val="00CD380E"/>
    <w:rsid w:val="00CE31C7"/>
    <w:rsid w:val="00CE75E7"/>
    <w:rsid w:val="00D02872"/>
    <w:rsid w:val="00D047E3"/>
    <w:rsid w:val="00D10E16"/>
    <w:rsid w:val="00D11B44"/>
    <w:rsid w:val="00D12457"/>
    <w:rsid w:val="00D14480"/>
    <w:rsid w:val="00D14DA2"/>
    <w:rsid w:val="00D37014"/>
    <w:rsid w:val="00D379CF"/>
    <w:rsid w:val="00D54175"/>
    <w:rsid w:val="00D64206"/>
    <w:rsid w:val="00D6679F"/>
    <w:rsid w:val="00D91E44"/>
    <w:rsid w:val="00DA26F3"/>
    <w:rsid w:val="00DC21F2"/>
    <w:rsid w:val="00DC6908"/>
    <w:rsid w:val="00DD2C50"/>
    <w:rsid w:val="00DD327B"/>
    <w:rsid w:val="00DD4848"/>
    <w:rsid w:val="00DE5F40"/>
    <w:rsid w:val="00DF0EF6"/>
    <w:rsid w:val="00E07E8A"/>
    <w:rsid w:val="00E13652"/>
    <w:rsid w:val="00E1761C"/>
    <w:rsid w:val="00E23E1B"/>
    <w:rsid w:val="00E35B44"/>
    <w:rsid w:val="00E54A74"/>
    <w:rsid w:val="00E62496"/>
    <w:rsid w:val="00E70282"/>
    <w:rsid w:val="00E7547C"/>
    <w:rsid w:val="00E92758"/>
    <w:rsid w:val="00EB4185"/>
    <w:rsid w:val="00EC36FF"/>
    <w:rsid w:val="00EC5F6A"/>
    <w:rsid w:val="00ED41BC"/>
    <w:rsid w:val="00EE6B85"/>
    <w:rsid w:val="00EF3B4F"/>
    <w:rsid w:val="00EF5253"/>
    <w:rsid w:val="00F016CB"/>
    <w:rsid w:val="00F03D74"/>
    <w:rsid w:val="00F0744A"/>
    <w:rsid w:val="00F14895"/>
    <w:rsid w:val="00F3722C"/>
    <w:rsid w:val="00F624CD"/>
    <w:rsid w:val="00F64801"/>
    <w:rsid w:val="00F675A0"/>
    <w:rsid w:val="00F74DFE"/>
    <w:rsid w:val="00F86E2B"/>
    <w:rsid w:val="00FB1EB6"/>
    <w:rsid w:val="00FC51EC"/>
    <w:rsid w:val="00FD0529"/>
    <w:rsid w:val="00FD0EE0"/>
    <w:rsid w:val="00FE0A06"/>
    <w:rsid w:val="00FF0963"/>
    <w:rsid w:val="00FF0EE8"/>
    <w:rsid w:val="00FF3932"/>
    <w:rsid w:val="F3EF4B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35"/>
    <w:semiHidden/>
    <w:qFormat/>
    <w:uiPriority w:val="99"/>
    <w:pPr>
      <w:ind w:left="100" w:leftChars="2500"/>
    </w:pPr>
  </w:style>
  <w:style w:type="paragraph" w:styleId="3">
    <w:name w:val="Balloon Text"/>
    <w:basedOn w:val="1"/>
    <w:link w:val="14"/>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semiHidden/>
    <w:qFormat/>
    <w:uiPriority w:val="99"/>
    <w:rPr>
      <w:color w:val="800080"/>
      <w:u w:val="single"/>
    </w:rPr>
  </w:style>
  <w:style w:type="character" w:styleId="10">
    <w:name w:val="Hyperlink"/>
    <w:semiHidden/>
    <w:qFormat/>
    <w:uiPriority w:val="99"/>
    <w:rPr>
      <w:color w:val="0000FF"/>
      <w:u w:val="single"/>
    </w:rPr>
  </w:style>
  <w:style w:type="character" w:customStyle="1" w:styleId="11">
    <w:name w:val="页眉 Char"/>
    <w:link w:val="5"/>
    <w:qFormat/>
    <w:locked/>
    <w:uiPriority w:val="99"/>
    <w:rPr>
      <w:rFonts w:ascii="Calibri" w:hAnsi="Calibri" w:eastAsia="宋体" w:cs="Calibri"/>
      <w:sz w:val="18"/>
      <w:szCs w:val="18"/>
    </w:rPr>
  </w:style>
  <w:style w:type="character" w:customStyle="1" w:styleId="12">
    <w:name w:val="页脚 Char"/>
    <w:link w:val="4"/>
    <w:qFormat/>
    <w:locked/>
    <w:uiPriority w:val="99"/>
    <w:rPr>
      <w:rFonts w:ascii="Calibri" w:hAnsi="Calibri" w:eastAsia="宋体" w:cs="Calibri"/>
      <w:sz w:val="18"/>
      <w:szCs w:val="18"/>
    </w:rPr>
  </w:style>
  <w:style w:type="paragraph" w:styleId="13">
    <w:name w:val="List Paragraph"/>
    <w:basedOn w:val="1"/>
    <w:qFormat/>
    <w:uiPriority w:val="99"/>
    <w:pPr>
      <w:ind w:firstLine="420" w:firstLineChars="200"/>
    </w:pPr>
  </w:style>
  <w:style w:type="character" w:customStyle="1" w:styleId="14">
    <w:name w:val="批注框文本 Char"/>
    <w:link w:val="3"/>
    <w:semiHidden/>
    <w:qFormat/>
    <w:locked/>
    <w:uiPriority w:val="99"/>
    <w:rPr>
      <w:rFonts w:ascii="Calibri" w:hAnsi="Calibri" w:eastAsia="宋体" w:cs="Calibri"/>
      <w:sz w:val="18"/>
      <w:szCs w:val="18"/>
    </w:rPr>
  </w:style>
  <w:style w:type="paragraph" w:customStyle="1" w:styleId="1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
    <w:name w:val="xl63"/>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7">
    <w:name w:val="xl64"/>
    <w:basedOn w:val="1"/>
    <w:qFormat/>
    <w:uiPriority w:val="99"/>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8">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9">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20">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21">
    <w:name w:val="xl6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2">
    <w:name w:val="xl69"/>
    <w:basedOn w:val="1"/>
    <w:uiPriority w:val="0"/>
    <w:pPr>
      <w:widowControl/>
      <w:pBdr>
        <w:top w:val="single" w:color="000000" w:sz="4" w:space="0"/>
        <w:left w:val="single" w:color="000000"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3">
    <w:name w:val="xl7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4">
    <w:name w:val="xl7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25">
    <w:name w:val="xl72"/>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26">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7">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8">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29">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30">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2">
    <w:name w:val="xl79"/>
    <w:basedOn w:val="1"/>
    <w:qFormat/>
    <w:uiPriority w:val="99"/>
    <w:pPr>
      <w:widowControl/>
      <w:pBdr>
        <w:top w:val="single" w:color="000000" w:sz="4" w:space="0"/>
        <w:left w:val="single" w:color="000000" w:sz="4" w:space="0"/>
        <w:bottom w:val="single" w:color="000000" w:sz="4" w:space="0"/>
        <w:right w:val="single" w:color="000000" w:sz="4" w:space="0"/>
      </w:pBdr>
      <w:shd w:val="clear" w:color="99CCFF" w:fill="FFFFFF"/>
      <w:spacing w:before="100" w:beforeAutospacing="1" w:after="100" w:afterAutospacing="1"/>
      <w:jc w:val="center"/>
      <w:textAlignment w:val="center"/>
    </w:pPr>
    <w:rPr>
      <w:rFonts w:ascii="宋体" w:hAnsi="宋体" w:cs="宋体"/>
      <w:b/>
      <w:bCs/>
      <w:kern w:val="0"/>
      <w:sz w:val="18"/>
      <w:szCs w:val="18"/>
    </w:rPr>
  </w:style>
  <w:style w:type="paragraph" w:customStyle="1" w:styleId="33">
    <w:name w:val="xl80"/>
    <w:basedOn w:val="1"/>
    <w:qFormat/>
    <w:uiPriority w:val="99"/>
    <w:pPr>
      <w:widowControl/>
      <w:pBdr>
        <w:top w:val="single" w:color="000000" w:sz="4" w:space="0"/>
        <w:left w:val="single" w:color="000000" w:sz="4" w:space="0"/>
        <w:bottom w:val="single" w:color="000000" w:sz="4" w:space="0"/>
        <w:right w:val="single" w:color="000000" w:sz="4" w:space="0"/>
      </w:pBdr>
      <w:shd w:val="clear" w:color="99CCFF" w:fill="FFFFFF"/>
      <w:spacing w:before="100" w:beforeAutospacing="1" w:after="100" w:afterAutospacing="1"/>
      <w:jc w:val="left"/>
      <w:textAlignment w:val="center"/>
    </w:pPr>
    <w:rPr>
      <w:rFonts w:ascii="宋体" w:hAnsi="宋体" w:cs="宋体"/>
      <w:b/>
      <w:bCs/>
      <w:kern w:val="0"/>
      <w:sz w:val="18"/>
      <w:szCs w:val="18"/>
    </w:rPr>
  </w:style>
  <w:style w:type="paragraph" w:customStyle="1" w:styleId="34">
    <w:name w:val="Default"/>
    <w:qFormat/>
    <w:uiPriority w:val="99"/>
    <w:pPr>
      <w:widowControl w:val="0"/>
      <w:autoSpaceDE w:val="0"/>
      <w:autoSpaceDN w:val="0"/>
      <w:adjustRightInd w:val="0"/>
    </w:pPr>
    <w:rPr>
      <w:rFonts w:ascii="FangSong" w:hAnsi="Calibri" w:eastAsia="FangSong" w:cs="FangSong"/>
      <w:color w:val="000000"/>
      <w:sz w:val="24"/>
      <w:szCs w:val="24"/>
      <w:lang w:val="en-US" w:eastAsia="zh-CN" w:bidi="ar-SA"/>
    </w:rPr>
  </w:style>
  <w:style w:type="character" w:customStyle="1" w:styleId="35">
    <w:name w:val="日期 Char"/>
    <w:link w:val="2"/>
    <w:semiHidden/>
    <w:qFormat/>
    <w:locked/>
    <w:uiPriority w:val="99"/>
    <w:rPr>
      <w:rFonts w:ascii="Calibri" w:hAnsi="Calibri" w:eastAsia="宋体" w:cs="Calibri"/>
    </w:rPr>
  </w:style>
  <w:style w:type="paragraph" w:customStyle="1" w:styleId="36">
    <w:name w:val="Char Char Char1 Char Char Char Char"/>
    <w:basedOn w:val="1"/>
    <w:uiPriority w:val="99"/>
    <w:rPr>
      <w:rFonts w:ascii="Tahoma" w:hAnsi="Tahoma" w:cs="Tahoma"/>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emf"/><Relationship Id="rId8" Type="http://schemas.openxmlformats.org/officeDocument/2006/relationships/image" Target="media/image5.emf"/><Relationship Id="rId7" Type="http://schemas.openxmlformats.org/officeDocument/2006/relationships/image" Target="media/image4.emf"/><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4.emf"/><Relationship Id="rId16" Type="http://schemas.openxmlformats.org/officeDocument/2006/relationships/image" Target="media/image13.emf"/><Relationship Id="rId15" Type="http://schemas.openxmlformats.org/officeDocument/2006/relationships/image" Target="media/image12.emf"/><Relationship Id="rId14" Type="http://schemas.openxmlformats.org/officeDocument/2006/relationships/image" Target="media/image11.emf"/><Relationship Id="rId13" Type="http://schemas.openxmlformats.org/officeDocument/2006/relationships/image" Target="media/image10.emf"/><Relationship Id="rId12" Type="http://schemas.openxmlformats.org/officeDocument/2006/relationships/image" Target="media/image9.emf"/><Relationship Id="rId11" Type="http://schemas.openxmlformats.org/officeDocument/2006/relationships/image" Target="media/image8.emf"/><Relationship Id="rId10" Type="http://schemas.openxmlformats.org/officeDocument/2006/relationships/image" Target="media/image7.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b:Sources xmlns:b="http://schemas.openxmlformats.org/officeDocument/2006/bibliography" SelectedStyle="\APA.XSL" StyleName="APA" xmlns:b="http://schemas.openxmlformats.org/officeDocument/2006/bibliography"/>

</file>

<file path=customXml/itemProps1.xml><?xml version="1.0" encoding="utf-8"?>
<ds:datastoreItem xmlns:ds="http://schemas.openxmlformats.org/officeDocument/2006/customXml" ds:itemID="{1AEC4259-4A8B-4096-A618-335478E93168}">
  <ds:schemaRefs/>
</ds:datastoreItem>
</file>

<file path=docProps/app.xml><?xml version="1.0" encoding="utf-8"?>
<Properties xmlns="http://schemas.openxmlformats.org/officeDocument/2006/extended-properties" xmlns:vt="http://schemas.openxmlformats.org/officeDocument/2006/docPropsVTypes">
  <Template>Normal</Template>
  <Pages>79</Pages>
  <Words>6658</Words>
  <Characters>37951</Characters>
  <Lines>316</Lines>
  <Paragraphs>89</Paragraphs>
  <TotalTime>1</TotalTime>
  <ScaleCrop>false</ScaleCrop>
  <LinksUpToDate>false</LinksUpToDate>
  <CharactersWithSpaces>44520</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2020-02-07T10:03:00Z</dcterms:created>
  <dc:creator>于冬梅</dc:creator>
  <cp:lastModifiedBy>huawei</cp:lastModifiedBy>
  <cp:lastPrinted>2019-02-15T14:23:00Z</cp:lastPrinted>
  <dcterms:modified xsi:type="dcterms:W3CDTF">2024-08-05T15:20:20Z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A864EDF5059C7100347DB066F17105E4_42</vt:lpwstr>
  </property>
</Properties>
</file>