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3"/>
        <w:jc w:val="center"/>
        <w:rPr>
          <w:rFonts w:ascii="方正小标宋简体" w:eastAsia="方正小标宋简体"/>
          <w:color w:val="FF0000"/>
          <w:spacing w:val="40"/>
          <w:w w:val="56"/>
          <w:kern w:val="0"/>
          <w:sz w:val="104"/>
          <w:szCs w:val="104"/>
        </w:rPr>
      </w:pPr>
      <w:r>
        <w:rPr>
          <w:rFonts w:hint="eastAsia" w:ascii="方正小标宋简体" w:eastAsia="方正小标宋简体"/>
          <w:color w:val="FF0000"/>
          <w:spacing w:val="40"/>
          <w:kern w:val="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906145</wp:posOffset>
                </wp:positionV>
                <wp:extent cx="5610225" cy="0"/>
                <wp:effectExtent l="38100" t="38735" r="3810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71.35pt;height:0pt;width:441.75pt;mso-position-horizontal-relative:margin;z-index:251659264;mso-width-relative:page;mso-height-relative:page;" filled="f" stroked="t" coordsize="21600,21600" o:gfxdata="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GxuLNQAAAAKAQAADwAAAAAAAAABACAAAAAiAAAAZHJzL2Rvd25yZXYueG1sUEsBAhQA&#10;FAAAAAgAh07iQF3zTVD2AQAAygMAAA4AAAAAAAAAAQAgAAAAIwEAAGRycy9lMm9Eb2MueG1sUEsF&#10;BgAAAAAGAAYAWQEAAIsFAAAAAA=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40"/>
          <w:w w:val="56"/>
          <w:kern w:val="0"/>
          <w:sz w:val="104"/>
          <w:szCs w:val="104"/>
        </w:rPr>
        <w:t>北京市西城区卫生健康委员会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北京市西城区卫生健康委员会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2024年西城区妇幼健康工作要点的通知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北京市卫生健康委员会关于印发202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年北京市妇幼健康工作要点的通知》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2024年北京市妇幼健康工作会议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实际，我委制定了202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年西城区妇幼健康工作要点，现印发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</w:t>
      </w:r>
      <w:r>
        <w:rPr>
          <w:rFonts w:hint="eastAsia" w:ascii="仿宋_GB2312" w:hAnsi="仿宋_GB2312" w:eastAsia="仿宋_GB2312" w:cs="仿宋_GB2312"/>
          <w:sz w:val="32"/>
          <w:szCs w:val="32"/>
        </w:rPr>
        <w:t>你们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请认真组织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86" w:firstLineChars="90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230.85pt;margin-top:-21.35pt;height:120pt;width:121.5pt;z-index:-251655168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BJCAWordSign1" w:shapeid="_x0000_s1026"/>
        </w:pic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北京市西城区卫生健康委员会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2024年4月28日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228600</wp:posOffset>
            </wp:positionV>
            <wp:extent cx="5704840" cy="85725"/>
            <wp:effectExtent l="0" t="0" r="1016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484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西城区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妇幼健康工作要点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妇幼健康工作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全面贯彻党的二十大精神，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以满足妇女生命全周期和儿童生长全过程健康需求为目标，健全妇幼健康服务体系，拓展服务内涵，提升服务能力，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落实北京市、西城区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“十四五”时期妇女儿童发展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规划任务，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推动妇幼健康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高质量发展。</w:t>
      </w:r>
    </w:p>
    <w:p>
      <w:pPr>
        <w:keepNext w:val="0"/>
        <w:keepLines w:val="0"/>
        <w:pageBreakBefore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统筹协调，高效落实规划任务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1.协同推进规划目标实现。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2024年是实现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北京市、西城区“十四五”时期妇女儿童发展规划任务目标的关键一年，根据“十四五”各项规划中期评估情况，建立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“十四五”时期妇女儿童发展统计监测指标和任务落实评价机制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对照任务目标，按季度开展区级数据分析，提出改进建议，制定年度计划，督促推动规划指标和任务落实，提高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妇女儿童健康水平。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二、统筹资源，健全妇幼健康服务体系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2.推进区妇幼保健院标准化建设和规范化管理。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妇幼保健院聚焦辖区管理和妇女儿童健康服务主要职责，积极主动作为，完成区妇幼保健院标准化建设调研分析报告，适应新形势新需求，对照标准，通过新建、改建、扩建及存量资源整合等方式取得标准化建设实质进展。持续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区妇幼保健院绩效考核成绩和高质量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七五行动星级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开展区级妇幼保健院绩效考核，促进区妇幼保健院规范化管理。区妇幼保健院拓展服务内容，加强内涵建设，打造品牌学科，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妇女儿童健康服务能力、医疗救治以及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管理运行水平。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补足配强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辖区孕产保健、妇女保健、儿童保健等妇幼健康公共卫生管理人员，提升能力，切实高效履行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辖区业务管理职能。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实施妇幼保健院儿童健康服务品牌工程，建立儿童保健和常见病防治专家工作室，打造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16+X儿童健康促进新模式。推进区妇幼保健院牵头组建妇幼专科联盟，提升服务水平。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3.促进妇幼健康服务机构融合发展。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围绕妇女生命全周期、儿童生长全过程，织密妇幼健康服务网络，健全预防、筛查、诊断、治疗、随访一条龙服务。优化婚前孕前保健转诊网络，落实婚前孕前保健高危分级管理标准。以青少年保健示范门诊为标杆，构建青少年综合保健服务网络。优化妇女两癌防控转诊网络，实现免费筛查和体检筛查同质化管理，密切筛查诊治对接关系。开展妇幼保健专科示范单位建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发挥妇幼保健示范专科辐射带动作用。推动儿童康复、儿童营养、儿童生长发育、妇女常见病防治4个妇幼保健专科联合专科平台建设取得实效，提升妇幼保健服务能力。遴选推荐婚前孕前保健、儿童眼保健、青春期、更年期保健特色专科单位。开展区级绩效考核，强化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规范医疗机构履行妇幼健康公共卫生职责。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"/>
        </w:rPr>
        <w:t>4.筑牢社区卫生服务机构妇幼健康服务网底。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建立社区卫生服务机构妇幼保健服务能力定期监测机制，加强区级业务指导，定期向区卫生健康委报送监测分析情况和改进政策建议。推广社区卫生机构妇幼保健基本服务包，强化妇女儿童保健公共卫生服务职责落实。推进婴幼儿健康家长学校建设，广泛开展婴幼儿健康科普宣传和健康教育。拓展服务项目，试点开展青少年门诊和更年期专家工作室建设。开展妇女儿童保健人员产后访视和新生儿访视专项服务评比，借助基层医疗卫生服务能力提升工作计划，丰富妇幼保健服务内涵，提升妇幼健康优质服务能力。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社区卫生服务机构妇女保健和儿童保健规范化门诊动态评估，制定实施对口帮扶指导方案，动员指导提档升级，实现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AA级及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以上规范化门诊全覆盖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三、加强管理，提升母婴安全保障水平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5.落实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西城区母婴安全行动提升计划和筑基行动。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综合预警网络建设，促进辅助生殖风险分级评估与助产预警服务融合。建立高危孕产妇就诊非产科科室信息互通机制，实施孕产妇安全风险预防、预警、应急保障，完善高危孕产妇筛查、转诊、干预、随访全链条可追溯服务。推动妇幼健康生育全程“八优服务”取得实效，加强助产机构母婴安全筑基评价，注重评价结果运用，保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区域母婴安全筑基行动评价指数处于全市前列。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夯实危重孕产妇和新生儿救治网络。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区级</w:t>
      </w:r>
      <w:r>
        <w:rPr>
          <w:rFonts w:hint="eastAsia" w:ascii="仿宋_GB2312" w:hAnsi="仿宋_GB2312" w:eastAsia="仿宋_GB2312" w:cs="仿宋_GB2312"/>
          <w:sz w:val="32"/>
          <w:szCs w:val="32"/>
        </w:rPr>
        <w:t>危重孕产妇和新生儿救治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中心及救治体系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加强业务监测和指导培训，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提升急危重症救治能力。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调整危重新生儿救治网络，</w:t>
      </w:r>
      <w:r>
        <w:rPr>
          <w:rFonts w:hint="eastAsia" w:ascii="仿宋_GB2312" w:eastAsia="仿宋_GB2312" w:cstheme="minorBidi"/>
          <w:color w:val="auto"/>
          <w:sz w:val="32"/>
          <w:szCs w:val="32"/>
          <w:highlight w:val="none"/>
          <w:lang w:val="en-US" w:eastAsia="zh-CN"/>
        </w:rPr>
        <w:t>促进区级</w:t>
      </w:r>
      <w:r>
        <w:rPr>
          <w:rFonts w:hint="eastAsia" w:ascii="仿宋_GB2312" w:eastAsia="仿宋_GB2312" w:hAnsiTheme="minorHAnsi" w:cstheme="minorBidi"/>
          <w:color w:val="auto"/>
          <w:sz w:val="32"/>
          <w:szCs w:val="32"/>
          <w:highlight w:val="none"/>
        </w:rPr>
        <w:t>危重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新生儿救治中心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按照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标准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配备设施设备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提升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技术服务能力，提高外院新生儿接诊比例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区域医疗中心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三级助产机构和区妇幼保健院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新生儿科（病室）规范化管理，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开展新生儿科（病室）能力建设评估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加强新生儿安全质量控制与全流程管理。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7.强化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培训指导、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病例评审、模拟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演练、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飞行检查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指标监测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定期组织母婴安全培训、专项检查、飞行检查，开展产科出血救治专项演练评优，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提升各助产机构和儿童专科医疗机构新生儿复苏团队考核成绩。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区妇幼保健院每季度至少组织 1 次区级模拟演练，指导提升各医疗机构危重孕产妇和新生儿救治能力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危重孕产妇及新生儿危重症季度评审，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严格死亡病例评审，定期开展区级危重孕产妇和新生儿救治典型病例经验交流分享。建立危重新生儿重点病例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联动救治机制，实施一例一册全程保障。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开展早产儿死亡病例产前、产时、产后全流程分析，加强孕期干预，预防早产发生。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区妇幼保健院定期对辖区母婴安全</w:t>
      </w:r>
      <w:r>
        <w:rPr>
          <w:rFonts w:hint="eastAsia" w:ascii="FangSong_GB2312" w:hAnsi="FangSong_GB2312" w:eastAsia="FangSong_GB2312"/>
          <w:sz w:val="32"/>
        </w:rPr>
        <w:t>指标</w:t>
      </w:r>
      <w:r>
        <w:rPr>
          <w:rFonts w:hint="eastAsia" w:ascii="FangSong_GB2312" w:hAnsi="FangSong_GB2312" w:eastAsia="FangSong_GB2312"/>
          <w:sz w:val="32"/>
          <w:lang w:eastAsia="zh-CN"/>
        </w:rPr>
        <w:t>进行</w:t>
      </w:r>
      <w:r>
        <w:rPr>
          <w:rFonts w:hint="eastAsia" w:ascii="FangSong_GB2312" w:hAnsi="FangSong_GB2312" w:eastAsia="FangSong_GB2312"/>
          <w:sz w:val="32"/>
        </w:rPr>
        <w:t>监测</w:t>
      </w:r>
      <w:r>
        <w:rPr>
          <w:rFonts w:hint="eastAsia" w:ascii="FangSong_GB2312" w:hAnsi="FangSong_GB2312" w:eastAsia="FangSong_GB2312"/>
          <w:sz w:val="32"/>
          <w:lang w:eastAsia="zh-CN"/>
        </w:rPr>
        <w:t>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数据分析，指导各医疗保健机构持续质量改进，向区卫生健康委提出区域母婴安全改进政策建议。</w:t>
      </w:r>
    </w:p>
    <w:p>
      <w:pPr>
        <w:keepNext w:val="0"/>
        <w:keepLines w:val="0"/>
        <w:pageBreakBefore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健全机制，提高</w:t>
      </w:r>
      <w:r>
        <w:rPr>
          <w:rFonts w:hint="eastAsia" w:ascii="黑体" w:hAnsi="黑体" w:eastAsia="黑体" w:cs="黑体"/>
          <w:sz w:val="32"/>
          <w:szCs w:val="32"/>
        </w:rPr>
        <w:t>出生缺陷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防控能力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8.健全出生缺陷综合防治服务网络。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在区妇幼保健院设立西城区出生缺陷防治管理中心，承担辖区出生缺陷防治政策措施研提，项目管理、业务指导、质量管理、人才培训、数据收集分析等工作，做好区级出生缺陷防治管理工作的组织实施。开展婚前孕前保健转诊网络运行效果评估，完善婚前孕前转诊网络。鼓励有条件的医疗机构申请成为产前诊断机构。鼓励有专科优势的医疗机构牵头组建出生缺陷疾病防治专科联盟。按照北京市要求推进产前诊断机构标准化建设，遴选确定北京市产前诊断中心，优化产前筛查诊断一体化服务网络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9.提升出生缺陷防治机构服务能力。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实施西城区出生缺陷防治能力提升计划。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西城区婚前孕前保健中心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拓展完善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婚前医学检查、婚姻登记、优生咨询指导一站式便民服务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项目，提高辅助检查和咨询指导等服务能力和质量，有效引导，提升婚前医学检查率至达标。开展助产机构优质生育咨询门诊区级评估，督促指导助产机构把控高危生育风险关口。探索将出生缺陷防治服务纳入家庭医生签约服务。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区妇幼保健院及各产前诊断机构对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产前筛查机构的质控评估、业务指导等，提升产前筛查诊断服务能力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。建立出生缺陷人才培训培养机制，提高专业化人才队伍服务水平。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10.规范防控重大出生缺陷。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加强婚前孕前保健、产前筛查诊断、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新生儿疾病筛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诊治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全程质控，定期通报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质控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强化重点出生缺陷疾病防治，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推进多学科合作，建立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剖析研讨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推广普及心脏出生缺陷围产期诊断和临床评估处置科学方法，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出生缺陷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导致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严重预后不良及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死亡发生。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优化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</w:rPr>
        <w:t>新生儿先天性遗传代谢病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/>
        </w:rPr>
        <w:t>管理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提高新生儿疾病筛查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服务管理规范化水平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制定实施西城区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消除艾滋病、梅毒和乙肝母婴传播行动计划实施方案，完善多部门合作、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协调会商、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人员培训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、案例评审、信息共享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加强区级业务管理机构协同联动、宣传教育、监测分析、质控评估和监督指导，确保实现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消除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五、聚焦全程，</w:t>
      </w:r>
      <w:r>
        <w:rPr>
          <w:rFonts w:hint="eastAsia" w:ascii="黑体" w:hAnsi="黑体" w:eastAsia="黑体" w:cs="黑体"/>
          <w:sz w:val="32"/>
          <w:szCs w:val="32"/>
        </w:rPr>
        <w:t>提升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妇女</w:t>
      </w:r>
      <w:r>
        <w:rPr>
          <w:rFonts w:hint="eastAsia" w:ascii="黑体" w:hAnsi="黑体" w:eastAsia="黑体" w:cs="黑体"/>
          <w:sz w:val="32"/>
          <w:szCs w:val="32"/>
        </w:rPr>
        <w:t>儿童健康服务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水平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11.促进儿童健康。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健康儿童行动提升计划，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满足儿童健康需求为核心，加快健全儿童健康服务体系。区妇幼保健院定期开展辖区儿童保健服务质量监测与质控评估，提出优化改进建议措施。围绕儿童生长发育过程中的近视、肥胖、和孤独症等重点健康问题，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儿童保健基层行活动。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区妇幼保健院儿童屈光筛查和远视储备监测服务全覆盖，扩大社区卫生服务中心儿童屈光筛查覆盖范围。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儿童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孤独症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筛查干预服务试点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组织儿童孤独症筛查技能比赛，提升儿童心理保健服务能力。拓展儿童早期发展优质服务基地服务内容，提升服务质量和效益。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推广养育风险筛查及咨询指导、养育照护小组活动适宜技术。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探索建立医疗机构和托幼机构划片联系指导机制，提高卫生保健指导能力水平。指导宣武医院、建宫医院建设母婴友好医院。扩大儿童健康友好社区覆盖面。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12.促进妇女健康。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制定实施西城区生殖健康促进行动计划，推行生殖健康关爱服务，规范基本避孕服务项目实施，实现辖区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计划生育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服务的医疗保健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机构流产后关爱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规范化建设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全覆盖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助产机构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</w:t>
      </w:r>
      <w:r>
        <w:rPr>
          <w:rFonts w:hint="eastAsia" w:ascii="仿宋_GB2312" w:hAnsi="仿宋_GB2312" w:eastAsia="仿宋_GB2312" w:cs="仿宋_GB2312"/>
          <w:sz w:val="32"/>
          <w:szCs w:val="32"/>
        </w:rPr>
        <w:t>妊娠期女性盆底功能障碍防治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开展一次盆底知识宣教、一次盆底功能筛查、一项盆底肌功能锻炼技术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“三个一”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实施更年期“舒心行动”，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推广适宜技术应用，疼痛、睡眠、骨骼和情绪健康感受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“四改善”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消除宫颈癌行动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，巩固妇女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两癌筛查工作机制，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两癌筛查覆盖面扩大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至常住人口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两癌筛查在线预约、个案登记、结果推送、在线随访及健康教育一条龙服务“掌上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。实施两癌</w:t>
      </w:r>
      <w:r>
        <w:rPr>
          <w:rFonts w:hint="eastAsia" w:ascii="仿宋_GB2312" w:hAnsi="仿宋_GB2312" w:eastAsia="仿宋_GB2312" w:cs="仿宋_GB2312"/>
          <w:sz w:val="32"/>
          <w:szCs w:val="32"/>
        </w:rPr>
        <w:t>免费筛查和女职工筛查同流程同网络同质控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。推广现代产房人性化服务模式，指导建成现代产房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2家，提升妇女就医体验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六、丰富内涵，促进妇幼中医药服务发展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13.提升中医药服务能力。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按照北京市要求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"/>
        </w:rPr>
        <w:t>开展妇幼中医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" w:eastAsia="zh-CN"/>
        </w:rPr>
        <w:t>药专科联盟建设，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"/>
        </w:rPr>
        <w:t>提升妇幼保健机构中医药服务能力。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"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"/>
        </w:rPr>
        <w:t>北京地区妇女儿童中医膳食健康指导方案，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" w:eastAsia="zh-CN"/>
        </w:rPr>
        <w:t>促进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"/>
        </w:rPr>
        <w:t>妇幼保健机构推广中医特色营养餐，提供药膳、养生茶饮等服务。推进中医药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"/>
        </w:rPr>
        <w:t>应用于妇幼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" w:eastAsia="zh-CN"/>
        </w:rPr>
        <w:t>全生命周期，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推广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" w:eastAsia="zh-CN"/>
        </w:rPr>
        <w:t>系列妇幼中医药标准化培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训课程、服务包及诊疗方案。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中医妇幼名医工作室建设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评估，</w:t>
      </w:r>
      <w:r>
        <w:rPr>
          <w:rFonts w:hint="eastAsia" w:ascii="仿宋_GB2312" w:hAnsi="黑体" w:eastAsia="仿宋_GB2312" w:cs="Times New Roman"/>
          <w:b w:val="0"/>
          <w:bCs/>
          <w:sz w:val="32"/>
          <w:szCs w:val="32"/>
        </w:rPr>
        <w:t>提升中医妇科、中医康复、中医儿科服务能力</w:t>
      </w:r>
      <w:r>
        <w:rPr>
          <w:rFonts w:hint="eastAsia" w:ascii="仿宋_GB2312" w:hAnsi="黑体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</w:rPr>
        <w:t>促进中医妇幼特色诊疗服务发展</w:t>
      </w:r>
      <w:r>
        <w:rPr>
          <w:rFonts w:hint="eastAsia" w:ascii="仿宋_GB2312" w:hAnsi="黑体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七、强化支撑，保障妇幼健康全程服务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14.宣传弘扬妇幼健康文化。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开展妇幼健康文化特色单位建设。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年度重点任务开发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健康教育材料，制作</w:t>
      </w:r>
      <w:r>
        <w:rPr>
          <w:rFonts w:hint="default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0-6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岁儿童孤独症筛查干预服务科普宣教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动画和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消</w:t>
      </w:r>
      <w:r>
        <w:rPr>
          <w:rFonts w:hint="eastAsia" w:ascii="仿宋_GB2312" w:hAnsi="黑体" w:eastAsia="仿宋_GB2312"/>
          <w:sz w:val="32"/>
          <w:szCs w:val="32"/>
        </w:rPr>
        <w:t>除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艾滋病、梅毒、乙肝</w:t>
      </w:r>
      <w:r>
        <w:rPr>
          <w:rFonts w:hint="eastAsia" w:ascii="仿宋_GB2312" w:hAnsi="黑体" w:eastAsia="仿宋_GB2312"/>
          <w:sz w:val="32"/>
          <w:szCs w:val="32"/>
        </w:rPr>
        <w:t>母婴传播科普视频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举办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辖区消除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艾滋病、梅毒、乙肝</w:t>
      </w:r>
      <w:r>
        <w:rPr>
          <w:rFonts w:hint="eastAsia" w:ascii="仿宋_GB2312" w:hAnsi="黑体" w:eastAsia="仿宋_GB2312"/>
          <w:sz w:val="32"/>
          <w:szCs w:val="32"/>
        </w:rPr>
        <w:t>母婴传播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健康科普大赛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遴选优秀作品，提高妇幼人群健康素养。充分发挥西城区妇幼保健健康宣教平台、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医疗机构官方网站、新媒体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街道宣传展示栏等多种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途径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广泛传播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，提升妇幼人群对高质量健康科普信息的获得感，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增强参与妇幼健康保健积极性。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积极参与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北京市妇幼健康科普大赛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，广泛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开展优秀科普作品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和核心信息知识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线上宣传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妇幼健康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服务“金牌讲师”评选，培养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妇幼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骨干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产后营养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、妊娠盆底障碍防治、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0-6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岁儿童听力保健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等健康科普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核心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广泛开展妇幼健康教育。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强化医体结合，推广儿童家庭养育韵律操课程，指导儿童保持吃动平衡，预防减少儿童超重、肥胖发生。开展世界孤独症关爱日、儿童健康宣传周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、母乳喂养宣传周、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出生缺陷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防治等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系列宣传活动，提高群众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健康素养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。进一步宣传加速消除宫颈癌和生殖健康促进行动，提升群众健康第一责任人理念。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15.发挥智慧妇幼信息化平台作用。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应用推广云上妇幼平台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，巩固完善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远程危重症病例讨论指导和高危转会诊等，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>强化培训指导，确保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危重新生儿转运系统信息录入及时准确。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医疗机构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bidi="ar"/>
        </w:rPr>
        <w:t>充分依托互联网平台，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提升妇幼健康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bidi="ar"/>
        </w:rPr>
        <w:t>“互联网+”诊疗服务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"/>
        </w:rPr>
        <w:t>能力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bidi="ar"/>
        </w:rPr>
        <w:t>，采取网上预约诊疗、线上支付、化验检查结果在线查询等方式，提高诊疗效率，提升就医体验。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按照北京市安排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推进妇幼健康惠民措施经“京通”智慧终端与群众无缝连接，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推进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bidi="ar"/>
        </w:rPr>
        <w:t>全市妇幼健康信息系统与门诊及住院电子病历采集的共享联通，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拓展医疗领域智慧应用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16.加强妇幼健康人才队伍建设。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深化妇幼健康能力提升年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和岗位练兵技能大赛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建设成果，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根据辖区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妇幼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管理及专业发展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开展西城区妇幼健康骨干人才培养工程，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健全妇幼保健机构管理人员定期培训的长效机制。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妇幼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生命全周期健康服务开展分级分类培训，重点培养辖区孕产保健、儿童保健、妇女保健管理复合型人才，培养妇女儿童医疗保健优秀专业骨干和学科带头人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。强化产科骨干、助产士技能培训和新生儿复苏实操培训。落实</w:t>
      </w:r>
      <w:r>
        <w:rPr>
          <w:rFonts w:hint="eastAsia" w:ascii="仿宋_GB2312" w:eastAsia="仿宋_GB2312" w:cs="FZFSK--GBK1-0"/>
          <w:color w:val="auto"/>
          <w:sz w:val="32"/>
          <w:szCs w:val="32"/>
        </w:rPr>
        <w:t>“妇女保健技术提升工程北京行”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，实现妇幼健康服务能力全面提升。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严格监管，坚守妇幼健康行业安全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严格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出生医学证明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签发管理。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压实助产机构落实签发管理各项政策、制度主体责任。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按照国家和北京市要求，推动助产机构应用人脸识别技术在孕妇建档、入院、产科待产、出生医学证明签发时开展“刷脸比对”，把好身份核验关，确保“人”“证”一致。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定期开展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出生医学证明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签发机构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工作区级评估。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建立辖区出生医学证明排查机制，开展日常监测，主动查找异常个案，实时预警提示，及时发现违规线索，加强事后监管。采取“四不两直”、飞行检查等方法，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出生医学证明督导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，定期开展区级专业警示提示和培训，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对重点机构、重点环节、重点人群检查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指导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力度。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加强线上签发的宣传指导和质控、检查和培训，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进一步提高出生医学证明线上申领签发比例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指导各助产机构线上申领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出生医学证明档案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生成、一键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归档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强化出生医学证明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档案管理，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按照北京市要求开展纸质出生医学证明签发档案入馆永久保存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18.严格行业安全和重点技术监督管理。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规范实施母婴保健专项技术服务行政许可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，严格人类辅助生殖技术医疗机构管理，强化定期质控随机抽查，推进事中事后常态化监管。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牢固树立安全发展理念，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强化红线意识，坚持底线思维，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开展风险隐患排查，狠抓工作落实，筑牢妇幼健康行业安全生产、保密安全、信息安全防线。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9FA0C"/>
    <w:multiLevelType w:val="singleLevel"/>
    <w:tmpl w:val="0029FA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795007"/>
    <w:multiLevelType w:val="singleLevel"/>
    <w:tmpl w:val="0079500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AaYYBIv+28QazlwwoUmwmZxfVFY=" w:salt="9wxaze6P6rZ56px/Zz3z4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36A0"/>
    <w:rsid w:val="001854FE"/>
    <w:rsid w:val="002139BD"/>
    <w:rsid w:val="00237233"/>
    <w:rsid w:val="002C0013"/>
    <w:rsid w:val="002F0FC7"/>
    <w:rsid w:val="0045684D"/>
    <w:rsid w:val="004C7112"/>
    <w:rsid w:val="004E66FC"/>
    <w:rsid w:val="0054211B"/>
    <w:rsid w:val="006A3225"/>
    <w:rsid w:val="007407FB"/>
    <w:rsid w:val="00775FF5"/>
    <w:rsid w:val="00A028D7"/>
    <w:rsid w:val="00B07E78"/>
    <w:rsid w:val="00C50788"/>
    <w:rsid w:val="00C86714"/>
    <w:rsid w:val="011966B0"/>
    <w:rsid w:val="011B2785"/>
    <w:rsid w:val="0137116A"/>
    <w:rsid w:val="019B6B87"/>
    <w:rsid w:val="023D2321"/>
    <w:rsid w:val="02556D3D"/>
    <w:rsid w:val="028C32CD"/>
    <w:rsid w:val="029A330D"/>
    <w:rsid w:val="02D531F3"/>
    <w:rsid w:val="030B0F22"/>
    <w:rsid w:val="036B2405"/>
    <w:rsid w:val="0387424D"/>
    <w:rsid w:val="043E3C83"/>
    <w:rsid w:val="045F07FF"/>
    <w:rsid w:val="046B4ADF"/>
    <w:rsid w:val="04816228"/>
    <w:rsid w:val="051C0AD3"/>
    <w:rsid w:val="05356CDE"/>
    <w:rsid w:val="05861E31"/>
    <w:rsid w:val="05985D80"/>
    <w:rsid w:val="05A231A3"/>
    <w:rsid w:val="06323B27"/>
    <w:rsid w:val="068F1219"/>
    <w:rsid w:val="06A044A6"/>
    <w:rsid w:val="06F75A6C"/>
    <w:rsid w:val="074350AD"/>
    <w:rsid w:val="074A4B75"/>
    <w:rsid w:val="07750EFE"/>
    <w:rsid w:val="08274528"/>
    <w:rsid w:val="084A1779"/>
    <w:rsid w:val="084F074C"/>
    <w:rsid w:val="08FE10DB"/>
    <w:rsid w:val="09232FB8"/>
    <w:rsid w:val="09243B0F"/>
    <w:rsid w:val="096346C8"/>
    <w:rsid w:val="09681AD4"/>
    <w:rsid w:val="09A01C6E"/>
    <w:rsid w:val="0A193D44"/>
    <w:rsid w:val="0A3B39C1"/>
    <w:rsid w:val="0A416729"/>
    <w:rsid w:val="0ABB6D47"/>
    <w:rsid w:val="0AE6026A"/>
    <w:rsid w:val="0AEC0D1D"/>
    <w:rsid w:val="0B024415"/>
    <w:rsid w:val="0BB13B6E"/>
    <w:rsid w:val="0BDE5657"/>
    <w:rsid w:val="0BF67401"/>
    <w:rsid w:val="0BF76503"/>
    <w:rsid w:val="0C00367C"/>
    <w:rsid w:val="0C17534F"/>
    <w:rsid w:val="0CAC2150"/>
    <w:rsid w:val="0CB923DC"/>
    <w:rsid w:val="0CDA3F6A"/>
    <w:rsid w:val="0D1500F2"/>
    <w:rsid w:val="0D1B2EEB"/>
    <w:rsid w:val="0D426543"/>
    <w:rsid w:val="0DA7386A"/>
    <w:rsid w:val="0DB9338A"/>
    <w:rsid w:val="0E0219C3"/>
    <w:rsid w:val="0E6A7591"/>
    <w:rsid w:val="0E6E7782"/>
    <w:rsid w:val="0ED66E20"/>
    <w:rsid w:val="0EF269EF"/>
    <w:rsid w:val="0EFE770D"/>
    <w:rsid w:val="0F0F60DD"/>
    <w:rsid w:val="0F3152C9"/>
    <w:rsid w:val="0F5F629A"/>
    <w:rsid w:val="0F6C761E"/>
    <w:rsid w:val="0FA17966"/>
    <w:rsid w:val="0FB327AB"/>
    <w:rsid w:val="0FF66FF8"/>
    <w:rsid w:val="10336F37"/>
    <w:rsid w:val="103D677D"/>
    <w:rsid w:val="10637154"/>
    <w:rsid w:val="10BC5400"/>
    <w:rsid w:val="10E25B84"/>
    <w:rsid w:val="10E8701D"/>
    <w:rsid w:val="10F7390D"/>
    <w:rsid w:val="111955BF"/>
    <w:rsid w:val="113778C8"/>
    <w:rsid w:val="11820B15"/>
    <w:rsid w:val="11D1075A"/>
    <w:rsid w:val="11D42A7A"/>
    <w:rsid w:val="11D45A2A"/>
    <w:rsid w:val="12164A03"/>
    <w:rsid w:val="124342BB"/>
    <w:rsid w:val="1261253E"/>
    <w:rsid w:val="12630C3B"/>
    <w:rsid w:val="1272674B"/>
    <w:rsid w:val="12974FF0"/>
    <w:rsid w:val="12BA46B0"/>
    <w:rsid w:val="12EE7B04"/>
    <w:rsid w:val="12F3107D"/>
    <w:rsid w:val="12FF4C41"/>
    <w:rsid w:val="13262E41"/>
    <w:rsid w:val="13392DA3"/>
    <w:rsid w:val="13870C2B"/>
    <w:rsid w:val="138A07F1"/>
    <w:rsid w:val="14297D65"/>
    <w:rsid w:val="1625494D"/>
    <w:rsid w:val="16534330"/>
    <w:rsid w:val="16700574"/>
    <w:rsid w:val="168D3063"/>
    <w:rsid w:val="169B7F07"/>
    <w:rsid w:val="16CD2A1A"/>
    <w:rsid w:val="170A412D"/>
    <w:rsid w:val="173C5368"/>
    <w:rsid w:val="17673A16"/>
    <w:rsid w:val="17AE2150"/>
    <w:rsid w:val="17CF58F7"/>
    <w:rsid w:val="17E51DEA"/>
    <w:rsid w:val="17EA7051"/>
    <w:rsid w:val="180B30A1"/>
    <w:rsid w:val="1820662C"/>
    <w:rsid w:val="185613D4"/>
    <w:rsid w:val="1857299D"/>
    <w:rsid w:val="186C5FC6"/>
    <w:rsid w:val="18767372"/>
    <w:rsid w:val="18C51CCA"/>
    <w:rsid w:val="18E3593F"/>
    <w:rsid w:val="19107657"/>
    <w:rsid w:val="191371C8"/>
    <w:rsid w:val="19CB05F5"/>
    <w:rsid w:val="1A115832"/>
    <w:rsid w:val="1A370A5F"/>
    <w:rsid w:val="1A5D7154"/>
    <w:rsid w:val="1A995DA3"/>
    <w:rsid w:val="1B0B739A"/>
    <w:rsid w:val="1B407DA7"/>
    <w:rsid w:val="1B582B5D"/>
    <w:rsid w:val="1BA309B2"/>
    <w:rsid w:val="1BC342F5"/>
    <w:rsid w:val="1C245839"/>
    <w:rsid w:val="1C5C6F89"/>
    <w:rsid w:val="1C7610AE"/>
    <w:rsid w:val="1CFD023A"/>
    <w:rsid w:val="1D0B1195"/>
    <w:rsid w:val="1D3919E3"/>
    <w:rsid w:val="1D4100F7"/>
    <w:rsid w:val="1D5F41D5"/>
    <w:rsid w:val="1D8E6C52"/>
    <w:rsid w:val="1DF838F3"/>
    <w:rsid w:val="1E280FA7"/>
    <w:rsid w:val="1E2A6256"/>
    <w:rsid w:val="1E3C1268"/>
    <w:rsid w:val="1E776A6F"/>
    <w:rsid w:val="1F274386"/>
    <w:rsid w:val="1F3D7CFE"/>
    <w:rsid w:val="1F4716A8"/>
    <w:rsid w:val="1F522611"/>
    <w:rsid w:val="1F5D54CB"/>
    <w:rsid w:val="1F8620A7"/>
    <w:rsid w:val="1FAA2B17"/>
    <w:rsid w:val="1FD90899"/>
    <w:rsid w:val="1FEF3612"/>
    <w:rsid w:val="201D29F5"/>
    <w:rsid w:val="20315CF4"/>
    <w:rsid w:val="205F3CC2"/>
    <w:rsid w:val="2068278E"/>
    <w:rsid w:val="20ED031B"/>
    <w:rsid w:val="20EF3007"/>
    <w:rsid w:val="20FF1D5F"/>
    <w:rsid w:val="21437546"/>
    <w:rsid w:val="21535230"/>
    <w:rsid w:val="2155014D"/>
    <w:rsid w:val="21570D92"/>
    <w:rsid w:val="217B73D6"/>
    <w:rsid w:val="21962819"/>
    <w:rsid w:val="21C4114E"/>
    <w:rsid w:val="22070757"/>
    <w:rsid w:val="225E3BF5"/>
    <w:rsid w:val="22965E27"/>
    <w:rsid w:val="22B92A2E"/>
    <w:rsid w:val="22C17AFB"/>
    <w:rsid w:val="22F62A00"/>
    <w:rsid w:val="23155078"/>
    <w:rsid w:val="235261D7"/>
    <w:rsid w:val="24126168"/>
    <w:rsid w:val="241273FD"/>
    <w:rsid w:val="24453D36"/>
    <w:rsid w:val="246B6127"/>
    <w:rsid w:val="247C7F3B"/>
    <w:rsid w:val="24B856E0"/>
    <w:rsid w:val="253533CA"/>
    <w:rsid w:val="253D30D5"/>
    <w:rsid w:val="25646957"/>
    <w:rsid w:val="25D86783"/>
    <w:rsid w:val="262A6108"/>
    <w:rsid w:val="262D20E9"/>
    <w:rsid w:val="264D4A05"/>
    <w:rsid w:val="26690CA3"/>
    <w:rsid w:val="267D6330"/>
    <w:rsid w:val="269B00A0"/>
    <w:rsid w:val="26DA67C2"/>
    <w:rsid w:val="275C2650"/>
    <w:rsid w:val="27683A7D"/>
    <w:rsid w:val="2787524A"/>
    <w:rsid w:val="27C67EDA"/>
    <w:rsid w:val="281B7F75"/>
    <w:rsid w:val="284F12E5"/>
    <w:rsid w:val="28A973E9"/>
    <w:rsid w:val="28C13D26"/>
    <w:rsid w:val="29483FF5"/>
    <w:rsid w:val="299A2F09"/>
    <w:rsid w:val="29F13D48"/>
    <w:rsid w:val="2A364CB5"/>
    <w:rsid w:val="2A4670E2"/>
    <w:rsid w:val="2A695C67"/>
    <w:rsid w:val="2AC16BFD"/>
    <w:rsid w:val="2B1B2B80"/>
    <w:rsid w:val="2B2C1EEE"/>
    <w:rsid w:val="2B5801A9"/>
    <w:rsid w:val="2B6B6BB1"/>
    <w:rsid w:val="2C0125B6"/>
    <w:rsid w:val="2C0838E8"/>
    <w:rsid w:val="2C18102F"/>
    <w:rsid w:val="2C2677C6"/>
    <w:rsid w:val="2C3E091A"/>
    <w:rsid w:val="2C76269A"/>
    <w:rsid w:val="2CD45C51"/>
    <w:rsid w:val="2CD77E11"/>
    <w:rsid w:val="2CE90D12"/>
    <w:rsid w:val="2D664DF6"/>
    <w:rsid w:val="2DAB03DB"/>
    <w:rsid w:val="2DCD4D54"/>
    <w:rsid w:val="2DDE184E"/>
    <w:rsid w:val="2E0D33DC"/>
    <w:rsid w:val="2E1E3F72"/>
    <w:rsid w:val="2E745B55"/>
    <w:rsid w:val="2E785803"/>
    <w:rsid w:val="2E937E16"/>
    <w:rsid w:val="2E985A9F"/>
    <w:rsid w:val="2E9E6010"/>
    <w:rsid w:val="2F0651C4"/>
    <w:rsid w:val="2F842C2F"/>
    <w:rsid w:val="2F8F2A27"/>
    <w:rsid w:val="2FEC6001"/>
    <w:rsid w:val="30156F18"/>
    <w:rsid w:val="30521C68"/>
    <w:rsid w:val="30A35024"/>
    <w:rsid w:val="30D328E0"/>
    <w:rsid w:val="31381358"/>
    <w:rsid w:val="31474205"/>
    <w:rsid w:val="31B73F36"/>
    <w:rsid w:val="31D7291C"/>
    <w:rsid w:val="322B5157"/>
    <w:rsid w:val="323B6977"/>
    <w:rsid w:val="32807508"/>
    <w:rsid w:val="32A544AB"/>
    <w:rsid w:val="338F33DE"/>
    <w:rsid w:val="33C7488D"/>
    <w:rsid w:val="33E163A0"/>
    <w:rsid w:val="33F06617"/>
    <w:rsid w:val="34283C43"/>
    <w:rsid w:val="34650CC6"/>
    <w:rsid w:val="34820CFF"/>
    <w:rsid w:val="349F6F42"/>
    <w:rsid w:val="34A65927"/>
    <w:rsid w:val="34D13A85"/>
    <w:rsid w:val="35161DA0"/>
    <w:rsid w:val="352521B0"/>
    <w:rsid w:val="358824EB"/>
    <w:rsid w:val="35B86DB1"/>
    <w:rsid w:val="35E51386"/>
    <w:rsid w:val="35F67235"/>
    <w:rsid w:val="37112F28"/>
    <w:rsid w:val="37341C61"/>
    <w:rsid w:val="3745586E"/>
    <w:rsid w:val="37A45D21"/>
    <w:rsid w:val="37AB00A2"/>
    <w:rsid w:val="37B222C2"/>
    <w:rsid w:val="37C43ACD"/>
    <w:rsid w:val="38095DD2"/>
    <w:rsid w:val="382068EB"/>
    <w:rsid w:val="384A4741"/>
    <w:rsid w:val="385C479A"/>
    <w:rsid w:val="38827C8A"/>
    <w:rsid w:val="389261DA"/>
    <w:rsid w:val="38A66107"/>
    <w:rsid w:val="392F5064"/>
    <w:rsid w:val="395E447A"/>
    <w:rsid w:val="397109D4"/>
    <w:rsid w:val="39800E60"/>
    <w:rsid w:val="39DA1FDC"/>
    <w:rsid w:val="3A164408"/>
    <w:rsid w:val="3AA60D59"/>
    <w:rsid w:val="3AC95A24"/>
    <w:rsid w:val="3AD838BD"/>
    <w:rsid w:val="3AE478EE"/>
    <w:rsid w:val="3AF3779C"/>
    <w:rsid w:val="3B0A4805"/>
    <w:rsid w:val="3B183BD5"/>
    <w:rsid w:val="3B4E0507"/>
    <w:rsid w:val="3B9825F3"/>
    <w:rsid w:val="3BE438FC"/>
    <w:rsid w:val="3C4E1088"/>
    <w:rsid w:val="3C5D1CD5"/>
    <w:rsid w:val="3C960AAE"/>
    <w:rsid w:val="3CA44E5C"/>
    <w:rsid w:val="3CCB656B"/>
    <w:rsid w:val="3DAF6B17"/>
    <w:rsid w:val="3DC422C4"/>
    <w:rsid w:val="3DFB342A"/>
    <w:rsid w:val="3E2226B0"/>
    <w:rsid w:val="3E252DAA"/>
    <w:rsid w:val="3E4B319C"/>
    <w:rsid w:val="3F565BC2"/>
    <w:rsid w:val="3F575A45"/>
    <w:rsid w:val="3F6A3946"/>
    <w:rsid w:val="3F813AFE"/>
    <w:rsid w:val="3F8F4C6B"/>
    <w:rsid w:val="3F9A1E39"/>
    <w:rsid w:val="3FE21732"/>
    <w:rsid w:val="40595B19"/>
    <w:rsid w:val="407B2F6B"/>
    <w:rsid w:val="416262A9"/>
    <w:rsid w:val="41A91AEB"/>
    <w:rsid w:val="420F2DF2"/>
    <w:rsid w:val="427B08F4"/>
    <w:rsid w:val="42991C84"/>
    <w:rsid w:val="42B56790"/>
    <w:rsid w:val="43291F99"/>
    <w:rsid w:val="432E1949"/>
    <w:rsid w:val="43524544"/>
    <w:rsid w:val="436728A0"/>
    <w:rsid w:val="43FE1A6B"/>
    <w:rsid w:val="449120D8"/>
    <w:rsid w:val="449B5C1B"/>
    <w:rsid w:val="45800656"/>
    <w:rsid w:val="458D39D7"/>
    <w:rsid w:val="461E7E6F"/>
    <w:rsid w:val="46363E8D"/>
    <w:rsid w:val="46E74F61"/>
    <w:rsid w:val="47061305"/>
    <w:rsid w:val="47373725"/>
    <w:rsid w:val="47396E7D"/>
    <w:rsid w:val="473F7722"/>
    <w:rsid w:val="47B104A1"/>
    <w:rsid w:val="47FE4CC8"/>
    <w:rsid w:val="48944827"/>
    <w:rsid w:val="48A7308A"/>
    <w:rsid w:val="48AB0365"/>
    <w:rsid w:val="48F258A2"/>
    <w:rsid w:val="490A6BD1"/>
    <w:rsid w:val="49556E8F"/>
    <w:rsid w:val="497E7651"/>
    <w:rsid w:val="49823FFB"/>
    <w:rsid w:val="498C2185"/>
    <w:rsid w:val="49977592"/>
    <w:rsid w:val="49D41003"/>
    <w:rsid w:val="4A1A364D"/>
    <w:rsid w:val="4A341AB8"/>
    <w:rsid w:val="4A60216F"/>
    <w:rsid w:val="4A870B33"/>
    <w:rsid w:val="4AE16912"/>
    <w:rsid w:val="4B0A06DB"/>
    <w:rsid w:val="4B1266F9"/>
    <w:rsid w:val="4B155C3C"/>
    <w:rsid w:val="4B50376A"/>
    <w:rsid w:val="4BB575CD"/>
    <w:rsid w:val="4BDE65E9"/>
    <w:rsid w:val="4C0C24FE"/>
    <w:rsid w:val="4C6B1B61"/>
    <w:rsid w:val="4C775E19"/>
    <w:rsid w:val="4C9074E9"/>
    <w:rsid w:val="4CB54A14"/>
    <w:rsid w:val="4D014AB4"/>
    <w:rsid w:val="4D7112E4"/>
    <w:rsid w:val="4E4E6622"/>
    <w:rsid w:val="4E5305FA"/>
    <w:rsid w:val="4EB977F5"/>
    <w:rsid w:val="4EDF133C"/>
    <w:rsid w:val="4F572321"/>
    <w:rsid w:val="4F9F2CBC"/>
    <w:rsid w:val="4FBD00B0"/>
    <w:rsid w:val="4FFB78BB"/>
    <w:rsid w:val="4FFF1F87"/>
    <w:rsid w:val="5024696B"/>
    <w:rsid w:val="502D3877"/>
    <w:rsid w:val="507C0077"/>
    <w:rsid w:val="50C907F4"/>
    <w:rsid w:val="51144B00"/>
    <w:rsid w:val="51F649A9"/>
    <w:rsid w:val="52456747"/>
    <w:rsid w:val="53506D3E"/>
    <w:rsid w:val="535075CA"/>
    <w:rsid w:val="53FE64CF"/>
    <w:rsid w:val="541B590F"/>
    <w:rsid w:val="54253423"/>
    <w:rsid w:val="544B0B5A"/>
    <w:rsid w:val="5455177F"/>
    <w:rsid w:val="54944510"/>
    <w:rsid w:val="552F254F"/>
    <w:rsid w:val="553A7D4C"/>
    <w:rsid w:val="555960D7"/>
    <w:rsid w:val="55682F92"/>
    <w:rsid w:val="55895E2E"/>
    <w:rsid w:val="55A5468C"/>
    <w:rsid w:val="55D40F44"/>
    <w:rsid w:val="55FF5A21"/>
    <w:rsid w:val="561B6AAE"/>
    <w:rsid w:val="561E1258"/>
    <w:rsid w:val="562A7679"/>
    <w:rsid w:val="56363BED"/>
    <w:rsid w:val="56996D50"/>
    <w:rsid w:val="57202BFF"/>
    <w:rsid w:val="574A3346"/>
    <w:rsid w:val="57E0038B"/>
    <w:rsid w:val="580B1DAB"/>
    <w:rsid w:val="58DE28E4"/>
    <w:rsid w:val="58E84261"/>
    <w:rsid w:val="58EB3486"/>
    <w:rsid w:val="58F61906"/>
    <w:rsid w:val="59200DAD"/>
    <w:rsid w:val="593C12D6"/>
    <w:rsid w:val="594D3E23"/>
    <w:rsid w:val="59733C49"/>
    <w:rsid w:val="599938A9"/>
    <w:rsid w:val="59A1634F"/>
    <w:rsid w:val="59B40BFD"/>
    <w:rsid w:val="59B71E6F"/>
    <w:rsid w:val="59C171D7"/>
    <w:rsid w:val="59C424CE"/>
    <w:rsid w:val="59D2649B"/>
    <w:rsid w:val="59D33127"/>
    <w:rsid w:val="59F5536A"/>
    <w:rsid w:val="5A15195C"/>
    <w:rsid w:val="5AF20EEE"/>
    <w:rsid w:val="5B40706C"/>
    <w:rsid w:val="5C6D4E1D"/>
    <w:rsid w:val="5C8138FB"/>
    <w:rsid w:val="5C851E8E"/>
    <w:rsid w:val="5CE45364"/>
    <w:rsid w:val="5CFA6A5C"/>
    <w:rsid w:val="5D122C3B"/>
    <w:rsid w:val="5D341FB3"/>
    <w:rsid w:val="5D5E0965"/>
    <w:rsid w:val="5E0C5C19"/>
    <w:rsid w:val="5E105E42"/>
    <w:rsid w:val="5E182474"/>
    <w:rsid w:val="5E361AA7"/>
    <w:rsid w:val="5E71056D"/>
    <w:rsid w:val="5F142EC5"/>
    <w:rsid w:val="5F227003"/>
    <w:rsid w:val="5F2C6275"/>
    <w:rsid w:val="5F357772"/>
    <w:rsid w:val="5F365541"/>
    <w:rsid w:val="5F432343"/>
    <w:rsid w:val="5F8E69D3"/>
    <w:rsid w:val="5F8F4F8A"/>
    <w:rsid w:val="5FDE431E"/>
    <w:rsid w:val="60096D62"/>
    <w:rsid w:val="600A63E6"/>
    <w:rsid w:val="60281921"/>
    <w:rsid w:val="602A3689"/>
    <w:rsid w:val="6030001A"/>
    <w:rsid w:val="603F7B0A"/>
    <w:rsid w:val="60430D54"/>
    <w:rsid w:val="605333F4"/>
    <w:rsid w:val="60596127"/>
    <w:rsid w:val="609A3DDC"/>
    <w:rsid w:val="60CB2623"/>
    <w:rsid w:val="613211DA"/>
    <w:rsid w:val="616E30EB"/>
    <w:rsid w:val="618E4F34"/>
    <w:rsid w:val="619E0787"/>
    <w:rsid w:val="61FC1D4A"/>
    <w:rsid w:val="622974B3"/>
    <w:rsid w:val="62AB7266"/>
    <w:rsid w:val="62D105F3"/>
    <w:rsid w:val="62D53234"/>
    <w:rsid w:val="631345D5"/>
    <w:rsid w:val="633C1506"/>
    <w:rsid w:val="6359691D"/>
    <w:rsid w:val="63B72E89"/>
    <w:rsid w:val="64143B67"/>
    <w:rsid w:val="64A6637A"/>
    <w:rsid w:val="64B402F2"/>
    <w:rsid w:val="65176D64"/>
    <w:rsid w:val="653E6A40"/>
    <w:rsid w:val="659D0D58"/>
    <w:rsid w:val="65C15745"/>
    <w:rsid w:val="65EA6239"/>
    <w:rsid w:val="66360245"/>
    <w:rsid w:val="663E3DA3"/>
    <w:rsid w:val="66457D3C"/>
    <w:rsid w:val="6670308B"/>
    <w:rsid w:val="66A7191A"/>
    <w:rsid w:val="66BA064E"/>
    <w:rsid w:val="673E326D"/>
    <w:rsid w:val="679C4974"/>
    <w:rsid w:val="67B54057"/>
    <w:rsid w:val="682B321F"/>
    <w:rsid w:val="685551F2"/>
    <w:rsid w:val="68584AD3"/>
    <w:rsid w:val="687A2E61"/>
    <w:rsid w:val="68825F32"/>
    <w:rsid w:val="6941589C"/>
    <w:rsid w:val="69460E09"/>
    <w:rsid w:val="69464F87"/>
    <w:rsid w:val="697B40FC"/>
    <w:rsid w:val="6A094957"/>
    <w:rsid w:val="6A1B3F81"/>
    <w:rsid w:val="6A581895"/>
    <w:rsid w:val="6AF52546"/>
    <w:rsid w:val="6B410A4E"/>
    <w:rsid w:val="6B905ACA"/>
    <w:rsid w:val="6BD733DC"/>
    <w:rsid w:val="6BDF2097"/>
    <w:rsid w:val="6C037BBF"/>
    <w:rsid w:val="6C0868D6"/>
    <w:rsid w:val="6C390DEC"/>
    <w:rsid w:val="6C5F5A4F"/>
    <w:rsid w:val="6C9D13E9"/>
    <w:rsid w:val="6C9E51E7"/>
    <w:rsid w:val="6CC51D5D"/>
    <w:rsid w:val="6CDA6C1E"/>
    <w:rsid w:val="6CF931A0"/>
    <w:rsid w:val="6D00674C"/>
    <w:rsid w:val="6D071FE8"/>
    <w:rsid w:val="6D086B22"/>
    <w:rsid w:val="6D162F80"/>
    <w:rsid w:val="6D6822F6"/>
    <w:rsid w:val="6D882751"/>
    <w:rsid w:val="6DA46F8B"/>
    <w:rsid w:val="6DAE0043"/>
    <w:rsid w:val="6DF136B9"/>
    <w:rsid w:val="6E0226C2"/>
    <w:rsid w:val="6E16709C"/>
    <w:rsid w:val="6E69050D"/>
    <w:rsid w:val="6ECD6D2F"/>
    <w:rsid w:val="6ED10F2A"/>
    <w:rsid w:val="6EDD7109"/>
    <w:rsid w:val="6F5C0974"/>
    <w:rsid w:val="6F93332B"/>
    <w:rsid w:val="6FA870CE"/>
    <w:rsid w:val="6FCE2FAF"/>
    <w:rsid w:val="6FE479C8"/>
    <w:rsid w:val="6FE74378"/>
    <w:rsid w:val="6FF66238"/>
    <w:rsid w:val="70605694"/>
    <w:rsid w:val="706E4402"/>
    <w:rsid w:val="7097232A"/>
    <w:rsid w:val="70B1530C"/>
    <w:rsid w:val="70C53E32"/>
    <w:rsid w:val="70DE7E58"/>
    <w:rsid w:val="70EA14AF"/>
    <w:rsid w:val="71054A4A"/>
    <w:rsid w:val="712165D9"/>
    <w:rsid w:val="714804B1"/>
    <w:rsid w:val="715E650F"/>
    <w:rsid w:val="716E7379"/>
    <w:rsid w:val="718B475C"/>
    <w:rsid w:val="71CB3EC9"/>
    <w:rsid w:val="720A6523"/>
    <w:rsid w:val="72D916C0"/>
    <w:rsid w:val="72FD5D6E"/>
    <w:rsid w:val="731D0640"/>
    <w:rsid w:val="737C7031"/>
    <w:rsid w:val="739B148D"/>
    <w:rsid w:val="73D747C6"/>
    <w:rsid w:val="73FE027D"/>
    <w:rsid w:val="74105639"/>
    <w:rsid w:val="743C0405"/>
    <w:rsid w:val="7470327C"/>
    <w:rsid w:val="74A104A2"/>
    <w:rsid w:val="74E64AF2"/>
    <w:rsid w:val="74FC0BF2"/>
    <w:rsid w:val="75B025B7"/>
    <w:rsid w:val="761842C7"/>
    <w:rsid w:val="762A25A7"/>
    <w:rsid w:val="76365ECA"/>
    <w:rsid w:val="76A758BB"/>
    <w:rsid w:val="76C77A3F"/>
    <w:rsid w:val="76D61520"/>
    <w:rsid w:val="76D727F9"/>
    <w:rsid w:val="76EB0900"/>
    <w:rsid w:val="770D17E1"/>
    <w:rsid w:val="770E6B6B"/>
    <w:rsid w:val="7772659C"/>
    <w:rsid w:val="777E28E2"/>
    <w:rsid w:val="778A3041"/>
    <w:rsid w:val="77ED547D"/>
    <w:rsid w:val="77F92BFB"/>
    <w:rsid w:val="780E30DF"/>
    <w:rsid w:val="786E10AD"/>
    <w:rsid w:val="78961EF4"/>
    <w:rsid w:val="78A706BF"/>
    <w:rsid w:val="79002B56"/>
    <w:rsid w:val="79605221"/>
    <w:rsid w:val="7972403B"/>
    <w:rsid w:val="797978EF"/>
    <w:rsid w:val="79EA3337"/>
    <w:rsid w:val="7A082EB4"/>
    <w:rsid w:val="7A107699"/>
    <w:rsid w:val="7A8637F0"/>
    <w:rsid w:val="7AE26712"/>
    <w:rsid w:val="7B113CB2"/>
    <w:rsid w:val="7B1478E1"/>
    <w:rsid w:val="7BE85C1B"/>
    <w:rsid w:val="7BF80292"/>
    <w:rsid w:val="7C173105"/>
    <w:rsid w:val="7C4A3E2A"/>
    <w:rsid w:val="7C64666B"/>
    <w:rsid w:val="7C800DF3"/>
    <w:rsid w:val="7CA513D9"/>
    <w:rsid w:val="7CE455B9"/>
    <w:rsid w:val="7CE964B0"/>
    <w:rsid w:val="7D445062"/>
    <w:rsid w:val="7D4A5819"/>
    <w:rsid w:val="7D700CD9"/>
    <w:rsid w:val="7D957D7C"/>
    <w:rsid w:val="7DEC3974"/>
    <w:rsid w:val="7E113014"/>
    <w:rsid w:val="7E13246D"/>
    <w:rsid w:val="7E2E3FE2"/>
    <w:rsid w:val="7E4363C8"/>
    <w:rsid w:val="7F2D6FB6"/>
    <w:rsid w:val="7F337524"/>
    <w:rsid w:val="7F50575F"/>
    <w:rsid w:val="7F804A78"/>
    <w:rsid w:val="7F9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等线" w:hAnsi="等线" w:eastAsia="等线" w:cs="宋体"/>
      <w:b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5377</Words>
  <Characters>5441</Characters>
  <Lines>2</Lines>
  <Paragraphs>1</Paragraphs>
  <TotalTime>1</TotalTime>
  <ScaleCrop>false</ScaleCrop>
  <LinksUpToDate>false</LinksUpToDate>
  <CharactersWithSpaces>5492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2020-05-13T04:49:00Z</dcterms:created>
  <dc:creator>MR</dc:creator>
  <cp:lastModifiedBy>张三</cp:lastModifiedBy>
  <dcterms:modified xsi:type="dcterms:W3CDTF">2024-04-28T08:40:58Z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FBF520D2F3D44680844AC50FD41BD0F4</vt:lpwstr>
  </property>
</Properties>
</file>