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rPr>
      </w:pPr>
    </w:p>
    <w:p>
      <w:pPr>
        <w:pStyle w:val="3"/>
        <w:ind w:firstLine="640"/>
        <w:rPr>
          <w:rFonts w:hint="eastAsia" w:eastAsia="黑体"/>
          <w:sz w:val="32"/>
          <w:szCs w:val="32"/>
        </w:rPr>
      </w:pPr>
    </w:p>
    <w:p>
      <w:pPr>
        <w:pStyle w:val="3"/>
        <w:ind w:firstLine="640"/>
        <w:rPr>
          <w:rFonts w:hint="eastAsia" w:eastAsia="黑体"/>
          <w:sz w:val="32"/>
          <w:szCs w:val="32"/>
        </w:rPr>
      </w:pPr>
    </w:p>
    <w:p>
      <w:pPr>
        <w:jc w:val="center"/>
        <w:rPr>
          <w:rFonts w:ascii="黑体" w:eastAsia="黑体"/>
          <w:sz w:val="72"/>
          <w:szCs w:val="72"/>
        </w:rPr>
      </w:pPr>
    </w:p>
    <w:p>
      <w:pP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2023年度北京市西城</w:t>
      </w:r>
      <w:r>
        <w:rPr>
          <w:rFonts w:hint="eastAsia" w:ascii="黑体" w:eastAsia="黑体"/>
          <w:sz w:val="72"/>
          <w:szCs w:val="72"/>
          <w:lang w:val="en-US" w:eastAsia="zh-CN"/>
        </w:rPr>
        <w:t>区宣房集团</w:t>
      </w:r>
      <w:r>
        <w:rPr>
          <w:rFonts w:hint="eastAsia" w:ascii="黑体" w:eastAsia="黑体"/>
          <w:sz w:val="72"/>
          <w:szCs w:val="72"/>
        </w:rPr>
        <w:t>部门决算</w:t>
      </w:r>
    </w:p>
    <w:p>
      <w:pPr>
        <w:jc w:val="center"/>
        <w:rPr>
          <w:rFonts w:ascii="黑体" w:eastAsia="黑体"/>
          <w:sz w:val="52"/>
          <w:szCs w:val="52"/>
        </w:rPr>
      </w:pPr>
    </w:p>
    <w:p>
      <w:pPr>
        <w:rPr>
          <w:rFonts w:ascii="黑体" w:eastAsia="黑体"/>
          <w:sz w:val="52"/>
          <w:szCs w:val="52"/>
        </w:rPr>
      </w:pPr>
    </w:p>
    <w:p>
      <w:pPr>
        <w:pStyle w:val="3"/>
        <w:ind w:firstLine="0" w:firstLineChars="0"/>
        <w:rPr>
          <w:rFonts w:ascii="黑体" w:eastAsia="黑体"/>
          <w:sz w:val="52"/>
          <w:szCs w:val="52"/>
        </w:rPr>
      </w:pPr>
    </w:p>
    <w:p>
      <w:pPr>
        <w:pStyle w:val="3"/>
        <w:ind w:firstLine="0" w:firstLineChars="0"/>
        <w:rPr>
          <w:rFonts w:ascii="黑体" w:eastAsia="黑体"/>
          <w:sz w:val="52"/>
          <w:szCs w:val="52"/>
        </w:rPr>
      </w:pPr>
    </w:p>
    <w:p>
      <w:pPr>
        <w:pStyle w:val="3"/>
        <w:ind w:firstLine="0" w:firstLineChars="0"/>
        <w:rPr>
          <w:rFonts w:hint="eastAsia" w:eastAsia="黑体"/>
        </w:rPr>
        <w:sectPr>
          <w:footerReference r:id="rId3" w:type="default"/>
          <w:pgSz w:w="16838" w:h="11906" w:orient="landscape"/>
          <w:pgMar w:top="1134" w:right="1134" w:bottom="1134" w:left="1134" w:header="851" w:footer="567" w:gutter="0"/>
          <w:pgNumType w:start="1"/>
          <w:cols w:space="720" w:num="1"/>
          <w:titlePg/>
          <w:docGrid w:type="linesAndChars" w:linePitch="312" w:charSpace="0"/>
        </w:sectPr>
      </w:pPr>
    </w:p>
    <w:p>
      <w:pPr>
        <w:spacing w:line="500" w:lineRule="exact"/>
        <w:ind w:firstLine="645"/>
        <w:jc w:val="center"/>
        <w:outlineLvl w:val="0"/>
        <w:rPr>
          <w:rFonts w:hint="eastAsia" w:ascii="宋体" w:hAnsi="宋体" w:cs="宋体"/>
          <w:b/>
          <w:bCs/>
          <w:kern w:val="0"/>
          <w:sz w:val="36"/>
          <w:szCs w:val="36"/>
        </w:rPr>
      </w:pPr>
      <w:bookmarkStart w:id="0" w:name="_Toc16214"/>
      <w:r>
        <w:rPr>
          <w:rFonts w:hint="eastAsia" w:ascii="宋体" w:hAnsi="宋体" w:cs="宋体"/>
          <w:b/>
          <w:bCs/>
          <w:kern w:val="0"/>
          <w:sz w:val="44"/>
          <w:szCs w:val="36"/>
        </w:rPr>
        <w:t>目    录</w:t>
      </w:r>
      <w:bookmarkEnd w:id="0"/>
    </w:p>
    <w:p>
      <w:pPr>
        <w:tabs>
          <w:tab w:val="center" w:pos="6979"/>
        </w:tabs>
        <w:spacing w:line="500" w:lineRule="exact"/>
        <w:ind w:firstLine="1600" w:firstLineChars="400"/>
        <w:jc w:val="left"/>
        <w:outlineLvl w:val="0"/>
        <w:rPr>
          <w:rFonts w:hint="eastAsia" w:ascii="宋体" w:hAnsi="宋体" w:cs="宋体"/>
          <w:spacing w:val="40"/>
          <w:kern w:val="0"/>
          <w:sz w:val="32"/>
          <w:szCs w:val="32"/>
        </w:rPr>
      </w:pPr>
      <w:bookmarkStart w:id="1" w:name="_Toc30994"/>
    </w:p>
    <w:p>
      <w:pPr>
        <w:tabs>
          <w:tab w:val="center" w:pos="6979"/>
        </w:tabs>
        <w:spacing w:line="500" w:lineRule="exact"/>
        <w:ind w:firstLine="1600" w:firstLineChars="400"/>
        <w:jc w:val="left"/>
        <w:outlineLvl w:val="0"/>
        <w:rPr>
          <w:rFonts w:hint="eastAsia" w:ascii="宋体" w:hAnsi="宋体" w:cs="宋体"/>
          <w:spacing w:val="40"/>
          <w:kern w:val="0"/>
          <w:sz w:val="32"/>
          <w:szCs w:val="32"/>
        </w:rPr>
      </w:pPr>
      <w:r>
        <w:rPr>
          <w:rFonts w:hint="eastAsia" w:ascii="宋体" w:hAnsi="宋体" w:cs="宋体"/>
          <w:spacing w:val="40"/>
          <w:kern w:val="0"/>
          <w:sz w:val="32"/>
          <w:szCs w:val="32"/>
        </w:rPr>
        <w:t>第</w:t>
      </w:r>
      <w:r>
        <w:rPr>
          <w:rFonts w:hint="eastAsia" w:ascii="宋体" w:hAnsi="宋体" w:cs="宋体"/>
          <w:bCs/>
          <w:spacing w:val="40"/>
          <w:kern w:val="0"/>
          <w:sz w:val="32"/>
          <w:szCs w:val="32"/>
        </w:rPr>
        <w:t>一</w:t>
      </w:r>
      <w:r>
        <w:rPr>
          <w:rFonts w:hint="eastAsia" w:ascii="宋体" w:hAnsi="宋体" w:cs="宋体"/>
          <w:spacing w:val="40"/>
          <w:kern w:val="0"/>
          <w:sz w:val="32"/>
          <w:szCs w:val="32"/>
        </w:rPr>
        <w:t>部分</w:t>
      </w:r>
      <w:r>
        <w:rPr>
          <w:rFonts w:hint="eastAsia" w:ascii="宋体" w:hAnsi="宋体"/>
          <w:spacing w:val="40"/>
          <w:sz w:val="32"/>
          <w:szCs w:val="32"/>
        </w:rPr>
        <w:t xml:space="preserve"> 2023年度部门决算说明</w:t>
      </w:r>
    </w:p>
    <w:p>
      <w:pPr>
        <w:tabs>
          <w:tab w:val="center" w:pos="6979"/>
        </w:tabs>
        <w:spacing w:line="500" w:lineRule="exact"/>
        <w:ind w:firstLine="1600" w:firstLineChars="400"/>
        <w:jc w:val="left"/>
        <w:outlineLvl w:val="0"/>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bookmarkEnd w:id="1"/>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outlineLvl w:val="0"/>
        <w:rPr>
          <w:rFonts w:hint="eastAsia" w:ascii="宋体" w:hAnsi="宋体" w:cs="宋体"/>
          <w:spacing w:val="40"/>
          <w:kern w:val="0"/>
          <w:sz w:val="32"/>
          <w:szCs w:val="32"/>
        </w:rPr>
      </w:pPr>
      <w:bookmarkStart w:id="2" w:name="_Toc2266"/>
      <w:r>
        <w:rPr>
          <w:rFonts w:hint="eastAsia" w:ascii="宋体" w:hAnsi="宋体" w:cs="宋体"/>
          <w:bCs/>
          <w:spacing w:val="40"/>
          <w:kern w:val="0"/>
          <w:sz w:val="32"/>
          <w:szCs w:val="32"/>
        </w:rPr>
        <w:t>第三部分</w:t>
      </w:r>
      <w:bookmarkEnd w:id="2"/>
      <w:r>
        <w:rPr>
          <w:rFonts w:hint="eastAsia" w:ascii="宋体" w:hAnsi="宋体" w:cs="宋体"/>
          <w:bCs/>
          <w:spacing w:val="40"/>
          <w:kern w:val="0"/>
          <w:sz w:val="32"/>
          <w:szCs w:val="32"/>
        </w:rPr>
        <w:t xml:space="preserve"> </w:t>
      </w:r>
      <w:r>
        <w:rPr>
          <w:rFonts w:hint="eastAsia" w:ascii="宋体" w:hAnsi="宋体" w:cs="宋体"/>
          <w:spacing w:val="40"/>
          <w:kern w:val="0"/>
          <w:sz w:val="32"/>
          <w:szCs w:val="32"/>
        </w:rPr>
        <w:t>2023年度部门绩效评价情况</w:t>
      </w:r>
    </w:p>
    <w:p>
      <w:pPr>
        <w:tabs>
          <w:tab w:val="center" w:pos="6979"/>
        </w:tabs>
        <w:spacing w:line="500" w:lineRule="exact"/>
        <w:ind w:firstLine="1600" w:firstLineChars="400"/>
        <w:jc w:val="left"/>
        <w:outlineLvl w:val="0"/>
        <w:rPr>
          <w:rFonts w:hint="eastAsia" w:ascii="宋体" w:hAnsi="宋体" w:cs="宋体"/>
          <w:bCs/>
          <w:spacing w:val="40"/>
          <w:kern w:val="0"/>
          <w:sz w:val="32"/>
          <w:szCs w:val="32"/>
        </w:rPr>
      </w:pPr>
      <w:r>
        <w:rPr>
          <w:rFonts w:hint="eastAsia" w:ascii="宋体" w:hAnsi="宋体" w:cs="宋体"/>
          <w:bCs/>
          <w:spacing w:val="40"/>
          <w:kern w:val="0"/>
          <w:sz w:val="32"/>
          <w:szCs w:val="32"/>
        </w:rPr>
        <w:t>第</w:t>
      </w:r>
      <w:r>
        <w:rPr>
          <w:rFonts w:hint="eastAsia" w:ascii="宋体" w:hAnsi="宋体" w:cs="宋体"/>
          <w:spacing w:val="40"/>
          <w:kern w:val="0"/>
          <w:sz w:val="32"/>
          <w:szCs w:val="32"/>
        </w:rPr>
        <w:t>四</w:t>
      </w:r>
      <w:r>
        <w:rPr>
          <w:rFonts w:hint="eastAsia" w:ascii="宋体" w:hAnsi="宋体" w:cs="宋体"/>
          <w:bCs/>
          <w:spacing w:val="40"/>
          <w:kern w:val="0"/>
          <w:sz w:val="32"/>
          <w:szCs w:val="32"/>
        </w:rPr>
        <w:t>部分 2023年度部门决算报表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jc w:val="left"/>
        <w:rPr>
          <w:rFonts w:hint="eastAsia" w:ascii="宋体" w:hAnsi="宋体" w:cs="宋体"/>
          <w:b/>
          <w:bCs/>
          <w:spacing w:val="40"/>
          <w:kern w:val="0"/>
          <w:sz w:val="32"/>
          <w:szCs w:val="32"/>
        </w:rPr>
      </w:pPr>
      <w:r>
        <w:rPr>
          <w:rFonts w:hint="eastAsia" w:ascii="宋体" w:hAnsi="宋体" w:cs="宋体"/>
          <w:spacing w:val="40"/>
          <w:kern w:val="0"/>
          <w:sz w:val="32"/>
          <w:szCs w:val="32"/>
        </w:rPr>
        <w:br w:type="page"/>
      </w:r>
    </w:p>
    <w:p>
      <w:pPr>
        <w:tabs>
          <w:tab w:val="center" w:pos="6979"/>
        </w:tabs>
        <w:spacing w:before="156" w:beforeLines="50" w:after="156" w:afterLines="50"/>
        <w:jc w:val="center"/>
        <w:outlineLvl w:val="0"/>
        <w:rPr>
          <w:rFonts w:hint="eastAsia" w:ascii="宋体" w:hAnsi="宋体" w:cs="宋体"/>
          <w:b/>
          <w:bCs/>
          <w:spacing w:val="40"/>
          <w:kern w:val="0"/>
          <w:sz w:val="44"/>
          <w:szCs w:val="44"/>
        </w:rPr>
      </w:pPr>
      <w:bookmarkStart w:id="3" w:name="_Toc2915"/>
      <w:r>
        <w:rPr>
          <w:rFonts w:hint="eastAsia" w:ascii="宋体" w:hAnsi="宋体" w:cs="宋体"/>
          <w:b/>
          <w:bCs/>
          <w:spacing w:val="40"/>
          <w:kern w:val="0"/>
          <w:sz w:val="44"/>
          <w:szCs w:val="44"/>
        </w:rPr>
        <w:t>第一部分 2023年度部门决算说明</w:t>
      </w:r>
      <w:bookmarkEnd w:id="3"/>
    </w:p>
    <w:p>
      <w:pPr>
        <w:tabs>
          <w:tab w:val="center" w:pos="6979"/>
        </w:tabs>
        <w:spacing w:line="580" w:lineRule="exact"/>
        <w:ind w:firstLine="548" w:firstLineChars="196"/>
        <w:outlineLvl w:val="1"/>
        <w:rPr>
          <w:rFonts w:hint="eastAsia" w:ascii="黑体" w:eastAsia="黑体"/>
          <w:b/>
          <w:sz w:val="28"/>
          <w:szCs w:val="28"/>
        </w:rPr>
      </w:pPr>
      <w:bookmarkStart w:id="4" w:name="_Toc5538"/>
      <w:r>
        <w:rPr>
          <w:rFonts w:hint="eastAsia" w:ascii="黑体" w:eastAsia="黑体"/>
          <w:b/>
          <w:sz w:val="28"/>
          <w:szCs w:val="28"/>
        </w:rPr>
        <w:t>一、部门/单位基本情况</w:t>
      </w:r>
      <w:bookmarkEnd w:id="4"/>
    </w:p>
    <w:p>
      <w:pPr>
        <w:tabs>
          <w:tab w:val="center" w:pos="6979"/>
        </w:tabs>
        <w:spacing w:line="580" w:lineRule="exact"/>
        <w:ind w:firstLine="420" w:firstLineChars="150"/>
        <w:rPr>
          <w:rFonts w:eastAsia="仿宋_GB2312"/>
          <w:sz w:val="28"/>
          <w:szCs w:val="28"/>
        </w:rPr>
      </w:pPr>
      <w:r>
        <w:rPr>
          <w:rFonts w:eastAsia="仿宋_GB2312"/>
          <w:sz w:val="28"/>
          <w:szCs w:val="28"/>
        </w:rPr>
        <w:t>（一）机构职责</w:t>
      </w:r>
    </w:p>
    <w:p>
      <w:pPr>
        <w:tabs>
          <w:tab w:val="center" w:pos="6979"/>
        </w:tabs>
        <w:spacing w:line="580" w:lineRule="exact"/>
        <w:ind w:firstLine="420" w:firstLineChars="15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集团下辖北京宣房房屋经营有限公司、北京宣房楼宇设备有限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有限公司、北京宣房拆迁有限责任公司10个全资子公司。在职员工648人。共管理直管公房182万平方米、老旧危改小区及其他物业小区近100万平方米，负责房屋供暖面积254.32万平方米，管理锅炉房29处、锅炉73台、电梯85部、高层楼房二次供水22处。</w:t>
      </w:r>
    </w:p>
    <w:p>
      <w:pPr>
        <w:numPr>
          <w:ilvl w:val="0"/>
          <w:numId w:val="1"/>
        </w:numPr>
        <w:tabs>
          <w:tab w:val="center" w:pos="6979"/>
        </w:tabs>
        <w:spacing w:line="580" w:lineRule="exact"/>
        <w:ind w:firstLine="420" w:firstLineChars="150"/>
        <w:rPr>
          <w:rFonts w:eastAsia="仿宋_GB2312"/>
          <w:sz w:val="28"/>
          <w:szCs w:val="28"/>
        </w:rPr>
      </w:pPr>
      <w:r>
        <w:rPr>
          <w:rFonts w:eastAsia="仿宋_GB2312"/>
          <w:sz w:val="28"/>
          <w:szCs w:val="28"/>
        </w:rPr>
        <w:t>机构设置（需公开内设机构数量和下属单位数量及名称）</w:t>
      </w:r>
    </w:p>
    <w:p>
      <w:pPr>
        <w:ind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北京宣房集团是2000年</w:t>
      </w:r>
      <w:r>
        <w:rPr>
          <w:rFonts w:hint="eastAsia" w:ascii="仿宋_GB2312" w:hAnsi="仿宋_GB2312" w:eastAsia="仿宋_GB2312" w:cs="仿宋_GB2312"/>
          <w:sz w:val="28"/>
          <w:szCs w:val="28"/>
          <w:lang w:val="en-US" w:eastAsia="zh-CN"/>
        </w:rPr>
        <w:t>12月</w:t>
      </w:r>
      <w:r>
        <w:rPr>
          <w:rFonts w:hint="eastAsia" w:ascii="仿宋_GB2312" w:hAnsi="仿宋_GB2312" w:eastAsia="仿宋_GB2312" w:cs="仿宋_GB2312"/>
          <w:sz w:val="28"/>
          <w:szCs w:val="28"/>
        </w:rPr>
        <w:t>28日由原宣武区房屋土地管理局整建制改企后组建的公司，主要承担西城区南部直管公房及附属设施的维护管理、锅炉供暖、老旧小区物业管理以及完成政府交办的惠民工程。</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宣房</w:t>
      </w:r>
      <w:r>
        <w:rPr>
          <w:rFonts w:hint="eastAsia" w:ascii="仿宋_GB2312" w:hAnsi="Times New Roman" w:eastAsia="仿宋_GB2312" w:cs="Times New Roman"/>
          <w:sz w:val="28"/>
          <w:szCs w:val="28"/>
        </w:rPr>
        <w:t>集团所属三级以上（含三级）的各级企业，企业总户数2</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家。</w:t>
      </w:r>
      <w:r>
        <w:rPr>
          <w:rFonts w:hint="eastAsia" w:ascii="仿宋_GB2312" w:hAnsi="Times New Roman" w:eastAsia="仿宋_GB2312" w:cs="Times New Roman"/>
          <w:sz w:val="28"/>
          <w:szCs w:val="28"/>
          <w:lang w:val="en-US" w:eastAsia="zh-CN"/>
        </w:rPr>
        <w:t>分别为北京宣房投资管理集团有限公司、北京市红义物业管理有限公司、北京轩方装饰工程有限责任公司、北京宣房拆迁有限责任公司、北京宣房大德置业投资有限公司、北京大德君和酒店管理有限责任公司、北京宣房大厚投资管理有限责任公司、北京大厚永固房地产经纪有限公司、北京广德楼文化发展有限责任公司、北京宣房潭柘文化旅游发展有限公司、北京宣房房屋经营有限公司、北京京房房地产经纪有限公司、北京市爱贺兰物业管理有限公司、北京宣房建筑工程有限责任公司、北京宣房楼宇设备有限公司、北京鑫城达房屋修缮有限公司、北京鑫城达建筑安装有限公司、北京宣房物业管理有限公司、北京和安坊物业管理有限公司、北京宣房正阳经济贸易有限公司。</w:t>
      </w:r>
      <w:r>
        <w:rPr>
          <w:rFonts w:hint="eastAsia" w:ascii="仿宋_GB2312" w:hAnsi="Times New Roman" w:eastAsia="仿宋_GB2312" w:cs="Times New Roman"/>
          <w:sz w:val="28"/>
          <w:szCs w:val="28"/>
        </w:rPr>
        <w:t>截止2023年12月底，宣房集团从业人员788人（在岗职工600人，劳务派遣132人，聘用退休56人），不在岗职工2人，离退休人员1898人，共计职工人数为2688人。</w:t>
      </w:r>
    </w:p>
    <w:p>
      <w:pPr>
        <w:tabs>
          <w:tab w:val="center" w:pos="6979"/>
        </w:tabs>
        <w:spacing w:line="580" w:lineRule="exact"/>
        <w:ind w:firstLine="560" w:firstLineChars="200"/>
        <w:outlineLvl w:val="1"/>
        <w:rPr>
          <w:rFonts w:hint="eastAsia" w:ascii="黑体" w:eastAsia="黑体"/>
          <w:b/>
          <w:sz w:val="28"/>
          <w:szCs w:val="28"/>
        </w:rPr>
      </w:pPr>
      <w:bookmarkStart w:id="5" w:name="_Toc4799"/>
      <w:r>
        <w:rPr>
          <w:rFonts w:hint="eastAsia" w:ascii="黑体" w:eastAsia="黑体"/>
          <w:b/>
          <w:sz w:val="28"/>
          <w:szCs w:val="28"/>
        </w:rPr>
        <w:t>二、收入支出决算总体情况说明</w:t>
      </w:r>
      <w:bookmarkEnd w:id="5"/>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19178.89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9021.5</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2023年度本年收入合计</w:t>
      </w:r>
      <w:r>
        <w:rPr>
          <w:rFonts w:hint="eastAsia" w:ascii="仿宋_GB2312" w:eastAsia="仿宋_GB2312"/>
          <w:sz w:val="28"/>
          <w:szCs w:val="28"/>
          <w:lang w:val="en-US" w:eastAsia="zh-CN"/>
        </w:rPr>
        <w:t>19178.89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9021.5</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%，其中：财政拨款收入</w:t>
      </w:r>
      <w:r>
        <w:rPr>
          <w:rFonts w:hint="eastAsia" w:ascii="仿宋_GB2312" w:eastAsia="仿宋_GB2312"/>
          <w:sz w:val="28"/>
          <w:szCs w:val="28"/>
          <w:lang w:val="en-US" w:eastAsia="zh-CN"/>
        </w:rPr>
        <w:t>19178.89</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2"/>
        <w:jc w:val="center"/>
        <w:rPr>
          <w:rFonts w:hint="eastAsia" w:ascii="仿宋_GB2312" w:eastAsia="仿宋_GB2312"/>
          <w:color w:val="000000"/>
          <w:sz w:val="32"/>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2023年度本年支出合计</w:t>
      </w:r>
      <w:r>
        <w:rPr>
          <w:rFonts w:hint="eastAsia" w:ascii="仿宋_GB2312" w:eastAsia="仿宋_GB2312"/>
          <w:sz w:val="28"/>
          <w:szCs w:val="28"/>
          <w:lang w:val="en-US" w:eastAsia="zh-CN"/>
        </w:rPr>
        <w:t>19178.89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9021.5</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%，其中：基本支出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%；项目支出</w:t>
      </w:r>
      <w:r>
        <w:rPr>
          <w:rFonts w:hint="eastAsia" w:ascii="仿宋_GB2312" w:eastAsia="仿宋_GB2312"/>
          <w:sz w:val="28"/>
          <w:szCs w:val="28"/>
          <w:lang w:val="en-US" w:eastAsia="zh-CN"/>
        </w:rPr>
        <w:t>19178.89</w:t>
      </w:r>
      <w:r>
        <w:rPr>
          <w:rFonts w:hint="eastAsia" w:ascii="仿宋_GB2312" w:eastAsia="仿宋_GB2312"/>
          <w:sz w:val="28"/>
          <w:szCs w:val="28"/>
        </w:rPr>
        <w:t>万元，占支出合计的</w:t>
      </w:r>
      <w:r>
        <w:rPr>
          <w:rFonts w:ascii="仿宋_GB2312" w:eastAsia="仿宋_GB2312"/>
          <w:sz w:val="28"/>
          <w:szCs w:val="28"/>
        </w:rPr>
        <w:t>100</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jc w:val="center"/>
        <w:rPr>
          <w:rFonts w:hint="eastAsia" w:ascii="黑体" w:eastAsia="黑体"/>
          <w:b/>
          <w:sz w:val="28"/>
          <w:szCs w:val="28"/>
        </w:rPr>
      </w:pPr>
    </w:p>
    <w:p>
      <w:pPr>
        <w:tabs>
          <w:tab w:val="center" w:pos="6979"/>
        </w:tabs>
        <w:spacing w:line="580" w:lineRule="exact"/>
        <w:ind w:firstLine="548" w:firstLineChars="196"/>
        <w:outlineLvl w:val="1"/>
        <w:rPr>
          <w:rFonts w:hint="eastAsia" w:ascii="黑体" w:eastAsia="黑体"/>
          <w:b/>
          <w:sz w:val="28"/>
          <w:szCs w:val="28"/>
        </w:rPr>
      </w:pPr>
      <w:bookmarkStart w:id="6" w:name="_Toc19454"/>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bookmarkEnd w:id="6"/>
    </w:p>
    <w:p>
      <w:pPr>
        <w:tabs>
          <w:tab w:val="center" w:pos="6979"/>
        </w:tabs>
        <w:spacing w:line="580" w:lineRule="exact"/>
        <w:ind w:firstLine="570"/>
        <w:rPr>
          <w:rFonts w:hint="default" w:ascii="仿宋_GB2312" w:eastAsia="仿宋_GB2312"/>
          <w:sz w:val="28"/>
          <w:szCs w:val="28"/>
          <w:lang w:val="en-US"/>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19178.89</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9021.5</w:t>
      </w:r>
      <w:r>
        <w:rPr>
          <w:rFonts w:hint="eastAsia" w:ascii="仿宋_GB2312" w:eastAsia="仿宋_GB2312"/>
          <w:sz w:val="28"/>
          <w:szCs w:val="28"/>
        </w:rPr>
        <w:t>万元，增长</w:t>
      </w:r>
      <w:r>
        <w:rPr>
          <w:rFonts w:hint="eastAsia" w:ascii="仿宋_GB2312" w:eastAsia="仿宋_GB2312"/>
          <w:sz w:val="28"/>
          <w:szCs w:val="28"/>
          <w:lang w:val="en-US" w:eastAsia="zh-CN"/>
        </w:rPr>
        <w:t>89</w:t>
      </w:r>
      <w:r>
        <w:rPr>
          <w:rFonts w:hint="eastAsia" w:ascii="仿宋_GB2312" w:eastAsia="仿宋_GB2312"/>
          <w:sz w:val="28"/>
          <w:szCs w:val="28"/>
        </w:rPr>
        <w:t>%。主要原因：</w:t>
      </w:r>
      <w:r>
        <w:rPr>
          <w:rFonts w:hint="eastAsia" w:ascii="仿宋_GB2312" w:eastAsia="仿宋_GB2312"/>
          <w:sz w:val="28"/>
          <w:szCs w:val="28"/>
          <w:lang w:val="en-US" w:eastAsia="zh-CN"/>
        </w:rPr>
        <w:t>用于2023年平房翻建项目、直管公房管理费项目等。</w:t>
      </w:r>
    </w:p>
    <w:p>
      <w:pPr>
        <w:tabs>
          <w:tab w:val="center" w:pos="6979"/>
        </w:tabs>
        <w:spacing w:line="580" w:lineRule="exact"/>
        <w:ind w:firstLine="548" w:firstLineChars="196"/>
        <w:outlineLvl w:val="1"/>
        <w:rPr>
          <w:rFonts w:hint="eastAsia" w:ascii="黑体" w:eastAsia="黑体"/>
          <w:b/>
          <w:sz w:val="28"/>
          <w:szCs w:val="28"/>
        </w:rPr>
      </w:pPr>
      <w:bookmarkStart w:id="7" w:name="_Toc18816"/>
      <w:r>
        <w:rPr>
          <w:rFonts w:hint="eastAsia" w:ascii="黑体" w:eastAsia="黑体"/>
          <w:b/>
          <w:sz w:val="28"/>
          <w:szCs w:val="28"/>
        </w:rPr>
        <w:t>四、一般公共预算财政拨款支出决算情况说明</w:t>
      </w:r>
      <w:bookmarkEnd w:id="7"/>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2023年度一般公共预算财政拨款支出</w:t>
      </w:r>
      <w:r>
        <w:rPr>
          <w:rFonts w:hint="eastAsia" w:ascii="仿宋_GB2312" w:eastAsia="仿宋_GB2312"/>
          <w:sz w:val="28"/>
          <w:szCs w:val="28"/>
          <w:lang w:val="en-US" w:eastAsia="zh-CN"/>
        </w:rPr>
        <w:t>19178.89</w:t>
      </w:r>
      <w:r>
        <w:rPr>
          <w:rFonts w:hint="eastAsia" w:ascii="仿宋_GB2312" w:eastAsia="仿宋_GB2312"/>
          <w:sz w:val="28"/>
          <w:szCs w:val="28"/>
        </w:rPr>
        <w:t>万元，主要用于：</w:t>
      </w:r>
      <w:r>
        <w:rPr>
          <w:rFonts w:hint="eastAsia" w:ascii="仿宋_GB2312" w:eastAsia="仿宋_GB2312"/>
          <w:sz w:val="28"/>
          <w:szCs w:val="28"/>
          <w:lang w:val="en-US" w:eastAsia="zh-CN"/>
        </w:rPr>
        <w:t>城乡社区</w:t>
      </w:r>
      <w:r>
        <w:rPr>
          <w:rFonts w:hint="eastAsia" w:ascii="仿宋_GB2312" w:eastAsia="仿宋_GB2312"/>
          <w:sz w:val="28"/>
          <w:szCs w:val="28"/>
        </w:rPr>
        <w:t>支出</w:t>
      </w:r>
      <w:r>
        <w:rPr>
          <w:rFonts w:hint="eastAsia" w:ascii="仿宋_GB2312" w:eastAsia="仿宋_GB2312"/>
          <w:sz w:val="28"/>
          <w:szCs w:val="28"/>
          <w:lang w:val="en-US" w:eastAsia="zh-CN"/>
        </w:rPr>
        <w:t>19178.89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outlineLvl w:val="1"/>
        <w:rPr>
          <w:rFonts w:hint="eastAsia" w:ascii="仿宋_GB2312" w:eastAsia="仿宋_GB2312"/>
          <w:sz w:val="28"/>
          <w:szCs w:val="28"/>
        </w:rPr>
      </w:pPr>
      <w:bookmarkStart w:id="8" w:name="_Toc30711"/>
      <w:r>
        <w:rPr>
          <w:rFonts w:hint="eastAsia" w:ascii="仿宋_GB2312" w:eastAsia="仿宋_GB2312"/>
          <w:sz w:val="28"/>
          <w:szCs w:val="28"/>
        </w:rPr>
        <w:t>1、一般公共服务</w:t>
      </w:r>
      <w:r>
        <w:rPr>
          <w:rFonts w:hint="eastAsia" w:ascii="仿宋_GB2312" w:eastAsia="仿宋_GB2312"/>
          <w:sz w:val="28"/>
          <w:szCs w:val="28"/>
          <w:lang w:val="en-US" w:eastAsia="zh-CN"/>
        </w:rPr>
        <w:t>支出城乡社区支出</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2023年度决算</w:t>
      </w:r>
      <w:r>
        <w:rPr>
          <w:rFonts w:hint="eastAsia" w:ascii="仿宋_GB2312" w:eastAsia="仿宋_GB2312"/>
          <w:sz w:val="28"/>
          <w:szCs w:val="28"/>
          <w:lang w:val="en-US" w:eastAsia="zh-CN"/>
        </w:rPr>
        <w:t>19178.89</w:t>
      </w:r>
      <w:r>
        <w:rPr>
          <w:rFonts w:hint="eastAsia" w:ascii="仿宋_GB2312" w:eastAsia="仿宋_GB2312"/>
          <w:sz w:val="28"/>
          <w:szCs w:val="28"/>
        </w:rPr>
        <w:t>万元，比2023年年初预算增加</w:t>
      </w:r>
      <w:r>
        <w:rPr>
          <w:rFonts w:hint="eastAsia" w:ascii="仿宋_GB2312" w:eastAsia="仿宋_GB2312"/>
          <w:sz w:val="28"/>
          <w:szCs w:val="28"/>
          <w:lang w:val="en-US" w:eastAsia="zh-CN"/>
        </w:rPr>
        <w:t>9858.31</w:t>
      </w:r>
      <w:r>
        <w:rPr>
          <w:rFonts w:hint="eastAsia" w:ascii="仿宋_GB2312" w:eastAsia="仿宋_GB2312"/>
          <w:sz w:val="28"/>
          <w:szCs w:val="28"/>
        </w:rPr>
        <w:t>万元，增长</w:t>
      </w:r>
      <w:r>
        <w:rPr>
          <w:rFonts w:hint="eastAsia" w:ascii="仿宋_GB2312" w:eastAsia="仿宋_GB2312"/>
          <w:sz w:val="28"/>
          <w:szCs w:val="28"/>
          <w:lang w:val="en-US" w:eastAsia="zh-CN"/>
        </w:rPr>
        <w:t>106</w:t>
      </w:r>
      <w:r>
        <w:rPr>
          <w:rFonts w:hint="eastAsia" w:ascii="仿宋_GB2312" w:eastAsia="仿宋_GB2312"/>
          <w:sz w:val="28"/>
          <w:szCs w:val="28"/>
        </w:rPr>
        <w:t>%。主要原因：</w:t>
      </w:r>
      <w:r>
        <w:rPr>
          <w:rFonts w:hint="eastAsia" w:ascii="仿宋_GB2312" w:eastAsia="仿宋_GB2312"/>
          <w:sz w:val="28"/>
          <w:szCs w:val="28"/>
          <w:lang w:val="en-US" w:eastAsia="zh-CN"/>
        </w:rPr>
        <w:t>增加简易楼腾退相关项目资金</w:t>
      </w:r>
      <w:r>
        <w:rPr>
          <w:rFonts w:hint="eastAsia" w:ascii="仿宋_GB2312" w:eastAsia="仿宋_GB2312"/>
          <w:sz w:val="28"/>
          <w:szCs w:val="28"/>
        </w:rPr>
        <w:t>。</w:t>
      </w:r>
    </w:p>
    <w:p>
      <w:pPr>
        <w:spacing w:line="580" w:lineRule="exact"/>
        <w:ind w:firstLine="560" w:firstLineChars="200"/>
        <w:outlineLvl w:val="1"/>
        <w:rPr>
          <w:rFonts w:hint="eastAsia" w:ascii="仿宋_GB2312" w:eastAsia="仿宋_GB2312"/>
          <w:sz w:val="28"/>
          <w:szCs w:val="28"/>
        </w:rPr>
      </w:pPr>
      <w:r>
        <w:rPr>
          <w:rFonts w:hint="eastAsia" w:ascii="黑体" w:eastAsia="黑体"/>
          <w:b/>
          <w:sz w:val="28"/>
          <w:szCs w:val="28"/>
        </w:rPr>
        <w:t>五、政府性基金预算财政拨款支出决算情况说明</w:t>
      </w:r>
      <w:bookmarkEnd w:id="8"/>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numPr>
          <w:ilvl w:val="0"/>
          <w:numId w:val="2"/>
        </w:numPr>
        <w:autoSpaceDE w:val="0"/>
        <w:autoSpaceDN w:val="0"/>
        <w:adjustRightInd w:val="0"/>
        <w:spacing w:line="580" w:lineRule="exact"/>
        <w:ind w:left="0" w:leftChars="0" w:firstLine="420" w:firstLineChars="150"/>
        <w:jc w:val="left"/>
        <w:rPr>
          <w:rFonts w:hint="eastAsia" w:ascii="仿宋_GB2312" w:eastAsia="仿宋_GB2312"/>
          <w:sz w:val="28"/>
          <w:szCs w:val="28"/>
        </w:rPr>
      </w:pPr>
      <w:r>
        <w:rPr>
          <w:rFonts w:hint="eastAsia" w:ascii="仿宋_GB2312" w:eastAsia="仿宋_GB2312"/>
          <w:sz w:val="28"/>
          <w:szCs w:val="28"/>
        </w:rPr>
        <w:t>政府性基金预算财政拨款支出决算具体情况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spacing w:line="580" w:lineRule="exact"/>
        <w:ind w:firstLine="560" w:firstLineChars="200"/>
        <w:outlineLvl w:val="1"/>
        <w:rPr>
          <w:rFonts w:hint="eastAsia" w:ascii="黑体" w:eastAsia="黑体"/>
          <w:b/>
          <w:sz w:val="28"/>
          <w:szCs w:val="28"/>
        </w:rPr>
      </w:pPr>
      <w:bookmarkStart w:id="9" w:name="_Toc27211"/>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bookmarkEnd w:id="9"/>
    </w:p>
    <w:p>
      <w:pPr>
        <w:ind w:firstLine="537" w:firstLineChars="192"/>
        <w:rPr>
          <w:rFonts w:hint="eastAsia"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计130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计130</w:t>
      </w:r>
      <w:r>
        <w:rPr>
          <w:rFonts w:hint="eastAsia" w:ascii="仿宋_GB2312" w:eastAsia="仿宋_GB2312"/>
          <w:sz w:val="28"/>
          <w:szCs w:val="28"/>
        </w:rPr>
        <w:t>万元。</w:t>
      </w:r>
    </w:p>
    <w:p>
      <w:pPr>
        <w:spacing w:line="580" w:lineRule="exact"/>
        <w:ind w:firstLine="548" w:firstLineChars="196"/>
        <w:outlineLvl w:val="1"/>
        <w:rPr>
          <w:rFonts w:hint="eastAsia" w:ascii="黑体" w:eastAsia="黑体"/>
          <w:sz w:val="28"/>
          <w:szCs w:val="28"/>
        </w:rPr>
      </w:pPr>
      <w:bookmarkStart w:id="10" w:name="_Toc533"/>
      <w:r>
        <w:rPr>
          <w:rFonts w:hint="eastAsia" w:ascii="黑体" w:eastAsia="黑体"/>
          <w:b/>
          <w:sz w:val="28"/>
          <w:szCs w:val="28"/>
        </w:rPr>
        <w:t>七、财政拨款基本支出决算情况说明</w:t>
      </w:r>
      <w:bookmarkEnd w:id="10"/>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0</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rPr>
          <w:rFonts w:hint="eastAsia" w:ascii="宋体" w:hAnsi="宋体"/>
          <w:b/>
          <w:spacing w:val="40"/>
          <w:sz w:val="32"/>
          <w:szCs w:val="32"/>
        </w:rPr>
      </w:pPr>
      <w:r>
        <w:rPr>
          <w:rFonts w:ascii="仿宋_GB2312" w:eastAsia="仿宋_GB2312"/>
          <w:b/>
          <w:sz w:val="32"/>
          <w:szCs w:val="32"/>
        </w:rPr>
        <w:tab/>
      </w:r>
    </w:p>
    <w:p>
      <w:pPr>
        <w:tabs>
          <w:tab w:val="center" w:pos="6979"/>
        </w:tabs>
        <w:jc w:val="center"/>
        <w:outlineLvl w:val="0"/>
        <w:rPr>
          <w:rFonts w:hint="eastAsia" w:ascii="宋体" w:hAnsi="宋体" w:cs="宋体"/>
          <w:b/>
          <w:spacing w:val="40"/>
          <w:kern w:val="0"/>
          <w:sz w:val="44"/>
          <w:szCs w:val="44"/>
        </w:rPr>
      </w:pPr>
      <w:r>
        <w:rPr>
          <w:rFonts w:hint="eastAsia" w:ascii="宋体" w:hAnsi="宋体" w:cs="宋体"/>
          <w:b/>
          <w:bCs/>
          <w:spacing w:val="40"/>
          <w:kern w:val="0"/>
          <w:sz w:val="44"/>
          <w:szCs w:val="44"/>
        </w:rPr>
        <w:br w:type="page"/>
      </w:r>
      <w:bookmarkStart w:id="11" w:name="_Toc30362"/>
      <w:r>
        <w:rPr>
          <w:rFonts w:hint="eastAsia" w:ascii="宋体" w:hAnsi="宋体" w:cs="宋体"/>
          <w:b/>
          <w:bCs/>
          <w:spacing w:val="40"/>
          <w:kern w:val="0"/>
          <w:sz w:val="44"/>
          <w:szCs w:val="44"/>
        </w:rPr>
        <w:t>第二部分</w:t>
      </w:r>
      <w:r>
        <w:rPr>
          <w:rFonts w:hint="eastAsia" w:ascii="宋体" w:hAnsi="宋体"/>
          <w:b/>
          <w:spacing w:val="40"/>
          <w:sz w:val="44"/>
          <w:szCs w:val="44"/>
        </w:rPr>
        <w:t>2023年度</w:t>
      </w:r>
      <w:r>
        <w:rPr>
          <w:rFonts w:hint="eastAsia" w:ascii="宋体" w:hAnsi="宋体" w:cs="宋体"/>
          <w:b/>
          <w:spacing w:val="40"/>
          <w:kern w:val="0"/>
          <w:sz w:val="44"/>
          <w:szCs w:val="44"/>
        </w:rPr>
        <w:t>其他重要事项的情况说明</w:t>
      </w:r>
      <w:bookmarkEnd w:id="11"/>
    </w:p>
    <w:p>
      <w:pPr>
        <w:spacing w:line="560" w:lineRule="exact"/>
        <w:ind w:firstLine="560" w:firstLineChars="200"/>
        <w:rPr>
          <w:rFonts w:hint="eastAsia" w:ascii="黑体" w:eastAsia="黑体"/>
          <w:sz w:val="28"/>
          <w:szCs w:val="28"/>
        </w:rPr>
      </w:pPr>
    </w:p>
    <w:p>
      <w:pPr>
        <w:spacing w:line="560" w:lineRule="exact"/>
        <w:ind w:firstLine="560" w:firstLineChars="200"/>
        <w:outlineLvl w:val="1"/>
        <w:rPr>
          <w:rFonts w:hint="eastAsia" w:ascii="黑体" w:eastAsia="黑体"/>
          <w:sz w:val="28"/>
          <w:szCs w:val="28"/>
        </w:rPr>
      </w:pPr>
      <w:bookmarkStart w:id="12" w:name="_Toc3281"/>
      <w:r>
        <w:rPr>
          <w:rFonts w:hint="eastAsia" w:ascii="黑体" w:eastAsia="黑体"/>
          <w:sz w:val="28"/>
          <w:szCs w:val="28"/>
        </w:rPr>
        <w:t>一、“三公”经费财政拨款决算情况</w:t>
      </w:r>
      <w:bookmarkEnd w:id="12"/>
    </w:p>
    <w:p>
      <w:pPr>
        <w:spacing w:line="560" w:lineRule="exact"/>
        <w:ind w:firstLine="560" w:firstLineChars="200"/>
        <w:rPr>
          <w:rFonts w:hint="eastAsia"/>
        </w:rPr>
      </w:pPr>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tabs>
          <w:tab w:val="center" w:pos="6979"/>
        </w:tabs>
        <w:ind w:firstLine="554" w:firstLineChars="198"/>
        <w:outlineLvl w:val="1"/>
        <w:rPr>
          <w:rFonts w:hint="eastAsia" w:ascii="黑体" w:eastAsia="黑体"/>
          <w:sz w:val="28"/>
          <w:szCs w:val="28"/>
        </w:rPr>
      </w:pPr>
      <w:bookmarkStart w:id="13" w:name="_Toc14471"/>
      <w:r>
        <w:rPr>
          <w:rFonts w:hint="eastAsia" w:ascii="黑体" w:eastAsia="黑体"/>
          <w:sz w:val="28"/>
          <w:szCs w:val="28"/>
        </w:rPr>
        <w:t>二、机关运行经费支出情况</w:t>
      </w:r>
      <w:bookmarkEnd w:id="13"/>
    </w:p>
    <w:p>
      <w:pPr>
        <w:ind w:left="540"/>
        <w:outlineLvl w:val="1"/>
        <w:rPr>
          <w:rFonts w:hint="eastAsia"/>
          <w:sz w:val="28"/>
          <w:szCs w:val="28"/>
        </w:rPr>
      </w:pPr>
      <w:bookmarkStart w:id="14" w:name="_Toc19779"/>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ind w:left="540"/>
        <w:outlineLvl w:val="1"/>
        <w:rPr>
          <w:rFonts w:hint="eastAsia" w:ascii="黑体" w:eastAsia="黑体"/>
          <w:sz w:val="28"/>
          <w:szCs w:val="28"/>
        </w:rPr>
      </w:pPr>
      <w:r>
        <w:rPr>
          <w:rFonts w:hint="eastAsia" w:ascii="黑体" w:eastAsia="黑体"/>
          <w:sz w:val="28"/>
          <w:szCs w:val="28"/>
        </w:rPr>
        <w:t>三、政府采购支出情况</w:t>
      </w:r>
      <w:bookmarkEnd w:id="14"/>
    </w:p>
    <w:p>
      <w:pPr>
        <w:ind w:firstLine="560" w:firstLineChars="200"/>
        <w:outlineLvl w:val="1"/>
        <w:rPr>
          <w:rFonts w:hint="eastAsia"/>
          <w:sz w:val="28"/>
          <w:szCs w:val="28"/>
        </w:rPr>
      </w:pPr>
      <w:bookmarkStart w:id="15" w:name="_Toc24234"/>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numPr>
          <w:ilvl w:val="0"/>
          <w:numId w:val="3"/>
        </w:numPr>
        <w:ind w:firstLine="560" w:firstLineChars="200"/>
        <w:outlineLvl w:val="1"/>
        <w:rPr>
          <w:rFonts w:hint="eastAsia" w:ascii="黑体" w:eastAsia="黑体"/>
          <w:sz w:val="28"/>
          <w:szCs w:val="28"/>
        </w:rPr>
      </w:pPr>
      <w:r>
        <w:rPr>
          <w:rFonts w:hint="eastAsia" w:ascii="黑体" w:eastAsia="黑体"/>
          <w:sz w:val="28"/>
          <w:szCs w:val="28"/>
        </w:rPr>
        <w:t>国有资产占用情况</w:t>
      </w:r>
      <w:bookmarkEnd w:id="15"/>
    </w:p>
    <w:p>
      <w:pPr>
        <w:numPr>
          <w:ilvl w:val="0"/>
          <w:numId w:val="0"/>
        </w:numPr>
        <w:ind w:firstLine="560" w:firstLineChars="200"/>
        <w:outlineLvl w:val="1"/>
        <w:rPr>
          <w:rFonts w:hint="eastAsia" w:ascii="黑体" w:eastAsia="黑体"/>
          <w:sz w:val="28"/>
          <w:szCs w:val="28"/>
        </w:rPr>
      </w:pPr>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ind w:firstLine="537" w:firstLineChars="192"/>
        <w:outlineLvl w:val="1"/>
        <w:rPr>
          <w:rFonts w:ascii="黑体" w:eastAsia="黑体"/>
          <w:sz w:val="28"/>
          <w:szCs w:val="28"/>
        </w:rPr>
      </w:pPr>
      <w:bookmarkStart w:id="16" w:name="_Toc13840"/>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bookmarkEnd w:id="16"/>
    </w:p>
    <w:p>
      <w:pPr>
        <w:ind w:firstLine="560" w:firstLineChars="200"/>
        <w:jc w:val="left"/>
        <w:outlineLvl w:val="1"/>
        <w:rPr>
          <w:rFonts w:hint="eastAsia"/>
          <w:sz w:val="28"/>
          <w:szCs w:val="28"/>
        </w:rPr>
      </w:pPr>
      <w:bookmarkStart w:id="17" w:name="_Toc23993"/>
      <w:r>
        <w:rPr>
          <w:rFonts w:hint="eastAsia"/>
          <w:sz w:val="28"/>
          <w:szCs w:val="28"/>
        </w:rPr>
        <w:t>202</w:t>
      </w:r>
      <w:r>
        <w:rPr>
          <w:rFonts w:hint="eastAsia"/>
          <w:sz w:val="28"/>
          <w:szCs w:val="28"/>
          <w:lang w:val="en-US" w:eastAsia="zh-CN"/>
        </w:rPr>
        <w:t>3</w:t>
      </w:r>
      <w:r>
        <w:rPr>
          <w:rFonts w:hint="eastAsia"/>
          <w:sz w:val="28"/>
          <w:szCs w:val="28"/>
        </w:rPr>
        <w:t>年安排0元，202</w:t>
      </w:r>
      <w:r>
        <w:rPr>
          <w:rFonts w:hint="eastAsia"/>
          <w:sz w:val="28"/>
          <w:szCs w:val="28"/>
          <w:lang w:val="en-US" w:eastAsia="zh-CN"/>
        </w:rPr>
        <w:t>2</w:t>
      </w:r>
      <w:r>
        <w:rPr>
          <w:rFonts w:hint="eastAsia"/>
          <w:sz w:val="28"/>
          <w:szCs w:val="28"/>
        </w:rPr>
        <w:t>年安排0元，202</w:t>
      </w:r>
      <w:r>
        <w:rPr>
          <w:rFonts w:hint="eastAsia"/>
          <w:sz w:val="28"/>
          <w:szCs w:val="28"/>
          <w:lang w:val="en-US" w:eastAsia="zh-CN"/>
        </w:rPr>
        <w:t>3</w:t>
      </w:r>
      <w:r>
        <w:rPr>
          <w:rFonts w:hint="eastAsia"/>
          <w:sz w:val="28"/>
          <w:szCs w:val="28"/>
        </w:rPr>
        <w:t>年与202</w:t>
      </w:r>
      <w:r>
        <w:rPr>
          <w:rFonts w:hint="eastAsia"/>
          <w:sz w:val="28"/>
          <w:szCs w:val="28"/>
          <w:lang w:val="en-US" w:eastAsia="zh-CN"/>
        </w:rPr>
        <w:t>2</w:t>
      </w:r>
      <w:r>
        <w:rPr>
          <w:rFonts w:hint="eastAsia"/>
          <w:sz w:val="28"/>
          <w:szCs w:val="28"/>
        </w:rPr>
        <w:t>年相同</w:t>
      </w:r>
    </w:p>
    <w:p>
      <w:pPr>
        <w:ind w:firstLine="560" w:firstLineChars="200"/>
        <w:jc w:val="left"/>
        <w:outlineLvl w:val="1"/>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bookmarkEnd w:id="17"/>
    </w:p>
    <w:p>
      <w:pPr>
        <w:ind w:firstLine="560" w:firstLineChars="200"/>
        <w:rPr>
          <w:rFonts w:hint="eastAsia" w:ascii="仿宋_GB2312" w:eastAsia="仿宋_GB2312"/>
          <w:sz w:val="28"/>
          <w:szCs w:val="28"/>
        </w:rPr>
      </w:pPr>
      <w:r>
        <w:rPr>
          <w:rFonts w:hint="eastAsia" w:ascii="仿宋_GB2312" w:eastAsia="仿宋_GB2312"/>
          <w:sz w:val="28"/>
          <w:szCs w:val="28"/>
        </w:rPr>
        <w:t>1.财政拨款收入：指单位从同级财政部门取得的财政预算资金。</w:t>
      </w:r>
    </w:p>
    <w:p>
      <w:pPr>
        <w:ind w:firstLine="560" w:firstLineChars="200"/>
        <w:rPr>
          <w:rFonts w:hint="eastAsia" w:ascii="仿宋_GB2312" w:eastAsia="仿宋_GB2312"/>
          <w:sz w:val="28"/>
          <w:szCs w:val="28"/>
        </w:rPr>
      </w:pPr>
      <w:r>
        <w:rPr>
          <w:rFonts w:hint="eastAsia" w:ascii="仿宋_GB2312" w:eastAsia="仿宋_GB2312"/>
          <w:sz w:val="28"/>
          <w:szCs w:val="28"/>
        </w:rPr>
        <w:t>2.事业收入：指事业单位开展专业业务活动及辅助活动取得的收入。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3.经营收入：指事业单位在专业业务活动及其辅助活动之外开展非独立核算经营活动取得的收入。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4.其他收入：指单位取得的除上述收入以外的各项收入。主要是按规定动用的售房收入、存款利息收入等。</w:t>
      </w:r>
    </w:p>
    <w:p>
      <w:pPr>
        <w:ind w:firstLine="560" w:firstLineChars="200"/>
        <w:rPr>
          <w:rFonts w:hint="eastAsia" w:ascii="仿宋_GB2312" w:eastAsia="仿宋_GB2312"/>
          <w:sz w:val="28"/>
          <w:szCs w:val="28"/>
        </w:rPr>
      </w:pPr>
      <w:r>
        <w:rPr>
          <w:rFonts w:hint="eastAsia" w:ascii="仿宋_GB2312" w:eastAsia="仿宋_GB2312"/>
          <w:sz w:val="28"/>
          <w:szCs w:val="28"/>
        </w:rPr>
        <w:t>5.年初结转和结余：指单位以前年度尚未完成、结转到本年按有关规定继续使用的资金。</w:t>
      </w:r>
    </w:p>
    <w:p>
      <w:pPr>
        <w:ind w:firstLine="560" w:firstLineChars="200"/>
        <w:rPr>
          <w:rFonts w:hint="eastAsia" w:ascii="仿宋_GB2312" w:eastAsia="仿宋_GB2312"/>
          <w:sz w:val="28"/>
          <w:szCs w:val="28"/>
        </w:rPr>
      </w:pPr>
      <w:r>
        <w:rPr>
          <w:rFonts w:hint="eastAsia" w:ascii="仿宋_GB2312" w:eastAsia="仿宋_GB2312"/>
          <w:sz w:val="28"/>
          <w:szCs w:val="28"/>
        </w:rPr>
        <w:t>6.基本支出：指为保障机构正常运转、完成日常工作任务而发生的人员支出和公用支出。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7.项目支出：指在基本支出之外为完成特定行政任务或事业发展目标所发生的支出。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8.“三公”经费：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11</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eastAsia="仿宋_GB2312"/>
          <w:b/>
          <w:bCs/>
          <w:sz w:val="28"/>
          <w:szCs w:val="28"/>
        </w:rPr>
      </w:pPr>
      <w:r>
        <w:rPr>
          <w:rFonts w:hint="eastAsia" w:ascii="仿宋_GB2312" w:eastAsia="仿宋_GB2312"/>
          <w:b/>
          <w:bCs/>
          <w:sz w:val="28"/>
          <w:szCs w:val="28"/>
        </w:rPr>
        <w:t>12.各单位需根据自身业务职能，补充当年使用的所有支出功能分类项级科目名词解释，例如：</w:t>
      </w:r>
    </w:p>
    <w:p>
      <w:pPr>
        <w:ind w:firstLine="560" w:firstLineChars="200"/>
        <w:rPr>
          <w:rFonts w:hint="eastAsia" w:ascii="仿宋_GB2312" w:eastAsia="仿宋_GB2312"/>
          <w:b/>
          <w:bCs/>
          <w:sz w:val="28"/>
          <w:szCs w:val="28"/>
        </w:rPr>
      </w:pPr>
      <w:r>
        <w:rPr>
          <w:rFonts w:hint="eastAsia" w:ascii="仿宋_GB2312" w:eastAsia="仿宋_GB2312"/>
          <w:b/>
          <w:bCs/>
          <w:sz w:val="28"/>
          <w:szCs w:val="28"/>
        </w:rPr>
        <w:t>一般公共服务支出（类）人大事务（款）行政运行（项）：反映行政单位（包括实行公务员管理的事业单位）的基本支出。</w:t>
      </w:r>
    </w:p>
    <w:p>
      <w:pPr>
        <w:pStyle w:val="3"/>
        <w:ind w:firstLine="560"/>
        <w:rPr>
          <w:rFonts w:hint="eastAsia" w:ascii="仿宋_GB2312" w:eastAsia="仿宋_GB2312"/>
          <w:sz w:val="28"/>
          <w:szCs w:val="28"/>
        </w:rPr>
      </w:pPr>
    </w:p>
    <w:p>
      <w:pPr>
        <w:ind w:firstLine="880" w:firstLineChars="200"/>
        <w:jc w:val="center"/>
        <w:outlineLvl w:val="0"/>
        <w:rPr>
          <w:rFonts w:hint="eastAsia" w:ascii="宋体" w:hAnsi="宋体" w:cs="宋体"/>
          <w:b/>
          <w:bCs/>
          <w:sz w:val="44"/>
          <w:szCs w:val="44"/>
        </w:rPr>
      </w:pPr>
      <w:r>
        <w:rPr>
          <w:rFonts w:hint="eastAsia" w:ascii="宋体" w:hAnsi="宋体" w:cs="宋体"/>
          <w:b/>
          <w:bCs/>
          <w:sz w:val="44"/>
          <w:szCs w:val="44"/>
        </w:rPr>
        <w:br w:type="page"/>
      </w:r>
      <w:bookmarkStart w:id="18" w:name="_Toc11038"/>
      <w:r>
        <w:rPr>
          <w:rFonts w:hint="eastAsia" w:ascii="宋体" w:hAnsi="宋体" w:cs="宋体"/>
          <w:b/>
          <w:bCs/>
          <w:sz w:val="44"/>
          <w:szCs w:val="44"/>
        </w:rPr>
        <w:t>第三部分  2023年度部门绩效评价情况</w:t>
      </w:r>
      <w:bookmarkEnd w:id="18"/>
    </w:p>
    <w:p>
      <w:pPr>
        <w:ind w:firstLine="560" w:firstLineChars="200"/>
        <w:rPr>
          <w:rFonts w:hint="eastAsia" w:ascii="黑体" w:eastAsia="黑体"/>
          <w:sz w:val="28"/>
          <w:szCs w:val="28"/>
          <w:highlight w:val="yellow"/>
        </w:rPr>
      </w:pPr>
    </w:p>
    <w:p>
      <w:pPr>
        <w:ind w:firstLine="560" w:firstLineChars="200"/>
        <w:outlineLvl w:val="1"/>
        <w:rPr>
          <w:rFonts w:hint="eastAsia" w:ascii="宋体" w:hAnsi="宋体" w:cs="宋体"/>
          <w:b/>
          <w:sz w:val="32"/>
          <w:szCs w:val="32"/>
        </w:rPr>
      </w:pPr>
      <w:bookmarkStart w:id="19" w:name="_Toc19457"/>
      <w:r>
        <w:rPr>
          <w:rFonts w:hint="eastAsia" w:ascii="宋体" w:hAnsi="宋体" w:cs="宋体"/>
          <w:b/>
          <w:sz w:val="28"/>
          <w:szCs w:val="28"/>
        </w:rPr>
        <w:t>一、 预算绩效工作开展情况</w:t>
      </w:r>
      <w:bookmarkEnd w:id="19"/>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2023年宣房集团</w:t>
      </w:r>
      <w:r>
        <w:rPr>
          <w:rFonts w:hint="eastAsia" w:ascii="仿宋_GB2312" w:eastAsia="仿宋_GB2312"/>
          <w:sz w:val="28"/>
          <w:szCs w:val="28"/>
        </w:rPr>
        <w:t>对</w:t>
      </w:r>
      <w:r>
        <w:rPr>
          <w:rFonts w:hint="eastAsia" w:ascii="宋体" w:hAnsi="宋体" w:eastAsia="宋体" w:cs="宋体"/>
          <w:b w:val="0"/>
          <w:bCs/>
          <w:sz w:val="24"/>
          <w:szCs w:val="24"/>
          <w:u w:val="single" w:color="FFFFFF"/>
        </w:rPr>
        <w:t>2022年直管公房管理费</w:t>
      </w:r>
      <w:r>
        <w:rPr>
          <w:rFonts w:hint="eastAsia" w:ascii="仿宋_GB2312" w:eastAsia="仿宋_GB2312"/>
          <w:sz w:val="28"/>
          <w:szCs w:val="28"/>
        </w:rPr>
        <w:t>部门项目支出实施绩效评价，评价项目</w:t>
      </w:r>
      <w:r>
        <w:rPr>
          <w:rFonts w:hint="eastAsia" w:ascii="仿宋_GB2312" w:eastAsia="仿宋_GB2312"/>
          <w:sz w:val="28"/>
          <w:szCs w:val="28"/>
          <w:lang w:val="en-US" w:eastAsia="zh-CN"/>
        </w:rPr>
        <w:t>1</w:t>
      </w:r>
      <w:r>
        <w:rPr>
          <w:rFonts w:hint="eastAsia" w:ascii="仿宋_GB2312" w:eastAsia="仿宋_GB2312"/>
          <w:sz w:val="28"/>
          <w:szCs w:val="28"/>
        </w:rPr>
        <w:t>个，占部门项目总数的</w:t>
      </w:r>
      <w:r>
        <w:rPr>
          <w:rFonts w:hint="eastAsia" w:ascii="仿宋_GB2312" w:eastAsia="仿宋_GB2312"/>
          <w:sz w:val="28"/>
          <w:szCs w:val="28"/>
          <w:lang w:val="en-US" w:eastAsia="zh-CN"/>
        </w:rPr>
        <w:t>20</w:t>
      </w:r>
      <w:r>
        <w:rPr>
          <w:rFonts w:hint="eastAsia" w:ascii="仿宋_GB2312" w:eastAsia="仿宋_GB2312"/>
          <w:sz w:val="28"/>
          <w:szCs w:val="28"/>
        </w:rPr>
        <w:t>%，涉及金额</w:t>
      </w:r>
      <w:r>
        <w:rPr>
          <w:rFonts w:hint="eastAsia" w:ascii="仿宋_GB2312" w:eastAsia="仿宋_GB2312"/>
          <w:sz w:val="28"/>
          <w:szCs w:val="28"/>
          <w:lang w:val="en-US" w:eastAsia="zh-CN"/>
        </w:rPr>
        <w:t>7196.5592</w:t>
      </w:r>
      <w:r>
        <w:rPr>
          <w:rFonts w:hint="eastAsia" w:ascii="仿宋_GB2312" w:eastAsia="仿宋_GB2312"/>
          <w:sz w:val="28"/>
          <w:szCs w:val="28"/>
        </w:rPr>
        <w:t>万元。</w:t>
      </w:r>
    </w:p>
    <w:p>
      <w:pPr>
        <w:ind w:firstLine="560" w:firstLineChars="200"/>
        <w:outlineLvl w:val="1"/>
        <w:rPr>
          <w:rFonts w:hint="default" w:ascii="宋体" w:hAnsi="宋体" w:eastAsia="宋体" w:cs="宋体"/>
          <w:b/>
          <w:sz w:val="28"/>
          <w:szCs w:val="28"/>
          <w:lang w:val="en-US" w:eastAsia="zh-CN"/>
        </w:rPr>
      </w:pPr>
      <w:r>
        <w:rPr>
          <w:rFonts w:hint="eastAsia" w:ascii="宋体" w:hAnsi="宋体" w:cs="宋体"/>
          <w:b/>
          <w:sz w:val="28"/>
          <w:szCs w:val="28"/>
        </w:rPr>
        <w:t>二、</w:t>
      </w:r>
      <w:r>
        <w:rPr>
          <w:rFonts w:hint="eastAsia" w:ascii="宋体" w:hAnsi="宋体" w:cs="宋体"/>
          <w:b/>
          <w:sz w:val="28"/>
          <w:szCs w:val="28"/>
          <w:lang w:val="en-US" w:eastAsia="zh-CN"/>
        </w:rPr>
        <w:t>部门整体绩效报告</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1.机构设置及职责工作任务情况</w:t>
      </w:r>
    </w:p>
    <w:p>
      <w:pPr>
        <w:tabs>
          <w:tab w:val="center" w:pos="6979"/>
        </w:tabs>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京宣房投资管理集团有限公司（简称宣房集团）主要承担西城南部直管公房管理、修缮、防汛、供暖、电梯运行等公共服务职能，从事房地产开发、工程修缮、物业服务以及老旧小区综合整治、房屋解危腾退、文保区房屋保护性修缮等政府民生工程，承担政府交办的应急抢险任务。集团下辖北京宣房房屋经营有限公司、北京宣房楼宇设备有限公司、北京宣房大德置业投资有限公司、北京轩方装饰工程有限责任公司、北京宣房建筑工程有限责任公司、北京宣房大厚投资管理有限责任公司、北京宣房物业管理有限公司、北京宣房正阳经济贸易有限公司、北京市红义物业管理有限公司、北京宣房拆迁有限责任公司10个全资子公司。在职员工648人。共管理直管公房182万平方米、老旧危改小区及其他物业小区近100万平方米，负责房屋供暖面积254.32万平方米，管理锅炉房29处、锅炉73台、电梯85部、高层楼房二次供水22处。</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仿宋_GB2312" w:eastAsia="仿宋_GB2312" w:cs="仿宋_GB2312"/>
          <w:sz w:val="28"/>
          <w:szCs w:val="28"/>
        </w:rPr>
        <w:t>为全面深入学习贯彻党的十九大精神，以习近平新时代中国特色社会主义思想为指导，认真贯彻习近平总书记视察北京的重要讲话精神，牢固树立新发展理念，坚持以人民为中心，严格落实《北京城市总体规划（2016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2035年）》，按照“老城不能再拆了”的要求，处理好古都风貌保护与更新的关系、历史文化传承和群众生活改善的关系，规范和加强直管公房管理，加大核心区历史文化街区居民住房保障、平房腾退和恢复性修建力度，促进非首都功能疏解，为建设国际一流的和谐宜居之都奠定坚实基础。在此背景下</w:t>
      </w:r>
      <w:r>
        <w:rPr>
          <w:rFonts w:hint="eastAsia" w:ascii="仿宋_GB2312" w:hAnsi="仿宋_GB2312" w:eastAsia="仿宋_GB2312" w:cs="仿宋_GB2312"/>
          <w:sz w:val="28"/>
          <w:szCs w:val="28"/>
          <w:lang w:val="en-US" w:eastAsia="zh-CN"/>
        </w:rPr>
        <w:t>宣房集团</w:t>
      </w:r>
      <w:r>
        <w:rPr>
          <w:rFonts w:hint="eastAsia" w:ascii="仿宋_GB2312" w:hAnsi="仿宋_GB2312" w:eastAsia="仿宋_GB2312" w:cs="仿宋_GB2312"/>
          <w:sz w:val="28"/>
          <w:szCs w:val="28"/>
        </w:rPr>
        <w:t>以《北京市西城区财政局关于完善直管公房预算管理机制的通知》（西财经二[2020]442号）文件的有关要求为依据，将直管公房管理费项目作为统筹新西城整体发展而实施的重点利民项目。</w:t>
      </w:r>
    </w:p>
    <w:p>
      <w:pPr>
        <w:pStyle w:val="3"/>
        <w:numPr>
          <w:ilvl w:val="0"/>
          <w:numId w:val="0"/>
        </w:numPr>
        <w:ind w:firstLine="560" w:firstLineChars="20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rPr>
        <w:t>2.</w:t>
      </w:r>
      <w:r>
        <w:rPr>
          <w:rFonts w:hint="eastAsia" w:ascii="仿宋_GB2312" w:hAnsi="Times New Roman" w:eastAsia="仿宋_GB2312" w:cs="宋体"/>
          <w:bCs/>
          <w:snapToGrid w:val="0"/>
          <w:kern w:val="0"/>
          <w:sz w:val="28"/>
          <w:szCs w:val="28"/>
        </w:rPr>
        <w:t>部门整体绩效目标设立情况。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仿宋_GB2312" w:eastAsia="仿宋_GB2312" w:cs="仿宋_GB2312"/>
          <w:sz w:val="28"/>
          <w:szCs w:val="28"/>
          <w:highlight w:val="none"/>
        </w:rPr>
        <w:t>对西城区</w:t>
      </w:r>
      <w:r>
        <w:rPr>
          <w:rFonts w:hint="eastAsia" w:ascii="仿宋_GB2312" w:hAnsi="仿宋_GB2312" w:eastAsia="仿宋_GB2312" w:cs="仿宋_GB2312"/>
          <w:sz w:val="28"/>
          <w:szCs w:val="28"/>
          <w:highlight w:val="none"/>
          <w:lang w:val="en-US" w:eastAsia="zh-CN"/>
        </w:rPr>
        <w:t>南区</w:t>
      </w:r>
      <w:r>
        <w:rPr>
          <w:rFonts w:hint="eastAsia" w:ascii="仿宋_GB2312" w:hAnsi="仿宋_GB2312" w:eastAsia="仿宋_GB2312" w:cs="仿宋_GB2312"/>
          <w:sz w:val="28"/>
          <w:szCs w:val="28"/>
          <w:highlight w:val="none"/>
        </w:rPr>
        <w:t>的直管公房（包括</w:t>
      </w:r>
      <w:r>
        <w:rPr>
          <w:rFonts w:hint="eastAsia" w:ascii="仿宋_GB2312" w:hAnsi="仿宋_GB2312" w:eastAsia="仿宋_GB2312" w:cs="仿宋_GB2312"/>
          <w:sz w:val="28"/>
          <w:szCs w:val="28"/>
          <w:highlight w:val="none"/>
          <w:lang w:val="en-US" w:eastAsia="zh-CN"/>
        </w:rPr>
        <w:t>536幢</w:t>
      </w:r>
      <w:r>
        <w:rPr>
          <w:rFonts w:hint="eastAsia" w:ascii="仿宋_GB2312" w:hAnsi="仿宋_GB2312" w:eastAsia="仿宋_GB2312" w:cs="仿宋_GB2312"/>
          <w:sz w:val="28"/>
          <w:szCs w:val="28"/>
          <w:highlight w:val="none"/>
        </w:rPr>
        <w:t>楼房</w:t>
      </w:r>
      <w:r>
        <w:rPr>
          <w:rFonts w:hint="eastAsia" w:ascii="仿宋_GB2312" w:hAnsi="仿宋_GB2312" w:eastAsia="仿宋_GB2312" w:cs="仿宋_GB2312"/>
          <w:sz w:val="28"/>
          <w:szCs w:val="28"/>
          <w:highlight w:val="none"/>
          <w:lang w:val="en-US" w:eastAsia="zh-CN"/>
        </w:rPr>
        <w:t>及3987个</w:t>
      </w:r>
      <w:r>
        <w:rPr>
          <w:rFonts w:hint="eastAsia" w:ascii="仿宋_GB2312" w:hAnsi="仿宋_GB2312" w:eastAsia="仿宋_GB2312" w:cs="仿宋_GB2312"/>
          <w:sz w:val="28"/>
          <w:szCs w:val="28"/>
          <w:highlight w:val="none"/>
        </w:rPr>
        <w:t>平房</w:t>
      </w:r>
      <w:r>
        <w:rPr>
          <w:rFonts w:hint="eastAsia" w:ascii="仿宋_GB2312" w:hAnsi="仿宋_GB2312" w:eastAsia="仿宋_GB2312" w:cs="仿宋_GB2312"/>
          <w:sz w:val="28"/>
          <w:szCs w:val="28"/>
          <w:highlight w:val="none"/>
          <w:lang w:val="en-US" w:eastAsia="zh-CN"/>
        </w:rPr>
        <w:t>院落</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rPr>
        <w:t>进行综合管理和修缮维护，具体包括直管公房租金收缴等管理工作；查房工作，包括冬季春季的全面查房以及全年的房屋巡查；汛期的防汛工作，包括雨前房屋安全检查，雨中房屋抢修抢险、漏雨苫盖、院落积水抽排等；对房屋进行修缮工作，包括大中小修，老旧楼房</w:t>
      </w:r>
      <w:r>
        <w:rPr>
          <w:rFonts w:hint="eastAsia" w:ascii="仿宋_GB2312" w:hAnsi="仿宋_GB2312" w:eastAsia="仿宋_GB2312" w:cs="仿宋_GB2312"/>
          <w:sz w:val="28"/>
          <w:szCs w:val="28"/>
          <w:lang w:eastAsia="zh-CN"/>
        </w:rPr>
        <w:t>及附属供暖设备设施、电梯</w:t>
      </w:r>
      <w:r>
        <w:rPr>
          <w:rFonts w:hint="eastAsia" w:ascii="仿宋_GB2312" w:hAnsi="仿宋_GB2312" w:eastAsia="仿宋_GB2312" w:cs="仿宋_GB2312"/>
          <w:sz w:val="28"/>
          <w:szCs w:val="28"/>
          <w:lang w:val="en-US" w:eastAsia="zh-CN"/>
        </w:rPr>
        <w:t>修缮</w:t>
      </w:r>
      <w:r>
        <w:rPr>
          <w:rFonts w:hint="eastAsia" w:ascii="仿宋_GB2312" w:hAnsi="仿宋_GB2312" w:eastAsia="仿宋_GB2312" w:cs="仿宋_GB2312"/>
          <w:sz w:val="28"/>
          <w:szCs w:val="28"/>
        </w:rPr>
        <w:t>以及应对12345信访件产生的修缮等。该项目由</w:t>
      </w:r>
      <w:r>
        <w:rPr>
          <w:rFonts w:hint="eastAsia" w:ascii="仿宋_GB2312" w:hAnsi="仿宋_GB2312" w:eastAsia="仿宋_GB2312" w:cs="仿宋_GB2312"/>
          <w:sz w:val="28"/>
          <w:szCs w:val="28"/>
          <w:lang w:val="en-US" w:eastAsia="zh-CN"/>
        </w:rPr>
        <w:t>宣房集团工程部牵头</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责任单位</w:t>
      </w:r>
      <w:r>
        <w:rPr>
          <w:rFonts w:hint="eastAsia" w:ascii="仿宋_GB2312" w:hAnsi="仿宋_GB2312" w:eastAsia="仿宋_GB2312" w:cs="仿宋_GB2312"/>
          <w:sz w:val="28"/>
          <w:szCs w:val="28"/>
        </w:rPr>
        <w:t>负责组织项目实施、检查、督办、验收等工作。集团</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下属</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家</w:t>
      </w:r>
      <w:r>
        <w:rPr>
          <w:rFonts w:hint="eastAsia" w:ascii="仿宋_GB2312" w:hAnsi="仿宋_GB2312" w:eastAsia="仿宋_GB2312" w:cs="仿宋_GB2312"/>
          <w:sz w:val="28"/>
          <w:szCs w:val="28"/>
        </w:rPr>
        <w:t>子公司分别负责管辖范围内的具体管理和修缮工作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w:t>
      </w:r>
      <w:r>
        <w:rPr>
          <w:rFonts w:hint="eastAsia" w:ascii="仿宋_GB2312" w:hAnsi="仿宋_GB2312" w:eastAsia="仿宋_GB2312" w:cs="仿宋_GB2312"/>
          <w:sz w:val="28"/>
          <w:szCs w:val="28"/>
          <w:lang w:eastAsia="zh-CN"/>
        </w:rPr>
        <w:t>居民协调工作。</w:t>
      </w:r>
    </w:p>
    <w:p>
      <w:pPr>
        <w:pStyle w:val="3"/>
        <w:numPr>
          <w:ilvl w:val="0"/>
          <w:numId w:val="2"/>
        </w:numPr>
        <w:ind w:left="0" w:leftChars="0" w:firstLine="420" w:firstLineChars="15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当年预算执行情况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2023年全年预算数</w:t>
      </w:r>
      <w:r>
        <w:rPr>
          <w:rFonts w:hint="eastAsia" w:ascii="仿宋_GB2312" w:hAnsi="Times New Roman" w:eastAsia="仿宋_GB2312" w:cs="宋体"/>
          <w:bCs/>
          <w:snapToGrid w:val="0"/>
          <w:kern w:val="0"/>
          <w:sz w:val="28"/>
          <w:szCs w:val="28"/>
          <w:lang w:val="en-US" w:eastAsia="zh-CN"/>
        </w:rPr>
        <w:t>19178.89</w:t>
      </w:r>
      <w:r>
        <w:rPr>
          <w:rFonts w:hint="eastAsia" w:ascii="仿宋_GB2312" w:hAnsi="Times New Roman" w:eastAsia="仿宋_GB2312" w:cs="宋体"/>
          <w:bCs/>
          <w:snapToGrid w:val="0"/>
          <w:kern w:val="0"/>
          <w:sz w:val="28"/>
          <w:szCs w:val="28"/>
        </w:rPr>
        <w:t>万元，其中，基本支出预算数</w:t>
      </w:r>
      <w:r>
        <w:rPr>
          <w:rFonts w:hint="eastAsia" w:ascii="仿宋_GB2312" w:hAnsi="Times New Roman" w:eastAsia="仿宋_GB2312" w:cs="宋体"/>
          <w:bCs/>
          <w:snapToGrid w:val="0"/>
          <w:kern w:val="0"/>
          <w:sz w:val="28"/>
          <w:szCs w:val="28"/>
          <w:lang w:val="en-US" w:eastAsia="zh-CN"/>
        </w:rPr>
        <w:t>0</w:t>
      </w:r>
      <w:r>
        <w:rPr>
          <w:rFonts w:hint="eastAsia" w:ascii="仿宋_GB2312" w:hAnsi="Times New Roman" w:eastAsia="仿宋_GB2312" w:cs="宋体"/>
          <w:bCs/>
          <w:snapToGrid w:val="0"/>
          <w:kern w:val="0"/>
          <w:sz w:val="28"/>
          <w:szCs w:val="28"/>
        </w:rPr>
        <w:t>万元，项目支出预算数</w:t>
      </w:r>
      <w:r>
        <w:rPr>
          <w:rFonts w:hint="eastAsia" w:ascii="仿宋_GB2312" w:hAnsi="Times New Roman" w:eastAsia="仿宋_GB2312" w:cs="宋体"/>
          <w:bCs/>
          <w:snapToGrid w:val="0"/>
          <w:kern w:val="0"/>
          <w:sz w:val="28"/>
          <w:szCs w:val="28"/>
          <w:lang w:val="en-US" w:eastAsia="zh-CN"/>
        </w:rPr>
        <w:t>19178.89</w:t>
      </w:r>
      <w:r>
        <w:rPr>
          <w:rFonts w:hint="eastAsia" w:ascii="仿宋_GB2312" w:hAnsi="Times New Roman" w:eastAsia="仿宋_GB2312" w:cs="宋体"/>
          <w:bCs/>
          <w:snapToGrid w:val="0"/>
          <w:kern w:val="0"/>
          <w:sz w:val="28"/>
          <w:szCs w:val="28"/>
        </w:rPr>
        <w:t>万元，其他支出预算数</w:t>
      </w:r>
      <w:r>
        <w:rPr>
          <w:rFonts w:hint="eastAsia" w:ascii="仿宋_GB2312" w:hAnsi="Times New Roman" w:eastAsia="仿宋_GB2312" w:cs="宋体"/>
          <w:bCs/>
          <w:snapToGrid w:val="0"/>
          <w:kern w:val="0"/>
          <w:sz w:val="28"/>
          <w:szCs w:val="28"/>
          <w:lang w:val="en-US" w:eastAsia="zh-CN"/>
        </w:rPr>
        <w:t>0</w:t>
      </w:r>
      <w:r>
        <w:rPr>
          <w:rFonts w:hint="eastAsia" w:ascii="仿宋_GB2312" w:hAnsi="Times New Roman" w:eastAsia="仿宋_GB2312" w:cs="宋体"/>
          <w:bCs/>
          <w:snapToGrid w:val="0"/>
          <w:kern w:val="0"/>
          <w:sz w:val="28"/>
          <w:szCs w:val="28"/>
        </w:rPr>
        <w:t>万元。资金总体支出</w:t>
      </w:r>
      <w:r>
        <w:rPr>
          <w:rFonts w:hint="eastAsia" w:ascii="仿宋_GB2312" w:hAnsi="Times New Roman" w:eastAsia="仿宋_GB2312" w:cs="宋体"/>
          <w:bCs/>
          <w:snapToGrid w:val="0"/>
          <w:kern w:val="0"/>
          <w:sz w:val="28"/>
          <w:szCs w:val="28"/>
          <w:lang w:val="en-US" w:eastAsia="zh-CN"/>
        </w:rPr>
        <w:t>19178.89</w:t>
      </w:r>
      <w:r>
        <w:rPr>
          <w:rFonts w:hint="eastAsia" w:ascii="仿宋_GB2312" w:hAnsi="Times New Roman" w:eastAsia="仿宋_GB2312" w:cs="宋体"/>
          <w:bCs/>
          <w:snapToGrid w:val="0"/>
          <w:kern w:val="0"/>
          <w:sz w:val="28"/>
          <w:szCs w:val="28"/>
        </w:rPr>
        <w:t>万元，其中，基本支出</w:t>
      </w:r>
      <w:r>
        <w:rPr>
          <w:rFonts w:hint="eastAsia" w:ascii="仿宋_GB2312" w:hAnsi="Times New Roman" w:eastAsia="仿宋_GB2312" w:cs="宋体"/>
          <w:bCs/>
          <w:snapToGrid w:val="0"/>
          <w:kern w:val="0"/>
          <w:sz w:val="28"/>
          <w:szCs w:val="28"/>
          <w:lang w:val="en-US" w:eastAsia="zh-CN"/>
        </w:rPr>
        <w:t>0</w:t>
      </w:r>
      <w:r>
        <w:rPr>
          <w:rFonts w:hint="eastAsia" w:ascii="仿宋_GB2312" w:hAnsi="Times New Roman" w:eastAsia="仿宋_GB2312" w:cs="宋体"/>
          <w:bCs/>
          <w:snapToGrid w:val="0"/>
          <w:kern w:val="0"/>
          <w:sz w:val="28"/>
          <w:szCs w:val="28"/>
        </w:rPr>
        <w:t>万元，项目支出</w:t>
      </w:r>
      <w:r>
        <w:rPr>
          <w:rFonts w:hint="eastAsia" w:ascii="仿宋_GB2312" w:hAnsi="Times New Roman" w:eastAsia="仿宋_GB2312" w:cs="宋体"/>
          <w:bCs/>
          <w:snapToGrid w:val="0"/>
          <w:kern w:val="0"/>
          <w:sz w:val="28"/>
          <w:szCs w:val="28"/>
          <w:lang w:val="en-US" w:eastAsia="zh-CN"/>
        </w:rPr>
        <w:t>19178.89</w:t>
      </w:r>
      <w:r>
        <w:rPr>
          <w:rFonts w:hint="eastAsia" w:ascii="仿宋_GB2312" w:hAnsi="Times New Roman" w:eastAsia="仿宋_GB2312" w:cs="宋体"/>
          <w:bCs/>
          <w:snapToGrid w:val="0"/>
          <w:kern w:val="0"/>
          <w:sz w:val="28"/>
          <w:szCs w:val="28"/>
        </w:rPr>
        <w:t>万元，其他支出</w:t>
      </w:r>
      <w:r>
        <w:rPr>
          <w:rFonts w:hint="eastAsia" w:ascii="仿宋_GB2312" w:hAnsi="Times New Roman" w:eastAsia="仿宋_GB2312" w:cs="宋体"/>
          <w:bCs/>
          <w:snapToGrid w:val="0"/>
          <w:kern w:val="0"/>
          <w:sz w:val="28"/>
          <w:szCs w:val="28"/>
          <w:lang w:val="en-US" w:eastAsia="zh-CN"/>
        </w:rPr>
        <w:t>0</w:t>
      </w:r>
      <w:r>
        <w:rPr>
          <w:rFonts w:hint="eastAsia" w:ascii="仿宋_GB2312" w:hAnsi="Times New Roman" w:eastAsia="仿宋_GB2312" w:cs="宋体"/>
          <w:bCs/>
          <w:snapToGrid w:val="0"/>
          <w:kern w:val="0"/>
          <w:sz w:val="28"/>
          <w:szCs w:val="28"/>
        </w:rPr>
        <w:t>万元。预算执行率为</w:t>
      </w:r>
      <w:r>
        <w:rPr>
          <w:rFonts w:hint="eastAsia" w:ascii="仿宋_GB2312" w:hAnsi="Times New Roman" w:eastAsia="仿宋_GB2312" w:cs="宋体"/>
          <w:bCs/>
          <w:snapToGrid w:val="0"/>
          <w:kern w:val="0"/>
          <w:sz w:val="28"/>
          <w:szCs w:val="28"/>
          <w:lang w:val="en-US" w:eastAsia="zh-CN"/>
        </w:rPr>
        <w:t>100%</w:t>
      </w:r>
      <w:r>
        <w:rPr>
          <w:rFonts w:hint="eastAsia" w:ascii="仿宋_GB2312" w:hAnsi="Times New Roman" w:eastAsia="仿宋_GB2312" w:cs="宋体"/>
          <w:bCs/>
          <w:snapToGrid w:val="0"/>
          <w:kern w:val="0"/>
          <w:sz w:val="28"/>
          <w:szCs w:val="28"/>
        </w:rPr>
        <w:t>。</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（三）整体绩效目标实现情况</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1.产出完成情况分析</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产出数量</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对直管公房平房和楼房进行综合管理</w:t>
      </w:r>
      <w:r>
        <w:rPr>
          <w:rFonts w:hint="eastAsia" w:ascii="仿宋_GB2312" w:hAnsi="仿宋_GB2312" w:eastAsia="仿宋_GB2312" w:cs="仿宋_GB2312"/>
          <w:sz w:val="32"/>
          <w:szCs w:val="32"/>
        </w:rPr>
        <w:t>；</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产出质量</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验收合格率100%</w:t>
      </w:r>
      <w:r>
        <w:rPr>
          <w:rFonts w:hint="eastAsia" w:ascii="仿宋_GB2312" w:hAnsi="仿宋_GB2312" w:eastAsia="仿宋_GB2312" w:cs="仿宋_GB2312"/>
          <w:sz w:val="32"/>
          <w:szCs w:val="32"/>
        </w:rPr>
        <w:t>；</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产出进度</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在解决楼、平房区的居民房屋住用问题的同时，保障了居民生命财产安全，使得社会经济效益有了进一步提升。</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产出成本 </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各项支出控制在年度预算范围内</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宋体"/>
          <w:bCs/>
          <w:snapToGrid w:val="0"/>
          <w:kern w:val="0"/>
          <w:sz w:val="28"/>
          <w:szCs w:val="28"/>
        </w:rPr>
        <w:t xml:space="preserve">                                   </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2.效果实现情况分析</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经济效益</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对稳定与支持西城区发展，构建和谐社会、首善之区具有重要意义。</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社会效益</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通过该项目的持续实施，在解决楼、平房区的居民房屋住用问题的同时，保障了居民生命财产安全，使得社会经济效益有了进一步提升对稳定与支持西城区发展，构建和谐社会、首善之区具有重要意义。</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环境效益</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保障了居民生命财产安全，使得社会经济效益有了进一步提升，改善居民居住条件，提高城市居民的宜居性，提升历史人文的现代价值</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可持续性影响</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促进北京的和谐发展，同时解决了楼房的安全问题，使楼房脏乱差的现象得到了治理，对未来多年内居民的生活都将产生直接影响，达到改善民生环境的实际作用。达到了预定的实施效益指标。</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服务对象满意度</w:t>
      </w:r>
      <w:r>
        <w:rPr>
          <w:rFonts w:hint="eastAsia" w:ascii="仿宋_GB2312" w:hAnsi="Times New Roman" w:eastAsia="仿宋_GB2312" w:cs="宋体"/>
          <w:bCs/>
          <w:snapToGrid w:val="0"/>
          <w:kern w:val="0"/>
          <w:sz w:val="28"/>
          <w:szCs w:val="28"/>
          <w:lang w:eastAsia="zh-CN"/>
        </w:rPr>
        <w:t>：</w:t>
      </w:r>
      <w:r>
        <w:rPr>
          <w:rFonts w:hint="eastAsia" w:ascii="仿宋_GB2312" w:hAnsi="仿宋_GB2312" w:eastAsia="仿宋_GB2312" w:cs="仿宋_GB2312"/>
          <w:sz w:val="32"/>
          <w:szCs w:val="32"/>
          <w:highlight w:val="none"/>
          <w:lang w:val="en-US" w:eastAsia="zh-CN"/>
        </w:rPr>
        <w:t>项</w:t>
      </w:r>
      <w:r>
        <w:rPr>
          <w:rFonts w:hint="eastAsia" w:ascii="仿宋_GB2312" w:hAnsi="Times New Roman" w:eastAsia="仿宋_GB2312" w:cs="宋体"/>
          <w:bCs/>
          <w:snapToGrid w:val="0"/>
          <w:kern w:val="0"/>
          <w:sz w:val="28"/>
          <w:szCs w:val="28"/>
          <w:lang w:val="en-US" w:eastAsia="zh-CN"/>
        </w:rPr>
        <w:t>目的实施符合区域内居民的切身利益，是一项便民服务工程，得到了居民的大力支持与积极配合，平均公共满意度达到了80%以上。达到了预定的服务对象满意度指</w:t>
      </w:r>
      <w:r>
        <w:rPr>
          <w:rFonts w:hint="eastAsia" w:ascii="仿宋_GB2312" w:hAnsi="仿宋_GB2312" w:eastAsia="仿宋_GB2312" w:cs="仿宋_GB2312"/>
          <w:sz w:val="32"/>
          <w:szCs w:val="32"/>
          <w:highlight w:val="none"/>
          <w:lang w:val="en-US" w:eastAsia="zh-CN"/>
        </w:rPr>
        <w:t>标。</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（四）预算管理情况分析</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w:t>
      </w:r>
    </w:p>
    <w:p>
      <w:pPr>
        <w:pStyle w:val="3"/>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财务管理制度健全</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资金使用合规性和安全性</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会计基础信息完善性</w:t>
      </w:r>
      <w:r>
        <w:rPr>
          <w:rFonts w:hint="eastAsia" w:ascii="仿宋_GB2312" w:hAnsi="Times New Roman" w:eastAsia="仿宋_GB2312" w:cs="宋体"/>
          <w:bCs/>
          <w:snapToGrid w:val="0"/>
          <w:kern w:val="0"/>
          <w:sz w:val="28"/>
          <w:szCs w:val="28"/>
          <w:lang w:eastAsia="zh-CN"/>
        </w:rPr>
        <w:t>。</w:t>
      </w:r>
    </w:p>
    <w:p>
      <w:pPr>
        <w:pStyle w:val="3"/>
        <w:ind w:firstLine="560"/>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color w:val="auto"/>
          <w:kern w:val="0"/>
          <w:sz w:val="28"/>
          <w:szCs w:val="28"/>
        </w:rPr>
        <w:t>2.资产管理</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资产管理制度健全。</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3.绩效管理</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项目单位填报了绩效目标申报表，将年度总体绩效目标分解为具体的绩效指标。但服务对象满意度指标设定为“本项目的实施符合区域内居民的切身利益，是一项便民服务工程，得到了居民的大力支持与积极配合，公共满意度达到80%”。满意度率设置过低，不利于促进提升项目服务水平。绩效目标设定不够合理。</w:t>
      </w:r>
    </w:p>
    <w:p>
      <w:pPr>
        <w:pStyle w:val="3"/>
        <w:ind w:firstLine="560"/>
        <w:rPr>
          <w:rFonts w:hint="default" w:ascii="仿宋_GB2312" w:hAnsi="Times New Roman" w:eastAsia="仿宋_GB2312" w:cs="宋体"/>
          <w:bCs/>
          <w:snapToGrid w:val="0"/>
          <w:color w:val="auto"/>
          <w:kern w:val="0"/>
          <w:sz w:val="28"/>
          <w:szCs w:val="28"/>
          <w:highlight w:val="red"/>
          <w:lang w:val="en-US" w:eastAsia="zh-CN"/>
        </w:rPr>
      </w:pPr>
      <w:r>
        <w:rPr>
          <w:rFonts w:hint="eastAsia" w:ascii="仿宋_GB2312" w:hAnsi="Times New Roman" w:eastAsia="仿宋_GB2312" w:cs="宋体"/>
          <w:bCs/>
          <w:snapToGrid w:val="0"/>
          <w:color w:val="auto"/>
          <w:kern w:val="0"/>
          <w:sz w:val="28"/>
          <w:szCs w:val="28"/>
          <w:highlight w:val="none"/>
        </w:rPr>
        <w:t>4.结转结余率</w:t>
      </w:r>
      <w:r>
        <w:rPr>
          <w:rFonts w:hint="eastAsia" w:ascii="仿宋_GB2312" w:hAnsi="Times New Roman" w:eastAsia="仿宋_GB2312" w:cs="宋体"/>
          <w:bCs/>
          <w:snapToGrid w:val="0"/>
          <w:color w:val="auto"/>
          <w:kern w:val="0"/>
          <w:sz w:val="28"/>
          <w:szCs w:val="28"/>
          <w:highlight w:val="none"/>
          <w:lang w:eastAsia="zh-CN"/>
        </w:rPr>
        <w:t>：</w:t>
      </w:r>
      <w:r>
        <w:rPr>
          <w:rFonts w:hint="eastAsia" w:ascii="仿宋_GB2312" w:hAnsi="Times New Roman" w:eastAsia="仿宋_GB2312" w:cs="宋体"/>
          <w:bCs/>
          <w:snapToGrid w:val="0"/>
          <w:color w:val="auto"/>
          <w:kern w:val="0"/>
          <w:sz w:val="28"/>
          <w:szCs w:val="28"/>
          <w:highlight w:val="none"/>
          <w:lang w:val="en-US" w:eastAsia="zh-CN"/>
        </w:rPr>
        <w:t>0%</w:t>
      </w:r>
    </w:p>
    <w:p>
      <w:pPr>
        <w:pStyle w:val="3"/>
        <w:ind w:firstLine="560"/>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rPr>
        <w:t>5.部门预决算差异率</w:t>
      </w:r>
      <w:r>
        <w:rPr>
          <w:rFonts w:hint="eastAsia" w:ascii="仿宋_GB2312" w:hAnsi="Times New Roman" w:eastAsia="仿宋_GB2312" w:cs="宋体"/>
          <w:bCs/>
          <w:snapToGrid w:val="0"/>
          <w:kern w:val="0"/>
          <w:sz w:val="28"/>
          <w:szCs w:val="28"/>
          <w:lang w:val="en-US" w:eastAsia="zh-CN"/>
        </w:rPr>
        <w:t>:相关项目正在结算评审中。</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（五）总体评价结论</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1.评价得分情况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lang w:val="en-US" w:eastAsia="zh-CN"/>
        </w:rPr>
        <w:t>100分评级为“优”</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2.存在的问题及原因分析</w:t>
      </w:r>
    </w:p>
    <w:p>
      <w:pPr>
        <w:pStyle w:val="3"/>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rPr>
        <w:t>项目实施前，制定项目实施方案、资金管理办法，规范项目管理流程；</w:t>
      </w:r>
      <w:r>
        <w:rPr>
          <w:rFonts w:hint="eastAsia" w:ascii="仿宋_GB2312" w:hAnsi="Times New Roman" w:eastAsia="仿宋_GB2312" w:cs="宋体"/>
          <w:bCs/>
          <w:snapToGrid w:val="0"/>
          <w:kern w:val="0"/>
          <w:sz w:val="28"/>
          <w:szCs w:val="28"/>
        </w:rPr>
        <w:t>项目立项前通过反复调研走访，</w:t>
      </w:r>
      <w:r>
        <w:rPr>
          <w:rFonts w:hint="eastAsia" w:ascii="仿宋_GB2312" w:hAnsi="Times New Roman" w:eastAsia="仿宋_GB2312" w:cs="宋体"/>
          <w:bCs/>
          <w:snapToGrid w:val="0"/>
          <w:kern w:val="0"/>
          <w:sz w:val="28"/>
          <w:szCs w:val="28"/>
          <w:lang w:eastAsia="zh-CN"/>
        </w:rPr>
        <w:t>有针对性地做好</w:t>
      </w:r>
      <w:r>
        <w:rPr>
          <w:rFonts w:hint="eastAsia" w:ascii="仿宋_GB2312" w:hAnsi="Times New Roman" w:eastAsia="仿宋_GB2312" w:cs="宋体"/>
          <w:bCs/>
          <w:snapToGrid w:val="0"/>
          <w:kern w:val="0"/>
          <w:sz w:val="28"/>
          <w:szCs w:val="28"/>
        </w:rPr>
        <w:t>前期准备工作；项目实施过程中通过建立、落实项目管理岗位职责以及各项规章制度，提高人员、效率、质量等协同意识；通过强化安全教育，强调特殊工种持证上岗、施工前入户排查、材料进场前进行检查等措施保障工程质量。另制定应急预案，严防发生重大质量安全责任事故；定期召开调度会，及时平衡、协调相关工作，切实保证项目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rPr>
        <w:t>六</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措施建议</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lang w:val="en-US" w:eastAsia="zh-CN" w:bidi="ar-SA"/>
        </w:rPr>
        <w:t>宣房集团在实施过程中按照各部门的职责对项目进行了监管、检查和监督，保证了工程质量与施工安全，同时，组织了专人对分管公房进行了巡检，并留存了巡检记录，确保了直管公房的安全运行。但未按照《北京宣房投资管理集团有限公司工程管理制度》中“预验收完成后由责任管理单位向集团总工程师提出竣工验收申请，集团总工程师组织各方对工程进行验收”的相关规定执行。制度执行的有效性有待加强。</w:t>
      </w:r>
    </w:p>
    <w:p>
      <w:pPr>
        <w:ind w:firstLine="560" w:firstLineChars="200"/>
        <w:outlineLvl w:val="1"/>
        <w:rPr>
          <w:rFonts w:hint="eastAsia" w:ascii="宋体" w:hAnsi="宋体" w:cs="宋体"/>
          <w:b/>
          <w:sz w:val="28"/>
          <w:szCs w:val="28"/>
        </w:rPr>
      </w:pPr>
      <w:bookmarkStart w:id="20" w:name="_Toc2965"/>
      <w:r>
        <w:rPr>
          <w:rFonts w:hint="eastAsia" w:ascii="宋体" w:hAnsi="宋体" w:cs="宋体"/>
          <w:b/>
          <w:sz w:val="28"/>
          <w:szCs w:val="28"/>
          <w:lang w:val="en-US" w:eastAsia="zh-CN"/>
        </w:rPr>
        <w:t>三</w:t>
      </w:r>
      <w:r>
        <w:rPr>
          <w:rFonts w:hint="eastAsia" w:ascii="宋体" w:hAnsi="宋体" w:cs="宋体"/>
          <w:b/>
          <w:sz w:val="28"/>
          <w:szCs w:val="28"/>
        </w:rPr>
        <w:t>、</w:t>
      </w:r>
      <w:r>
        <w:rPr>
          <w:rFonts w:hint="eastAsia" w:ascii="宋体" w:hAnsi="宋体" w:cs="宋体"/>
          <w:b/>
          <w:sz w:val="28"/>
          <w:szCs w:val="28"/>
          <w:lang w:val="en-US" w:eastAsia="zh-CN"/>
        </w:rPr>
        <w:t>2022年直管公房管理费</w:t>
      </w:r>
      <w:r>
        <w:rPr>
          <w:rFonts w:hint="eastAsia" w:ascii="宋体" w:hAnsi="宋体" w:cs="宋体"/>
          <w:b/>
          <w:sz w:val="28"/>
          <w:szCs w:val="28"/>
        </w:rPr>
        <w:t>项目绩效评价报告</w:t>
      </w:r>
      <w:bookmarkEnd w:id="20"/>
    </w:p>
    <w:p>
      <w:pPr>
        <w:pStyle w:val="3"/>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pStyle w:val="3"/>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为全面深入学习贯彻党的十九大精神，以习近平新时代中国特色社会主义思想为指导，认真贯彻习近平总书记视察北京的重要讲话精神，牢固树立新发展理念，坚持以人民为中心，严格落实《北京城市总体规划（2016年—2035年）》，按照“老城不能再拆了”的要求，处理好古都风貌保护与更新的关系、历史文化传承和群众生活改善的关系，规范和加强直管公房管理，加大核心区历史文化街区居民住房保障、平房腾退和恢复性修建力度，促进非首都功能疏解，为建设国际一流的和谐宜居之都奠定坚实基础。在此背景下宣房集团以《北京市西城区财政局关于完善直管公房预算管理机制的通知》（西财经二[2020]442号）文件的有关要求为依据，将直管公房管理费项目作为统筹新西城整体发展而实施的重点利民项目。</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对西城区南区的直管公房（包括536幢楼房及3987个平房院落）进行综合管理和修缮维护，具体包括直管公房租金收缴等管理工作；查房工作，包括冬季春季的全面查房以及全年的房屋巡查；汛期的防汛工作，包括雨前房屋安全检查，雨中房屋抢修抢险、漏雨苫盖、院落积水抽排等；对房屋进行修缮工作，包括大中小修，老旧楼房及附属供暖设备设施、电梯修缮以及应对12345信访件产生的修缮等。该项目由宣房集团工程部牵头，由责任单位负责组织项目实施、检查、督办、验收等工作。集团及下属8家子公司分别负责管辖范围内的具体管理和修缮工作，以及居民协调工作。</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该项目年初预算批复金额71,965,592.00元。2022年度宣房集团支出（下拨8家子公司及直接支付）71,965,592.00元，无结余。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项目绩效目标。包括总体目标和阶段性目标。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总体目标为：用于直管公房的日常管理、维修、维护等事项。其中的维护修缮主要解决部分现有暂未翻建的严重破损房和需要降级房屋的安全隐患，保证了房屋的住用安全，其次通过对房屋的日常维修养护，延长了房屋的使用年限，同时对安全度汛提供了保障，且从未诉先办到接诉即办做好了“12345”市民热线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具体绩效指标为，产出数量指标：对直管公房平房和楼房进行综合管理；产出质量指标：验收合格率100%；产出时效指标：项目于2022年1月开始前期工作，2022年12月工程全部竣工。产出成本指标：各项支出控制在年度预算范围内，项目资金7196.5592万元。经济效益指标：在解决楼、平房区的居民房屋住用问题的同时，保障了居民生命财产安全，使得社会经济效益有了进一步提升。社会效益指标：改善居民居住条件，提高城市居民的宜居性，提升历史人文的现代价值，促进北京的和谐发展。生态效益指标：解决楼房安全问题，使楼房脏乱差的现象得以治理。可持续影响指标：项目的实施对未来多年内居民的生活都将产生直接影响，达到改善民生环境的实际作用。服务对象满意度指标：本项目的实施符合区域内居民的切身利益，是一项便民服务工程，得到了居民的大力支持与积极配合，公共满意度达到80%。</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一是加强预算绩效管理，强化支出责任，提高财政资金使用效益；二是进一步总结和分析项目资金的实施效果，检验财政支出预期目标实现程度，考核财政支出效率和综合效果；三是为预算编制提供参考依据。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评价对象为宣房集团本年度申报的2022年直管公房管理费项目，评价范围为该项目本年度预算支出71,965,592.00元。</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绩效评价遵循“科学公正、统筹兼顾、激励约束”等基本原则，结合项目特点，统一确定了绩效评价项目的绩效评价指标体系。评价指标以《西城区项目支出绩效评价管理办法》（西财监〔2022〕9号）为主要参考，结合项目特点，设置4项一级指标、10项二级指标、21项三级指标。一是决策（12分），主要评价项目立项、绩效目标设定以及资金投入分配。二是过程（18分），主要评价资金管理和组织实施。三是产出（40分），主要评价绩效目标完成情况及完成时效。四是效益（30分），主要评价项目社会效益和满意度。绩效评价结果根据评价分数分为4个等级：综合得分在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本次绩效评价通过政策研究、实地调研、比较分析、专家座谈等多种方式开展。</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3、绩效评价工作过程。</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为确保绩效评价工作的客观公正，评价工作组严格按照绩效评价工作程序组织实施绩效评价工作，主要程序如下：</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1" w:name="_Toc26419"/>
      <w:r>
        <w:rPr>
          <w:rFonts w:hint="eastAsia" w:ascii="仿宋_GB2312" w:hAnsi="Times New Roman" w:eastAsia="仿宋_GB2312" w:cs="宋体"/>
          <w:bCs/>
          <w:snapToGrid w:val="0"/>
          <w:kern w:val="0"/>
          <w:sz w:val="28"/>
          <w:szCs w:val="28"/>
          <w:lang w:val="en-US" w:eastAsia="zh-CN" w:bidi="ar-SA"/>
        </w:rPr>
        <w:t>（1）.组建评价工作组、遴选专家</w:t>
      </w:r>
      <w:bookmarkEnd w:id="21"/>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按照工作要求和该项目特点，组建评价工作组，根据项目实际情况遴选相关业务专家、绩效管理专家和财务专家共5名组成专家组。评价工作组对每名成员的职责及分工进行了明确，并对工作组全体人员和专家进行了培训。</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2" w:name="_Toc3757"/>
      <w:r>
        <w:rPr>
          <w:rFonts w:hint="eastAsia" w:ascii="仿宋_GB2312" w:hAnsi="Times New Roman" w:eastAsia="仿宋_GB2312" w:cs="宋体"/>
          <w:bCs/>
          <w:snapToGrid w:val="0"/>
          <w:kern w:val="0"/>
          <w:sz w:val="28"/>
          <w:szCs w:val="28"/>
          <w:lang w:val="en-US" w:eastAsia="zh-CN" w:bidi="ar-SA"/>
        </w:rPr>
        <w:t>（2）.收集资料</w:t>
      </w:r>
      <w:bookmarkEnd w:id="22"/>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评价工作组按照相关要求收集相关资料并听取项目单位的工作汇报，并对所收集的资料进行核实和全面分析，对缺失的资料要求项目单位及时补充；对重要的和存在疑问的基础数据资料进行核实确认。</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3" w:name="_Toc22537"/>
      <w:r>
        <w:rPr>
          <w:rFonts w:hint="eastAsia" w:ascii="仿宋_GB2312" w:hAnsi="Times New Roman" w:eastAsia="仿宋_GB2312" w:cs="宋体"/>
          <w:bCs/>
          <w:snapToGrid w:val="0"/>
          <w:kern w:val="0"/>
          <w:sz w:val="28"/>
          <w:szCs w:val="28"/>
          <w:lang w:val="en-US" w:eastAsia="zh-CN" w:bidi="ar-SA"/>
        </w:rPr>
        <w:t>3.研究制定指标体系</w:t>
      </w:r>
      <w:bookmarkEnd w:id="23"/>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评价工作组根据项目实际情况，细化评价指标，明确评价标准，最终确定项目评价指标体系。</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4" w:name="_Toc24394"/>
      <w:r>
        <w:rPr>
          <w:rFonts w:hint="eastAsia" w:ascii="仿宋_GB2312" w:hAnsi="Times New Roman" w:eastAsia="仿宋_GB2312" w:cs="宋体"/>
          <w:bCs/>
          <w:snapToGrid w:val="0"/>
          <w:kern w:val="0"/>
          <w:sz w:val="28"/>
          <w:szCs w:val="28"/>
          <w:lang w:val="en-US" w:eastAsia="zh-CN" w:bidi="ar-SA"/>
        </w:rPr>
        <w:t>4.筹备和召开专家评价会</w:t>
      </w:r>
      <w:bookmarkEnd w:id="24"/>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评价工作组会同项目单位完成评价会资料的准备工作，于2023年6月13日组织专家召开预备会，预备会上，专家听取项目单位负责人汇报项目情况，并就相关问题进行沟通答疑。评价工作组就项目预备会情况形成预备会会议纪要明确项目需补充资料清单。于2023年6月20日召开专家评价会，评价会上，专家与项目单位结合预备会情况，再次进行了充分讨论和沟通，对该项目进行评价和打分，并出具评价意见。</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5" w:name="_Toc30583"/>
      <w:r>
        <w:rPr>
          <w:rFonts w:hint="eastAsia" w:ascii="仿宋_GB2312" w:hAnsi="Times New Roman" w:eastAsia="仿宋_GB2312" w:cs="宋体"/>
          <w:bCs/>
          <w:snapToGrid w:val="0"/>
          <w:kern w:val="0"/>
          <w:sz w:val="28"/>
          <w:szCs w:val="28"/>
          <w:lang w:val="en-US" w:eastAsia="zh-CN" w:bidi="ar-SA"/>
        </w:rPr>
        <w:t>5.撰写绩效评价报告</w:t>
      </w:r>
      <w:bookmarkEnd w:id="25"/>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评价工作组在专家评价会结束后，汇总专家打分和评价意见，完成绩效评价报告初稿的撰写工作，经与项目单位、区财政局沟通反馈后，形成评价报告终稿。</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单位在项目实施过程中履行了规范的采购程序，通过项目的实施，使平房院和老旧小区的整体环境得到了改观，使住户居住更加安全、舒适，使居民的生活环境得到了改善。但项目存在立项决策过程资料不完整，绩效目标设定不合理，细化、量化不足，资金管理过程不严谨，项目管理制度不完善，未按照验收相关制度执行等问题。</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总分为100分，等级一般划分为4档：90（含）-100分为优、80（含）-90分为良、60（含）-80分为中、60分以下为差。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宣房集团“2022直管公房管理费”被评价金额71,965,592.00元，经专家组综合评议，该项目绩效评价综合得分81.28分，其中项目决策9.54分，项目过程14.54分，项目产出32.20分，项目效益25.00分，绩效评价级别评定为“良”。</w:t>
      </w:r>
    </w:p>
    <w:p>
      <w:pPr>
        <w:pStyle w:val="3"/>
        <w:ind w:firstLine="56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立项符合北京市人民政府办公厅印发《关于加强直管公房管理的意见》的通知（京政办发〔2018〕20号）以及西城区人民政府《北京市西城区国民经济和社会发展第十四个五年规划和二〇三五年远景目标纲要》、《北京市西城区财政局关于完善直管公房预算管理机制的通知》（西财经二[2020]442号）的文件精神。</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宣房集团涉及本次预算支出的8个子公司及本部项目中，除房屋经营公司相关5家企业，报送了年度可行性报告及预算申报书，其余3家子公司及本部项目，均未体现立项及预算申报相关内容。此外，项目单位提供的宣房集团会议纪要中也未能体现房屋经营公司相关5家企业立项批复相关内容。立项决策过程资料不完整，立项程序规范性有待提高。    </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 2.绩效目标情况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（1）绩效目标合理性</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单位填报了绩效目标申报表，将年度总体绩效目标分解为具体的绩效指标。但服务对象满意度指标设定为“本项目的实施符合区域内居民的切身利益，是一项便民服务工程，得到了居民的大力支持与积极配合，公共满意度达到80%”。满意度率设置过低，不利于促进提升项目服务水平。绩效目标设定不够合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atLeast"/>
        <w:ind w:left="0" w:leftChars="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产出数量指标设定为“对直管公房平房和楼房进行综合管理”。未体现年度管理用房规模、年度房屋设施维修数量等；经济效益指标设定为“在解决楼、平房区的居民房屋住用问题的同时，保障了居民生命财产安全，使得社会经济效益有了进一步提升”，未体现直管公房租金收缴产生的经济收益；项目产出质量指标设定为“工程项目质量验收合格率100%”，未体现直管公房的安全运行等指标；绩效目标设定细化、量化不足。</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default" w:ascii="仿宋_GB2312" w:hAnsi="Times New Roman" w:eastAsia="仿宋_GB2312" w:cs="宋体"/>
          <w:bCs/>
          <w:snapToGrid w:val="0"/>
          <w:kern w:val="0"/>
          <w:sz w:val="28"/>
          <w:szCs w:val="28"/>
          <w:lang w:val="en-US" w:eastAsia="zh-CN" w:bidi="ar-SA"/>
        </w:rPr>
      </w:pPr>
      <w:bookmarkStart w:id="26" w:name="_Toc12725"/>
      <w:bookmarkStart w:id="27" w:name="_Toc23138"/>
      <w:r>
        <w:rPr>
          <w:rFonts w:hint="eastAsia" w:ascii="仿宋_GB2312" w:hAnsi="Times New Roman" w:eastAsia="仿宋_GB2312" w:cs="宋体"/>
          <w:bCs/>
          <w:snapToGrid w:val="0"/>
          <w:kern w:val="0"/>
          <w:sz w:val="28"/>
          <w:szCs w:val="28"/>
          <w:lang w:val="en-US" w:eastAsia="zh-CN" w:bidi="ar-SA"/>
        </w:rPr>
        <w:t>3.</w:t>
      </w:r>
      <w:bookmarkEnd w:id="26"/>
      <w:bookmarkEnd w:id="27"/>
      <w:r>
        <w:rPr>
          <w:rFonts w:hint="eastAsia" w:ascii="仿宋_GB2312" w:hAnsi="Times New Roman" w:eastAsia="仿宋_GB2312" w:cs="宋体"/>
          <w:bCs/>
          <w:snapToGrid w:val="0"/>
          <w:kern w:val="0"/>
          <w:sz w:val="28"/>
          <w:szCs w:val="28"/>
          <w:lang w:val="en-US" w:eastAsia="zh-CN" w:bidi="ar-SA"/>
        </w:rPr>
        <w:t>预算编制的科学性</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计算应安排资金71,965,592.00元，该项目预算编制较为合理。</w:t>
      </w:r>
    </w:p>
    <w:p>
      <w:pPr>
        <w:pStyle w:val="3"/>
        <w:numPr>
          <w:ilvl w:val="0"/>
          <w:numId w:val="4"/>
        </w:numPr>
        <w:ind w:left="0" w:leftChars="0" w:firstLine="560" w:firstLineChars="20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项目过程情况。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28" w:name="_Toc15287"/>
      <w:bookmarkStart w:id="29" w:name="_Toc22266"/>
      <w:r>
        <w:rPr>
          <w:rFonts w:hint="eastAsia" w:ascii="仿宋_GB2312" w:hAnsi="Times New Roman" w:eastAsia="仿宋_GB2312" w:cs="宋体"/>
          <w:bCs/>
          <w:snapToGrid w:val="0"/>
          <w:kern w:val="0"/>
          <w:sz w:val="28"/>
          <w:szCs w:val="28"/>
          <w:lang w:val="en-US" w:eastAsia="zh-CN" w:bidi="ar-SA"/>
        </w:rPr>
        <w:t>（1）资金管理情况</w:t>
      </w:r>
      <w:bookmarkEnd w:id="28"/>
      <w:bookmarkEnd w:id="29"/>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资金管理方面，项目单位制定有《“三重一大”决策制度》及《专项资金管理办法》等内控管理制度，明确了工程部等相关部门应根据工程预决算报告及工程验收报告等相关文件提请，经负责人复核后进行足额支付。但项目预算实际执行结余较大，缺少针对直管公房项目的资金管理办法，不能界定直管公房资金的使用范围，缺少实施过程中可能遇到的风险缺乏预判以及应对措施和应急预案。同时，项目存在资金支付不规范的问题，如：项目存在部分修缮工程结算审定金额超过合同金额的问题，个别工程未进行结算审计，但已按照合同金额全部支付的问题。资金管理过程不严谨。</w:t>
      </w:r>
      <w:bookmarkStart w:id="30" w:name="_Toc18822"/>
      <w:bookmarkStart w:id="31" w:name="_Toc20973"/>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（2）.组织实施情况</w:t>
      </w:r>
      <w:bookmarkEnd w:id="30"/>
      <w:bookmarkEnd w:id="31"/>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宣房集团作为项目的指导和监管执行单位，按照《</w:t>
      </w:r>
      <w:bookmarkStart w:id="32" w:name="_Toc191743832"/>
      <w:bookmarkStart w:id="33" w:name="_Toc205285399"/>
      <w:r>
        <w:rPr>
          <w:rFonts w:hint="eastAsia" w:ascii="仿宋_GB2312" w:hAnsi="Times New Roman" w:eastAsia="仿宋_GB2312" w:cs="宋体"/>
          <w:bCs/>
          <w:snapToGrid w:val="0"/>
          <w:kern w:val="0"/>
          <w:sz w:val="28"/>
          <w:szCs w:val="28"/>
          <w:lang w:val="en-US" w:eastAsia="zh-CN" w:bidi="ar-SA"/>
        </w:rPr>
        <w:t>北京宣房投资管理集团有限公司工程管理制度</w:t>
      </w:r>
      <w:bookmarkEnd w:id="32"/>
      <w:bookmarkEnd w:id="33"/>
      <w:r>
        <w:rPr>
          <w:rFonts w:hint="eastAsia" w:ascii="仿宋_GB2312" w:hAnsi="Times New Roman" w:eastAsia="仿宋_GB2312" w:cs="宋体"/>
          <w:bCs/>
          <w:snapToGrid w:val="0"/>
          <w:kern w:val="0"/>
          <w:sz w:val="28"/>
          <w:szCs w:val="28"/>
          <w:lang w:val="en-US" w:eastAsia="zh-CN" w:bidi="ar-SA"/>
        </w:rPr>
        <w:t>》的相关要求，集团公司工程部组织项目的申报工作，同时也对项目设计及方案的制订、项目预算、项目招投标、施工队伍的管理、合同管理、资金拨付、工程监理、材料管理、施工管理、质量监督、项目验收、项目结算、项目资料等进行了约定。但缺少针对本项目的具体实施方案，如：项目组织机构，人员构成，以及对于项目的第三方遴选筹划、项目移交、成本控制、效果评价等内容；缺少集团公司负责项目及子公司负责的项目的边界划分；缺少集团对子公司的专项资金管理考核办法；宣房集团虽履行了项目的管理职能，但相关管理制度有待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宣房集团在实施过程中按照各部门的职责对项目进行了监管、检查和监督，保证了工程质量与施工安全，同时，组织了专人对分管公房进行了巡检，并留存了巡检记录，确保了直管公房的安全运行。但未按照《北京宣房投资管理集团有限公司工程管理制度》中“预验收完成后由责任管理单位向集团总工程师提出竣工验收申请，集团总工程师组织各方对工程进行验收”的相关规定执行。制度执行的有效性有待加强。</w:t>
      </w:r>
    </w:p>
    <w:p>
      <w:pPr>
        <w:pStyle w:val="3"/>
        <w:numPr>
          <w:ilvl w:val="0"/>
          <w:numId w:val="4"/>
        </w:numPr>
        <w:ind w:left="0" w:leftChars="0" w:firstLine="560" w:firstLineChars="20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项目产出情况。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2"/>
        <w:rPr>
          <w:rFonts w:hint="eastAsia" w:ascii="仿宋_GB2312" w:hAnsi="Times New Roman" w:eastAsia="仿宋_GB2312" w:cs="宋体"/>
          <w:bCs/>
          <w:snapToGrid w:val="0"/>
          <w:kern w:val="0"/>
          <w:sz w:val="28"/>
          <w:szCs w:val="28"/>
          <w:lang w:val="en-US" w:eastAsia="zh-CN" w:bidi="ar-SA"/>
        </w:rPr>
      </w:pPr>
      <w:bookmarkStart w:id="34" w:name="_Toc32499"/>
      <w:bookmarkStart w:id="35" w:name="_Toc16791"/>
      <w:r>
        <w:rPr>
          <w:rFonts w:hint="eastAsia" w:ascii="仿宋_GB2312" w:hAnsi="Times New Roman" w:eastAsia="仿宋_GB2312" w:cs="宋体"/>
          <w:bCs/>
          <w:snapToGrid w:val="0"/>
          <w:kern w:val="0"/>
          <w:sz w:val="28"/>
          <w:szCs w:val="28"/>
          <w:lang w:val="en-US" w:eastAsia="zh-CN" w:bidi="ar-SA"/>
        </w:rPr>
        <w:t>在宣房集团的指导和监督下，</w:t>
      </w:r>
      <w:bookmarkEnd w:id="34"/>
      <w:bookmarkEnd w:id="35"/>
      <w:r>
        <w:rPr>
          <w:rFonts w:hint="eastAsia" w:ascii="仿宋_GB2312" w:hAnsi="Times New Roman" w:eastAsia="仿宋_GB2312" w:cs="宋体"/>
          <w:bCs/>
          <w:snapToGrid w:val="0"/>
          <w:kern w:val="0"/>
          <w:sz w:val="28"/>
          <w:szCs w:val="28"/>
          <w:lang w:val="en-US" w:eastAsia="zh-CN" w:bidi="ar-SA"/>
        </w:rPr>
        <w:t>完成了2022年直管公房的日常管理、维修、维护等事项，解决了部分现有暂未翻建的严重破损房和需要降级房屋的安全隐患，保证了房屋的住用安全，其次通过对房屋的日常维修养护，延长了房屋的使用年限，同时对安全度汛提供了保障，且从未诉先办到接诉即办做好了“12345”市民热线的相关工作对直管公房平房和楼房进行综合管理任务，达到了预定的产出目标。</w:t>
      </w:r>
    </w:p>
    <w:p>
      <w:pPr>
        <w:pStyle w:val="3"/>
        <w:numPr>
          <w:ilvl w:val="0"/>
          <w:numId w:val="4"/>
        </w:numPr>
        <w:ind w:left="0" w:leftChars="0" w:firstLine="560" w:firstLineChars="20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项目效益情况。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直管公房管理费项目作为西城区政府立项批复的利民惠民工程，对稳定与支持西城区发展，构建和谐社会、首善之区具有重要意义。通过该项目的持续实施，在解决楼、平房区的居民房屋住用问题的同时，保障了居民生命财产安全，使得社会经济效益有了进一步提升，改善居民居住条件，提高城市居民的宜居性，提升历史人文的现代价值，促进北京的和谐发展，同时解决了楼房的安全问题，使楼房脏乱差的现象得到了治理，对未来多年内居民的生活都将产生直接影响，达到改善民生环境的实际作用。达到了预定的实施效益指标。同时，该项目的实施符合区域内居民的切身利益，是一项便民服务工程，得到了居民的大力支持与积极配合，平均公共满意度达到了80%以上。达到了预定的服务对象满意度指标。</w:t>
      </w:r>
    </w:p>
    <w:p>
      <w:pPr>
        <w:pStyle w:val="3"/>
        <w:numPr>
          <w:ilvl w:val="0"/>
          <w:numId w:val="2"/>
        </w:numPr>
        <w:ind w:left="0" w:leftChars="0" w:firstLine="420" w:firstLineChars="15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实施前，制定项目实施方案、资金管理办法，规范项目管理流程；项目立项前通过反复调研走访，有针对性地做好前期准备工作；项目实施过程中通过建立、落实项目管理岗位职责以及各项规章制度，提高人员、效率、质量等协同意识；通过强化安全教育，强调特殊工种持证上岗、施工前入户排查、材料进场前进行检查等措施保障工程质量。另制定应急预案，严防发生重大质量安全责任事故；定期召开调度会，及时平衡、协调相关工作，切实保证项目进度。</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outlineLvl w:val="1"/>
        <w:rPr>
          <w:rFonts w:hint="eastAsia" w:ascii="仿宋_GB2312" w:hAnsi="Times New Roman" w:eastAsia="仿宋_GB2312" w:cs="宋体"/>
          <w:bCs/>
          <w:snapToGrid w:val="0"/>
          <w:kern w:val="0"/>
          <w:sz w:val="28"/>
          <w:szCs w:val="28"/>
          <w:lang w:val="en-US" w:eastAsia="zh-CN" w:bidi="ar-SA"/>
        </w:rPr>
      </w:pPr>
      <w:bookmarkStart w:id="36" w:name="_Toc24462"/>
      <w:bookmarkStart w:id="37" w:name="_Toc28933"/>
      <w:r>
        <w:rPr>
          <w:rFonts w:hint="eastAsia" w:ascii="仿宋_GB2312" w:hAnsi="Times New Roman" w:eastAsia="仿宋_GB2312" w:cs="宋体"/>
          <w:bCs/>
          <w:snapToGrid w:val="0"/>
          <w:kern w:val="0"/>
          <w:sz w:val="28"/>
          <w:szCs w:val="28"/>
          <w:lang w:val="en-US" w:eastAsia="zh-CN" w:bidi="ar-SA"/>
        </w:rPr>
        <w:t>（二）存在的问题及原因分析</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1.立项决策过程资料不完整，立项程序规范性有待提高。缺少与2022年直管公房管理费相对应的房屋台账，部分子公司缺少立项申报资料，会议纪要中也未能体现项目立项及预算申报相关决议内容。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2.绩效目标设定不合理，细化、量化不足。服务满意度指标满意率设置偏低，数量指标、经济效益指标、产出质量指标不细化、量化，可考核性不足。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3.资金管理过程不严谨。项目预算实际执行结余较大，缺少针对直管公房项目的资金管理办法，缺少实施过程中对可能遇到的风险缺乏预判以及应对措施和应急预案，同时，存在资金支付不规范的问题。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4.项目管理制度不完善。缺少针对该项目的具体实施方案，缺少集团公司负责项目及子公司负责的项目的边界划分以及集团对子公司的专项资金管理考核办法。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5.存在未按照《北京宣房投资管理集团有限公司工程管理制度》相关制度执行验收的情况，制度执行的有效性有待加强。</w:t>
      </w:r>
    </w:p>
    <w:p>
      <w:pPr>
        <w:pStyle w:val="3"/>
        <w:numPr>
          <w:ilvl w:val="0"/>
          <w:numId w:val="0"/>
        </w:numPr>
        <w:ind w:leftChars="150"/>
        <w:rPr>
          <w:rFonts w:hint="eastAsia" w:ascii="仿宋_GB2312" w:hAnsi="Times New Roman" w:eastAsia="仿宋_GB2312" w:cs="宋体"/>
          <w:bCs/>
          <w:snapToGrid w:val="0"/>
          <w:kern w:val="0"/>
          <w:sz w:val="28"/>
          <w:szCs w:val="28"/>
          <w:lang w:val="en-US" w:eastAsia="zh-CN" w:bidi="ar-SA"/>
        </w:rPr>
      </w:pPr>
    </w:p>
    <w:p>
      <w:pPr>
        <w:pStyle w:val="3"/>
        <w:numPr>
          <w:ilvl w:val="0"/>
          <w:numId w:val="2"/>
        </w:numPr>
        <w:ind w:left="0" w:leftChars="0" w:firstLine="420" w:firstLineChars="15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1、规范项目决策程序，加大立项的审批力度，并注意留存相关文件资料。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60" w:firstLineChars="20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科学设定项目绩效目标，各项目绩效指标的设定应做到填报准确、完整、合理、量化、可衡量，以便对项目绩效完成情况实施考核。产出数量指标应反映项目计划完成年度房屋设施维修数量以及年度房屋维护规模；经济效益指标应反映直管公房租金收缴产生的经济收益；产出质量指标应反映直管公房的安全运行相关指标；服务对象满意度指标值应以项目行业水平和历史水平为基础，以提升服务水平为目标合理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3、建立项目资金管理制度，规范资金管理流程，确保预算及时完成。制定直管公房资金管理制度及风险应急预案。严格履行财务审批程序，保障资金的合理使用。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4、编制项目实施方案、项目管理规范以及专项资金考核办法，明确集团公司与子公司分管界限，确保项目顺利实施。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textAlignment w:val="auto"/>
        <w:outlineLvl w:val="1"/>
        <w:rPr>
          <w:rFonts w:hint="eastAsia" w:ascii="仿宋_GB2312" w:hAnsi="Times New Roman" w:eastAsia="仿宋_GB2312" w:cs="宋体"/>
          <w:bCs/>
          <w:snapToGrid w:val="0"/>
          <w:kern w:val="0"/>
          <w:sz w:val="28"/>
          <w:szCs w:val="28"/>
          <w:lang w:val="en-US" w:eastAsia="zh-CN" w:bidi="ar-SA"/>
        </w:rPr>
      </w:pPr>
      <w:bookmarkStart w:id="38" w:name="_Toc29608"/>
      <w:r>
        <w:rPr>
          <w:rFonts w:hint="eastAsia" w:ascii="仿宋_GB2312" w:hAnsi="Times New Roman" w:eastAsia="仿宋_GB2312" w:cs="宋体"/>
          <w:bCs/>
          <w:snapToGrid w:val="0"/>
          <w:kern w:val="0"/>
          <w:sz w:val="28"/>
          <w:szCs w:val="28"/>
          <w:lang w:val="en-US" w:eastAsia="zh-CN" w:bidi="ar-SA"/>
        </w:rPr>
        <w:t>5、严格落实各项管理制度，规范工程项目过程管理流程。</w:t>
      </w:r>
      <w:bookmarkEnd w:id="38"/>
    </w:p>
    <w:p>
      <w:pPr>
        <w:pStyle w:val="3"/>
        <w:numPr>
          <w:ilvl w:val="0"/>
          <w:numId w:val="0"/>
        </w:numPr>
        <w:ind w:leftChars="150"/>
        <w:rPr>
          <w:rFonts w:hint="eastAsia" w:ascii="仿宋_GB2312" w:hAnsi="Times New Roman" w:eastAsia="仿宋_GB2312" w:cs="宋体"/>
          <w:bCs/>
          <w:snapToGrid w:val="0"/>
          <w:kern w:val="0"/>
          <w:sz w:val="28"/>
          <w:szCs w:val="28"/>
          <w:lang w:val="en-US" w:eastAsia="zh-CN" w:bidi="ar-SA"/>
        </w:rPr>
      </w:pPr>
    </w:p>
    <w:p>
      <w:pPr>
        <w:pStyle w:val="3"/>
        <w:numPr>
          <w:ilvl w:val="0"/>
          <w:numId w:val="2"/>
        </w:numPr>
        <w:ind w:left="0" w:leftChars="0" w:firstLine="420" w:firstLineChars="15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其他需要说明的问题</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本报告是工作组根据宣房集团提供的材料进行全面分析，结合调研情况，在专家评价意见的基础上综合形成的。本报告的结论与意见是参考性的，仅供预算管理使用，不作其他用途。</w:t>
      </w:r>
    </w:p>
    <w:p>
      <w:pPr>
        <w:pStyle w:val="3"/>
        <w:numPr>
          <w:ilvl w:val="0"/>
          <w:numId w:val="0"/>
        </w:numPr>
        <w:ind w:leftChars="150"/>
        <w:rPr>
          <w:rFonts w:hint="eastAsia" w:ascii="仿宋_GB2312" w:hAnsi="Times New Roman" w:eastAsia="仿宋_GB2312" w:cs="宋体"/>
          <w:bCs/>
          <w:snapToGrid w:val="0"/>
          <w:kern w:val="0"/>
          <w:sz w:val="28"/>
          <w:szCs w:val="28"/>
          <w:lang w:val="en-US" w:eastAsia="zh-CN" w:bidi="ar-SA"/>
        </w:rPr>
      </w:pPr>
    </w:p>
    <w:p>
      <w:pPr>
        <w:pStyle w:val="3"/>
        <w:ind w:firstLine="0" w:firstLineChars="0"/>
        <w:rPr>
          <w:rFonts w:hint="eastAsia" w:ascii="仿宋_GB2312" w:hAnsi="Times New Roman" w:eastAsia="仿宋_GB2312" w:cs="宋体"/>
          <w:bCs/>
          <w:snapToGrid w:val="0"/>
          <w:kern w:val="0"/>
          <w:sz w:val="28"/>
          <w:szCs w:val="28"/>
          <w:lang w:val="en-US" w:eastAsia="zh-CN" w:bidi="ar-SA"/>
        </w:rPr>
      </w:pPr>
    </w:p>
    <w:p>
      <w:pPr>
        <w:pStyle w:val="3"/>
        <w:ind w:firstLine="0" w:firstLineChars="0"/>
        <w:rPr>
          <w:rFonts w:hint="eastAsia" w:ascii="仿宋_GB2312" w:hAnsi="Times New Roman" w:eastAsia="仿宋_GB2312" w:cs="宋体"/>
          <w:bCs/>
          <w:snapToGrid w:val="0"/>
          <w:kern w:val="0"/>
          <w:sz w:val="28"/>
          <w:szCs w:val="28"/>
          <w:lang w:val="en-US" w:eastAsia="zh-CN" w:bidi="ar-SA"/>
        </w:rPr>
      </w:pPr>
    </w:p>
    <w:p>
      <w:pPr>
        <w:pStyle w:val="3"/>
        <w:ind w:firstLine="0" w:firstLineChars="0"/>
        <w:rPr>
          <w:rFonts w:hint="eastAsia" w:ascii="仿宋_GB2312" w:hAnsi="Times New Roman" w:eastAsia="仿宋_GB2312" w:cs="宋体"/>
          <w:bCs/>
          <w:snapToGrid w:val="0"/>
          <w:kern w:val="0"/>
          <w:sz w:val="28"/>
          <w:szCs w:val="28"/>
          <w:lang w:val="en-US" w:eastAsia="zh-CN" w:bidi="ar-SA"/>
        </w:rPr>
      </w:pPr>
    </w:p>
    <w:p>
      <w:pPr>
        <w:pStyle w:val="3"/>
        <w:ind w:firstLine="0" w:firstLineChars="0"/>
        <w:rPr>
          <w:rFonts w:hint="eastAsia" w:ascii="仿宋_GB2312" w:hAnsi="Times New Roman" w:eastAsia="仿宋_GB2312" w:cs="宋体"/>
          <w:bCs/>
          <w:snapToGrid w:val="0"/>
          <w:kern w:val="0"/>
          <w:sz w:val="28"/>
          <w:szCs w:val="28"/>
          <w:lang w:val="en-US" w:eastAsia="zh-CN" w:bidi="ar-SA"/>
        </w:rPr>
      </w:pPr>
    </w:p>
    <w:p>
      <w:pPr>
        <w:tabs>
          <w:tab w:val="center" w:pos="6979"/>
        </w:tabs>
        <w:spacing w:line="500" w:lineRule="exact"/>
        <w:jc w:val="left"/>
        <w:rPr>
          <w:rFonts w:hint="eastAsia" w:ascii="宋体" w:hAnsi="宋体" w:cs="宋体"/>
          <w:b/>
          <w:bCs/>
          <w:spacing w:val="40"/>
          <w:kern w:val="0"/>
          <w:sz w:val="32"/>
          <w:szCs w:val="32"/>
        </w:rPr>
      </w:pPr>
      <w:r>
        <w:rPr>
          <w:rFonts w:ascii="黑体" w:eastAsia="黑体"/>
          <w:sz w:val="32"/>
          <w:szCs w:val="32"/>
        </w:rPr>
        <w:br w:type="page"/>
      </w:r>
    </w:p>
    <w:p>
      <w:pPr>
        <w:tabs>
          <w:tab w:val="center" w:pos="6979"/>
        </w:tabs>
        <w:spacing w:before="156" w:beforeLines="50" w:after="156" w:afterLines="50"/>
        <w:jc w:val="center"/>
        <w:outlineLvl w:val="0"/>
        <w:rPr>
          <w:rFonts w:hint="eastAsia" w:ascii="宋体" w:hAnsi="宋体" w:cs="宋体"/>
          <w:b/>
          <w:bCs/>
          <w:spacing w:val="40"/>
          <w:kern w:val="0"/>
          <w:sz w:val="44"/>
          <w:szCs w:val="44"/>
        </w:rPr>
      </w:pPr>
      <w:r>
        <w:rPr>
          <w:rFonts w:hint="eastAsia" w:ascii="宋体" w:hAnsi="宋体" w:cs="宋体"/>
          <w:b/>
          <w:bCs/>
          <w:spacing w:val="40"/>
          <w:kern w:val="0"/>
          <w:sz w:val="44"/>
          <w:szCs w:val="44"/>
        </w:rPr>
        <w:t>第四部分 2023年度部门决算报表</w:t>
      </w:r>
    </w:p>
    <w:p>
      <w:pPr>
        <w:pStyle w:val="3"/>
        <w:ind w:firstLine="640"/>
        <w:rPr>
          <w:rFonts w:hint="eastAsia" w:ascii="黑体" w:eastAsia="黑体"/>
          <w:sz w:val="32"/>
          <w:szCs w:val="32"/>
        </w:rPr>
      </w:pPr>
    </w:p>
    <w:p>
      <w:pPr>
        <w:ind w:firstLine="560" w:firstLineChars="200"/>
        <w:rPr>
          <w:rFonts w:hint="eastAsia" w:ascii="仿宋_GB2312" w:eastAsia="仿宋_GB2312"/>
          <w:sz w:val="28"/>
          <w:szCs w:val="28"/>
        </w:rPr>
      </w:pPr>
      <w:r>
        <w:rPr>
          <w:rFonts w:hint="eastAsia" w:ascii="仿宋_GB2312" w:eastAsia="仿宋_GB2312"/>
          <w:sz w:val="28"/>
          <w:szCs w:val="28"/>
        </w:rPr>
        <w:t>详见附件：2023-</w:t>
      </w:r>
      <w:r>
        <w:rPr>
          <w:rFonts w:hint="eastAsia" w:ascii="仿宋_GB2312" w:eastAsia="仿宋_GB2312"/>
          <w:sz w:val="28"/>
          <w:szCs w:val="28"/>
          <w:lang w:val="en-US" w:eastAsia="zh-CN"/>
        </w:rPr>
        <w:t>宣房集团</w:t>
      </w:r>
      <w:r>
        <w:rPr>
          <w:rFonts w:hint="eastAsia" w:ascii="仿宋_GB2312" w:eastAsia="仿宋_GB2312"/>
          <w:sz w:val="28"/>
          <w:szCs w:val="28"/>
        </w:rPr>
        <w:t>-北京市西城区财政局决算公开报表。</w:t>
      </w:r>
    </w:p>
    <w:p>
      <w:pPr>
        <w:pStyle w:val="3"/>
        <w:ind w:firstLine="420"/>
        <w:rPr>
          <w:rFonts w:hint="eastAsia"/>
          <w:color w:val="C00000"/>
        </w:rPr>
      </w:pPr>
      <w:r>
        <w:rPr>
          <w:rFonts w:hint="eastAsia"/>
          <w:color w:val="C00000"/>
        </w:rPr>
        <w:t>决算公开报表取表方式：预算管理一体化系统——决算公开——部门公开/单位公开——批量套标导出（需提前完成数据生成等操作）</w:t>
      </w:r>
    </w:p>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附件一：</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
        <w:gridCol w:w="405"/>
        <w:gridCol w:w="405"/>
        <w:gridCol w:w="411"/>
        <w:gridCol w:w="2839"/>
        <w:gridCol w:w="2922"/>
        <w:gridCol w:w="405"/>
        <w:gridCol w:w="405"/>
        <w:gridCol w:w="405"/>
        <w:gridCol w:w="411"/>
        <w:gridCol w:w="2845"/>
        <w:gridCol w:w="2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5000" w:type="pct"/>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6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8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6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91"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8" w:type="pct"/>
            <w:gridSpan w:val="11"/>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991"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98" w:type="pct"/>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96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98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项目（按功能分类）</w:t>
            </w:r>
          </w:p>
        </w:tc>
        <w:tc>
          <w:tcPr>
            <w:tcW w:w="96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99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55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9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附件二：</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397"/>
        <w:gridCol w:w="397"/>
        <w:gridCol w:w="3309"/>
        <w:gridCol w:w="1627"/>
        <w:gridCol w:w="1627"/>
        <w:gridCol w:w="1360"/>
        <w:gridCol w:w="1360"/>
        <w:gridCol w:w="1360"/>
        <w:gridCol w:w="1372"/>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12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3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3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41"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8" w:type="pct"/>
            <w:gridSpan w:val="10"/>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541"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112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53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12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2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112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53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21203</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城乡社区公共设施</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2120399</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21299</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其他城乡社区支出</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2129999</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其他城乡社区支出</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附件三：</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
        <w:gridCol w:w="408"/>
        <w:gridCol w:w="414"/>
        <w:gridCol w:w="3682"/>
        <w:gridCol w:w="1760"/>
        <w:gridCol w:w="1644"/>
        <w:gridCol w:w="1760"/>
        <w:gridCol w:w="1564"/>
        <w:gridCol w:w="157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4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9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9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2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2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68" w:type="pct"/>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531"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661"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上缴上级支出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经营支出</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52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13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3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124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9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55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52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21203</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城乡社区公共设施</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2120399</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21299</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其他城乡社区支出</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2129999</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其他城乡社区支出</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附件四：</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
        <w:gridCol w:w="254"/>
        <w:gridCol w:w="254"/>
        <w:gridCol w:w="263"/>
        <w:gridCol w:w="1786"/>
        <w:gridCol w:w="1839"/>
        <w:gridCol w:w="254"/>
        <w:gridCol w:w="254"/>
        <w:gridCol w:w="254"/>
        <w:gridCol w:w="263"/>
        <w:gridCol w:w="1786"/>
        <w:gridCol w:w="1839"/>
        <w:gridCol w:w="1316"/>
        <w:gridCol w:w="1320"/>
        <w:gridCol w:w="133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2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2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5"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4" w:type="pct"/>
            <w:gridSpan w:val="15"/>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515"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73" w:type="pct"/>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3426" w:type="pct"/>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26"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347"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项目（按功能分类）</w:t>
            </w:r>
          </w:p>
        </w:tc>
        <w:tc>
          <w:tcPr>
            <w:tcW w:w="1226"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政府性基金预算财政拨款</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2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347"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62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44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44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44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1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34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191,788,961.93</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附件五：</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397"/>
        <w:gridCol w:w="397"/>
        <w:gridCol w:w="2642"/>
        <w:gridCol w:w="1022"/>
        <w:gridCol w:w="1627"/>
        <w:gridCol w:w="1627"/>
        <w:gridCol w:w="1172"/>
        <w:gridCol w:w="1627"/>
        <w:gridCol w:w="1289"/>
        <w:gridCol w:w="1280"/>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5000" w:type="pct"/>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5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96"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c>
          <w:tcPr>
            <w:tcW w:w="49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08" w:type="pct"/>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49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9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73"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年初结转和结余</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w:t>
            </w:r>
          </w:p>
        </w:tc>
        <w:tc>
          <w:tcPr>
            <w:tcW w:w="1491"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95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49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9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基本支出结转</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95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49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w:t>
            </w:r>
          </w:p>
        </w:tc>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城乡社区支出</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191,788,961.93</w:t>
            </w:r>
          </w:p>
        </w:tc>
        <w:tc>
          <w:tcPr>
            <w:tcW w:w="4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21203</w:t>
            </w:r>
          </w:p>
        </w:tc>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城乡社区公共设施</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98,583,100.00</w:t>
            </w:r>
          </w:p>
        </w:tc>
        <w:tc>
          <w:tcPr>
            <w:tcW w:w="4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2120399</w:t>
            </w:r>
          </w:p>
        </w:tc>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其他城乡社区公共设施支出</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98,583,100.00</w:t>
            </w:r>
          </w:p>
        </w:tc>
        <w:tc>
          <w:tcPr>
            <w:tcW w:w="4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21299</w:t>
            </w:r>
          </w:p>
        </w:tc>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其他城乡社区支出</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93,205,861.93</w:t>
            </w:r>
          </w:p>
        </w:tc>
        <w:tc>
          <w:tcPr>
            <w:tcW w:w="4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2129999</w:t>
            </w:r>
          </w:p>
        </w:tc>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其他城乡社区支出</w:t>
            </w:r>
          </w:p>
        </w:tc>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93,205,861.93</w:t>
            </w:r>
          </w:p>
        </w:tc>
        <w:tc>
          <w:tcPr>
            <w:tcW w:w="4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附件六：</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
        <w:gridCol w:w="437"/>
        <w:gridCol w:w="515"/>
        <w:gridCol w:w="3924"/>
        <w:gridCol w:w="3824"/>
        <w:gridCol w:w="1878"/>
        <w:gridCol w:w="1884"/>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4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2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29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3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3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37"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62" w:type="pct"/>
            <w:gridSpan w:val="7"/>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637"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97"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93"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7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132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93"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7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29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14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7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132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9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c>
          <w:tcPr>
            <w:tcW w:w="63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191,788,961.93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212</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城乡社区支出</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191,788,961.93</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191,788,961.93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21203</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城乡社区公共设施</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98,583,100.00</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98,583,100.00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2120399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其他城乡社区公共设施支出</w:t>
            </w:r>
          </w:p>
        </w:tc>
        <w:tc>
          <w:tcPr>
            <w:tcW w:w="12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北京宣房投资管理集团有限公司（本级）</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98,583,100.00</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98,583,100.00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21299</w:t>
            </w:r>
          </w:p>
        </w:tc>
        <w:tc>
          <w:tcPr>
            <w:tcW w:w="1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其他城乡社区支出</w:t>
            </w:r>
          </w:p>
        </w:tc>
        <w:tc>
          <w:tcPr>
            <w:tcW w:w="12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Arial" w:hAnsi="Arial" w:eastAsia="宋体" w:cs="Arial"/>
                <w:b/>
                <w:bCs/>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93,205,861.93</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93,205,861.93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2129999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其他城乡社区支出</w:t>
            </w:r>
          </w:p>
        </w:tc>
        <w:tc>
          <w:tcPr>
            <w:tcW w:w="12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北京宣房投资管理集团有限公司（本级）</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93,205,861.93</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93,205,861.93</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附件七;</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
        <w:gridCol w:w="523"/>
        <w:gridCol w:w="523"/>
        <w:gridCol w:w="529"/>
        <w:gridCol w:w="2691"/>
        <w:gridCol w:w="523"/>
        <w:gridCol w:w="523"/>
        <w:gridCol w:w="523"/>
        <w:gridCol w:w="529"/>
        <w:gridCol w:w="2691"/>
        <w:gridCol w:w="524"/>
        <w:gridCol w:w="524"/>
        <w:gridCol w:w="524"/>
        <w:gridCol w:w="539"/>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48"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51" w:type="pct"/>
            <w:gridSpan w:val="1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1048"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91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91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04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30" w:type="pct"/>
            <w:gridSpan w:val="9"/>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附件八：</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397"/>
        <w:gridCol w:w="397"/>
        <w:gridCol w:w="2725"/>
        <w:gridCol w:w="1177"/>
        <w:gridCol w:w="1327"/>
        <w:gridCol w:w="1327"/>
        <w:gridCol w:w="1327"/>
        <w:gridCol w:w="1333"/>
        <w:gridCol w:w="1455"/>
        <w:gridCol w:w="1455"/>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3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5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c>
          <w:tcPr>
            <w:tcW w:w="50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92" w:type="pct"/>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50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1"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年初结转和结余</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93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基本支出结转</w:t>
            </w:r>
          </w:p>
        </w:tc>
        <w:tc>
          <w:tcPr>
            <w:tcW w:w="50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40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50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0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93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0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0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附件九；</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
        <w:gridCol w:w="523"/>
        <w:gridCol w:w="523"/>
        <w:gridCol w:w="529"/>
        <w:gridCol w:w="2691"/>
        <w:gridCol w:w="523"/>
        <w:gridCol w:w="523"/>
        <w:gridCol w:w="523"/>
        <w:gridCol w:w="529"/>
        <w:gridCol w:w="2691"/>
        <w:gridCol w:w="524"/>
        <w:gridCol w:w="524"/>
        <w:gridCol w:w="524"/>
        <w:gridCol w:w="539"/>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48"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51" w:type="pct"/>
            <w:gridSpan w:val="1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1048"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91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910"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048"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i w:val="0"/>
                <w:iCs w:val="0"/>
                <w:color w:val="000000"/>
                <w:sz w:val="18"/>
                <w:szCs w:val="18"/>
                <w:u w:val="none"/>
              </w:rPr>
            </w:pP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rPr>
                <w:rFonts w:hint="eastAsia" w:ascii="宋体" w:hAnsi="宋体" w:eastAsia="宋体" w:cs="宋体"/>
                <w:i w:val="0"/>
                <w:iCs w:val="0"/>
                <w:color w:val="000000"/>
                <w:sz w:val="18"/>
                <w:szCs w:val="18"/>
                <w:u w:val="none"/>
              </w:rPr>
            </w:pP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30" w:type="pct"/>
            <w:gridSpan w:val="9"/>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附件十：</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3"/>
        <w:gridCol w:w="603"/>
        <w:gridCol w:w="603"/>
        <w:gridCol w:w="5199"/>
        <w:gridCol w:w="2591"/>
        <w:gridCol w:w="2591"/>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0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5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22" w:type="pct"/>
            <w:gridSpan w:val="6"/>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877"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2629"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12"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17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87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12"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20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204"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175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77"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附件十一：</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
        <w:gridCol w:w="325"/>
        <w:gridCol w:w="1529"/>
        <w:gridCol w:w="1662"/>
        <w:gridCol w:w="1526"/>
        <w:gridCol w:w="1526"/>
        <w:gridCol w:w="1526"/>
        <w:gridCol w:w="1526"/>
        <w:gridCol w:w="1526"/>
        <w:gridCol w:w="1532"/>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62"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03"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96" w:type="pct"/>
            <w:gridSpan w:val="10"/>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603"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9"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“三公”经费财政拨款合计</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因公出国（境）费用</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公务接待费</w:t>
            </w:r>
          </w:p>
        </w:tc>
        <w:tc>
          <w:tcPr>
            <w:tcW w:w="3185" w:type="pct"/>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9"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公务用车购置费</w:t>
            </w:r>
          </w:p>
        </w:tc>
        <w:tc>
          <w:tcPr>
            <w:tcW w:w="2669" w:type="pct"/>
            <w:gridSpan w:val="5"/>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9"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b/>
                <w:bCs/>
                <w:i w:val="0"/>
                <w:iCs w:val="0"/>
                <w:color w:val="000000"/>
                <w:sz w:val="18"/>
                <w:szCs w:val="18"/>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51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公务用车加油</w:t>
            </w:r>
          </w:p>
        </w:tc>
        <w:tc>
          <w:tcPr>
            <w:tcW w:w="51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公务用车维修</w:t>
            </w:r>
          </w:p>
        </w:tc>
        <w:tc>
          <w:tcPr>
            <w:tcW w:w="51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公务用车保险</w:t>
            </w:r>
          </w:p>
        </w:tc>
        <w:tc>
          <w:tcPr>
            <w:tcW w:w="60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9"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19"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2023年决算</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附件十二：</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4"/>
        <w:gridCol w:w="1644"/>
        <w:gridCol w:w="1644"/>
        <w:gridCol w:w="1644"/>
        <w:gridCol w:w="8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55"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775"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24" w:type="pct"/>
            <w:gridSpan w:val="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2775"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277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政府采购支出信息</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（一）政府采购支出合计</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1．政府采购货物支出</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2．政府采购工程支出</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3．政府采购服务支出</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（二）政府采购授予中小企业合同金额</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其中：授予小微企业合同金额</w:t>
            </w:r>
          </w:p>
        </w:tc>
        <w:tc>
          <w:tcPr>
            <w:tcW w:w="2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eastAsia" w:ascii="黑体" w:eastAsia="黑体"/>
          <w:sz w:val="32"/>
          <w:szCs w:val="32"/>
          <w:lang w:val="en-US" w:eastAsia="zh-CN"/>
        </w:rPr>
      </w:pPr>
      <w:r>
        <w:rPr>
          <w:rFonts w:hint="eastAsia" w:ascii="黑体" w:eastAsia="黑体"/>
          <w:sz w:val="32"/>
          <w:szCs w:val="32"/>
          <w:lang w:val="en-US" w:eastAsia="zh-CN"/>
        </w:rPr>
        <w:t>附件十三：</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2"/>
        <w:gridCol w:w="1000"/>
        <w:gridCol w:w="1002"/>
        <w:gridCol w:w="5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856" w:type="pct"/>
            <w:tcBorders>
              <w:top w:val="nil"/>
              <w:left w:val="nil"/>
              <w:bottom w:val="nil"/>
              <w:right w:val="nil"/>
            </w:tcBorders>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43" w:type="pct"/>
            <w:gridSpan w:val="3"/>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单位名称：北京宣房投资管理集团有限公司（本级）</w:t>
            </w:r>
          </w:p>
        </w:tc>
        <w:tc>
          <w:tcPr>
            <w:tcW w:w="1856" w:type="pct"/>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一级目录</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二级目录</w:t>
            </w:r>
          </w:p>
        </w:tc>
        <w:tc>
          <w:tcPr>
            <w:tcW w:w="1856"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143" w:type="pct"/>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城乡维护服务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农业、林业和水利公共服务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技术性公共服务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政府履职辅助性服务</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课题研究和社会调查服务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会计审计服务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监督检查辅助服务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评审、评估和评价服务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机关工作人员培训服务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466"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iCs w:val="0"/>
                <w:color w:val="000000"/>
                <w:sz w:val="18"/>
                <w:szCs w:val="18"/>
                <w:u w:val="none"/>
              </w:rPr>
            </w:pP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其他辅助性服务</w:t>
            </w:r>
          </w:p>
        </w:tc>
        <w:tc>
          <w:tcPr>
            <w:tcW w:w="1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3"/>
        <w:ind w:firstLine="640"/>
        <w:rPr>
          <w:rFonts w:hint="default" w:ascii="黑体" w:eastAsia="黑体"/>
          <w:sz w:val="32"/>
          <w:szCs w:val="32"/>
          <w:lang w:val="en-US" w:eastAsia="zh-CN"/>
        </w:rPr>
      </w:pPr>
    </w:p>
    <w:p>
      <w:pPr>
        <w:pStyle w:val="3"/>
        <w:ind w:firstLine="640"/>
        <w:rPr>
          <w:rFonts w:hint="default" w:ascii="黑体" w:eastAsia="黑体"/>
          <w:sz w:val="32"/>
          <w:szCs w:val="32"/>
          <w:lang w:val="en-US" w:eastAsia="zh-CN"/>
        </w:rPr>
      </w:pPr>
    </w:p>
    <w:p>
      <w:pPr>
        <w:pStyle w:val="3"/>
        <w:ind w:firstLine="640"/>
        <w:rPr>
          <w:rFonts w:hint="default" w:ascii="黑体" w:eastAsia="黑体"/>
          <w:sz w:val="32"/>
          <w:szCs w:val="32"/>
          <w:lang w:val="en-US" w:eastAsia="zh-CN"/>
        </w:rPr>
      </w:pPr>
    </w:p>
    <w:p>
      <w:bookmarkStart w:id="39" w:name="_GoBack"/>
      <w:bookmarkEnd w:id="39"/>
    </w:p>
    <w:sectPr>
      <w:footerReference r:id="rId4" w:type="default"/>
      <w:footerReference r:id="rId5" w:type="even"/>
      <w:pgSz w:w="16838" w:h="11906" w:orient="landscape"/>
      <w:pgMar w:top="1134" w:right="1134" w:bottom="1134" w:left="1134" w:header="851"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3462C"/>
    <w:multiLevelType w:val="singleLevel"/>
    <w:tmpl w:val="8EA3462C"/>
    <w:lvl w:ilvl="0" w:tentative="0">
      <w:start w:val="2"/>
      <w:numFmt w:val="decimal"/>
      <w:suff w:val="nothing"/>
      <w:lvlText w:val="（%1）"/>
      <w:lvlJc w:val="left"/>
    </w:lvl>
  </w:abstractNum>
  <w:abstractNum w:abstractNumId="1">
    <w:nsid w:val="EFCA3727"/>
    <w:multiLevelType w:val="singleLevel"/>
    <w:tmpl w:val="EFCA3727"/>
    <w:lvl w:ilvl="0" w:tentative="0">
      <w:start w:val="2"/>
      <w:numFmt w:val="chineseCounting"/>
      <w:suff w:val="nothing"/>
      <w:lvlText w:val="（%1）"/>
      <w:lvlJc w:val="left"/>
      <w:rPr>
        <w:rFonts w:hint="eastAsia"/>
      </w:rPr>
    </w:lvl>
  </w:abstractNum>
  <w:abstractNum w:abstractNumId="2">
    <w:nsid w:val="F0588454"/>
    <w:multiLevelType w:val="singleLevel"/>
    <w:tmpl w:val="F0588454"/>
    <w:lvl w:ilvl="0" w:tentative="0">
      <w:start w:val="2"/>
      <w:numFmt w:val="chineseCounting"/>
      <w:suff w:val="nothing"/>
      <w:lvlText w:val="（%1）"/>
      <w:lvlJc w:val="left"/>
      <w:rPr>
        <w:rFonts w:hint="eastAsia"/>
      </w:rPr>
    </w:lvl>
  </w:abstractNum>
  <w:abstractNum w:abstractNumId="3">
    <w:nsid w:val="0E71DDB6"/>
    <w:multiLevelType w:val="singleLevel"/>
    <w:tmpl w:val="0E71DDB6"/>
    <w:lvl w:ilvl="0" w:tentative="0">
      <w:start w:val="2"/>
      <w:numFmt w:val="decimal"/>
      <w:suff w:val="nothing"/>
      <w:lvlText w:val="%1、"/>
      <w:lvlJc w:val="left"/>
    </w:lvl>
  </w:abstractNum>
  <w:abstractNum w:abstractNumId="4">
    <w:nsid w:val="23299FD3"/>
    <w:multiLevelType w:val="singleLevel"/>
    <w:tmpl w:val="23299FD3"/>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WM2M2ZjYmVhZWNlMmViYjRjNWZhZWMwMTNiN2MifQ=="/>
  </w:docVars>
  <w:rsids>
    <w:rsidRoot w:val="00000000"/>
    <w:rsid w:val="06B3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2024-08-26T06:29:33Z</dcterms:created>
  <dc:creator>Huyanyan</dc:creator>
  <cp:lastModifiedBy>燕燕</cp:lastModifiedBy>
  <dcterms:modified xsi:type="dcterms:W3CDTF">2024-08-26T06:31:21Z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5AB478AAE6DE4CF384DF7BC98E569746_12</vt:lpwstr>
  </property>
</Properties>
</file>